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10192026_071001.xml.htm"/>
      <w:bookmarkStart w:id="1" w:name="ksform4a10192026_07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Flower Johanna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9"/>
        <w:gridCol w:w="903"/>
        <w:gridCol w:w="771"/>
        <w:gridCol w:w="600"/>
        <w:gridCol w:w="354"/>
        <w:gridCol w:w="82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is filed to correct the transaction code for the acquisition of RSUs on June 17, 2026. The original Form 4 incorrectly reported the transaction under Code S (Open-Market Sale) and is hereby amended to report the transaction under Code A (Grant/Award).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represent unvested restricted stock units (RSUs), with the RSUs vesting in full on the earlier of (i) the one-year anniversary of the date of grant or (ii) the date of the Issuer's next annual meeting of stockholders held after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2303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674</Words>
  <Characters>3610</Characters>
  <CharactersWithSpaces>4215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