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78"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2023</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0" w:lineRule="exact"/>
        <w:rPr>
          <w:sz w:val="24"/>
          <w:szCs w:val="24"/>
          <w:color w:val="auto"/>
        </w:rPr>
      </w:pPr>
    </w:p>
    <w:p>
      <w:pPr>
        <w:ind w:left="360" w:hanging="26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001-38933</w:t>
      </w:r>
    </w:p>
    <w:p>
      <w:pPr>
        <w:spacing w:after="0" w:line="30"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CROWDSTRIKE HOLDINGS, INC.</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35"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680" w:type="dxa"/>
            <w:vAlign w:val="bottom"/>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2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45-3788918</w:t>
            </w:r>
          </w:p>
        </w:tc>
      </w:tr>
      <w:tr>
        <w:trPr>
          <w:trHeight w:val="168"/>
        </w:trPr>
        <w:tc>
          <w:tcPr>
            <w:tcW w:w="4680" w:type="dxa"/>
            <w:vAlign w:val="bottom"/>
          </w:tcPr>
          <w:p>
            <w:pPr>
              <w:jc w:val="center"/>
              <w:ind w:right="271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220" w:type="dxa"/>
            <w:vAlign w:val="bottom"/>
          </w:tcPr>
          <w:p>
            <w:pPr>
              <w:jc w:val="center"/>
              <w:ind w:left="259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680" w:type="dxa"/>
            <w:vAlign w:val="bottom"/>
          </w:tcPr>
          <w:p>
            <w:pPr>
              <w:jc w:val="center"/>
              <w:ind w:right="26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22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rPr>
              <w:t>Identification Number)</w:t>
            </w:r>
          </w:p>
        </w:tc>
      </w:tr>
    </w:tbl>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206 E. 9th Street, Suite 1400, Austin, Texas 78701</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512-8906</w:t>
      </w:r>
    </w:p>
    <w:p>
      <w:pPr>
        <w:spacing w:after="0" w:line="6"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4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Trading symbol(s)</w:t>
            </w:r>
          </w:p>
        </w:tc>
        <w:tc>
          <w:tcPr>
            <w:tcW w:w="376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3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$0.0005 per share</w:t>
            </w:r>
          </w:p>
        </w:tc>
        <w:tc>
          <w:tcPr>
            <w:tcW w:w="1260" w:type="dxa"/>
            <w:vAlign w:val="bottom"/>
          </w:tcPr>
          <w:p>
            <w:pPr>
              <w:spacing w:after="0"/>
              <w:rPr>
                <w:sz w:val="17"/>
                <w:szCs w:val="17"/>
                <w:color w:val="auto"/>
              </w:rPr>
            </w:pPr>
          </w:p>
        </w:tc>
        <w:tc>
          <w:tcPr>
            <w:tcW w:w="2480" w:type="dxa"/>
            <w:vAlign w:val="bottom"/>
            <w:tcBorders>
              <w:right w:val="single" w:sz="8" w:color="auto"/>
            </w:tcBorders>
            <w:gridSpan w:val="2"/>
          </w:tcPr>
          <w:p>
            <w:pPr>
              <w:jc w:val="center"/>
              <w:ind w:right="1280"/>
              <w:spacing w:after="0"/>
              <w:rPr>
                <w:sz w:val="20"/>
                <w:szCs w:val="20"/>
                <w:color w:val="auto"/>
              </w:rPr>
            </w:pPr>
            <w:r>
              <w:rPr>
                <w:rFonts w:ascii="Times New Roman" w:cs="Times New Roman" w:eastAsia="Times New Roman" w:hAnsi="Times New Roman"/>
                <w:sz w:val="16"/>
                <w:szCs w:val="16"/>
                <w:color w:val="auto"/>
                <w:w w:val="99"/>
              </w:rPr>
              <w:t>CRWD</w:t>
            </w:r>
          </w:p>
        </w:tc>
        <w:tc>
          <w:tcPr>
            <w:tcW w:w="440" w:type="dxa"/>
            <w:vAlign w:val="bottom"/>
          </w:tcPr>
          <w:p>
            <w:pPr>
              <w:spacing w:after="0"/>
              <w:rPr>
                <w:sz w:val="17"/>
                <w:szCs w:val="17"/>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43"/>
        </w:trPr>
        <w:tc>
          <w:tcPr>
            <w:tcW w:w="130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46"/>
        </w:trPr>
        <w:tc>
          <w:tcPr>
            <w:tcW w:w="130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r>
    </w:tbl>
    <w:p>
      <w:pPr>
        <w:spacing w:after="0" w:line="378" w:lineRule="exact"/>
        <w:rPr>
          <w:sz w:val="24"/>
          <w:szCs w:val="24"/>
          <w:color w:val="auto"/>
        </w:rPr>
      </w:pPr>
    </w:p>
    <w:p>
      <w:pPr>
        <w:jc w:val="both"/>
        <w:ind w:right="300" w:firstLine="648"/>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ind w:right="80" w:firstLine="648"/>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 w:lineRule="exact"/>
        <w:rPr>
          <w:sz w:val="24"/>
          <w:szCs w:val="24"/>
          <w:color w:val="auto"/>
        </w:rPr>
      </w:pPr>
    </w:p>
    <w:p>
      <w:pPr>
        <w:ind w:right="120" w:firstLine="648"/>
        <w:spacing w:after="0" w:line="26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large 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smaller reporting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emerging growth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in Rule 12b-2 of the Exchange Act.</w:t>
      </w:r>
    </w:p>
    <w:tbl>
      <w:tblPr>
        <w:tblLayout w:type="fixed"/>
        <w:tblInd w:w="1880" w:type="dxa"/>
        <w:tblCellMar>
          <w:top w:w="0" w:type="dxa"/>
          <w:left w:w="0" w:type="dxa"/>
          <w:bottom w:w="0" w:type="dxa"/>
          <w:right w:w="0" w:type="dxa"/>
        </w:tblCellMar>
      </w:tblPr>
      <w:tr>
        <w:trPr>
          <w:trHeight w:val="231"/>
        </w:trPr>
        <w:tc>
          <w:tcPr>
            <w:tcW w:w="2460" w:type="dxa"/>
            <w:vAlign w:val="bottom"/>
          </w:tcPr>
          <w:p>
            <w:pPr>
              <w:jc w:val="center"/>
              <w:ind w:right="85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460" w:type="dxa"/>
            <w:vAlign w:val="bottom"/>
          </w:tcPr>
          <w:p>
            <w:pPr>
              <w:jc w:val="center"/>
              <w:ind w:right="859"/>
              <w:spacing w:after="0"/>
              <w:rPr>
                <w:sz w:val="20"/>
                <w:szCs w:val="20"/>
                <w:color w:val="auto"/>
              </w:rPr>
            </w:pPr>
            <w:r>
              <w:rPr>
                <w:rFonts w:ascii="Times New Roman" w:cs="Times New Roman" w:eastAsia="Times New Roman" w:hAnsi="Times New Roman"/>
                <w:sz w:val="16"/>
                <w:szCs w:val="16"/>
                <w:color w:val="auto"/>
              </w:rPr>
              <w:t>Non-accelerated Filer</w:t>
            </w:r>
          </w:p>
        </w:tc>
        <w:tc>
          <w:tcPr>
            <w:tcW w:w="20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right="460" w:firstLine="648"/>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 w:lineRule="exact"/>
        <w:rPr>
          <w:sz w:val="24"/>
          <w:szCs w:val="24"/>
          <w:color w:val="auto"/>
        </w:rPr>
      </w:pPr>
    </w:p>
    <w:p>
      <w:pPr>
        <w:ind w:left="660"/>
        <w:spacing w:after="0" w:line="190" w:lineRule="exact"/>
        <w:tabs>
          <w:tab w:leader="none" w:pos="84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6"/>
          <w:szCs w:val="16"/>
          <w:color w:val="auto"/>
        </w:rPr>
        <w:t>No</w:t>
      </w:r>
      <w:r>
        <w:rPr>
          <w:rFonts w:ascii="MS PGothic" w:cs="MS PGothic" w:eastAsia="MS PGothic" w:hAnsi="MS PGothic"/>
          <w:sz w:val="18"/>
          <w:szCs w:val="18"/>
          <w:color w:val="auto"/>
        </w:rPr>
        <w:t xml:space="preserve">  ☑</w:t>
      </w:r>
    </w:p>
    <w:p>
      <w:pPr>
        <w:spacing w:after="0" w:line="166" w:lineRule="exact"/>
        <w:rPr>
          <w:sz w:val="24"/>
          <w:szCs w:val="24"/>
          <w:color w:val="auto"/>
        </w:rPr>
      </w:pPr>
    </w:p>
    <w:p>
      <w:pPr>
        <w:ind w:right="720" w:firstLine="648"/>
        <w:spacing w:after="0" w:line="280" w:lineRule="auto"/>
        <w:rPr>
          <w:sz w:val="20"/>
          <w:szCs w:val="20"/>
          <w:color w:val="auto"/>
        </w:rPr>
      </w:pPr>
      <w:r>
        <w:rPr>
          <w:rFonts w:ascii="Times New Roman" w:cs="Times New Roman" w:eastAsia="Times New Roman" w:hAnsi="Times New Roman"/>
          <w:sz w:val="16"/>
          <w:szCs w:val="16"/>
          <w:color w:val="auto"/>
        </w:rPr>
        <w:t>As of November 15, 2023, the number of shares of the registrant’s Class A common stock outstanding was 227,629,218, and the number of shares of the registrant’s Class B common stock outstanding was 12,515,590.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829310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160" w:type="dxa"/>
            <w:vAlign w:val="bottom"/>
            <w:gridSpan w:val="13"/>
          </w:tcPr>
          <w:p>
            <w:pPr>
              <w:jc w:val="center"/>
              <w:ind w:right="32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440" w:type="dxa"/>
            <w:vAlign w:val="bottom"/>
            <w:gridSpan w:val="2"/>
            <w:shd w:val="clear" w:color="auto" w:fill="CCEEFF"/>
          </w:tcPr>
          <w:p>
            <w:pPr>
              <w:spacing w:after="0"/>
              <w:rPr>
                <w:sz w:val="16"/>
                <w:szCs w:val="16"/>
                <w:color w:val="auto"/>
              </w:rPr>
            </w:pPr>
          </w:p>
        </w:tc>
        <w:tc>
          <w:tcPr>
            <w:tcW w:w="9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October 31, 2023 and January 31, 2023</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October 31, 2023 and October 31,</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0000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2022</w:t>
            </w:r>
          </w:p>
        </w:tc>
        <w:tc>
          <w:tcPr>
            <w:tcW w:w="1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5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80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46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21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October 31, 2023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18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8"/>
                <w:szCs w:val="18"/>
                <w:color w:val="0000FF"/>
              </w:rPr>
              <w:t>and October 31, 2022</w:t>
            </w: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October 31, 2023 and</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0000FF"/>
              <w:bottom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8"/>
              </w:rPr>
              <w:t>October 31, 2022</w:t>
            </w:r>
          </w:p>
        </w:tc>
        <w:tc>
          <w:tcPr>
            <w:tcW w:w="752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5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9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October 31, 2023 and October 31, 2022</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0000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40" w:type="dxa"/>
            <w:vAlign w:val="bottom"/>
            <w:tcBorders>
              <w:bottom w:val="single" w:sz="8" w:color="CCEEFF"/>
            </w:tcBorders>
            <w:gridSpan w:val="11"/>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4320" w:type="dxa"/>
            <w:vAlign w:val="bottom"/>
            <w:tcBorders>
              <w:bottom w:val="single" w:sz="8" w:color="0000FF"/>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20" w:type="dxa"/>
            <w:vAlign w:val="bottom"/>
            <w:tcBorders>
              <w:bottom w:val="single" w:sz="8" w:color="CCEEFF"/>
            </w:tcBorders>
            <w:gridSpan w:val="10"/>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160" w:type="dxa"/>
            <w:vAlign w:val="bottom"/>
            <w:gridSpan w:val="13"/>
          </w:tcPr>
          <w:p>
            <w:pPr>
              <w:jc w:val="center"/>
              <w:ind w:right="3260"/>
              <w:spacing w:after="0" w:line="189" w:lineRule="exact"/>
              <w:rPr>
                <w:sz w:val="20"/>
                <w:szCs w:val="20"/>
                <w:color w:val="auto"/>
              </w:rPr>
            </w:pPr>
            <w:r>
              <w:rPr>
                <w:rFonts w:ascii="Times New Roman" w:cs="Times New Roman" w:eastAsia="Times New Roman" w:hAnsi="Times New Roman"/>
                <w:sz w:val="18"/>
                <w:szCs w:val="18"/>
                <w:color w:val="0000FF"/>
                <w:w w:val="98"/>
              </w:rPr>
              <w:t>PART II. OTHER INFORMATION</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320" w:type="dxa"/>
            <w:vAlign w:val="bottom"/>
          </w:tcPr>
          <w:p>
            <w:pPr>
              <w:spacing w:after="0"/>
              <w:rPr>
                <w:sz w:val="16"/>
                <w:szCs w:val="16"/>
                <w:color w:val="auto"/>
              </w:rPr>
            </w:pP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Unregistered Shares of Equity Securities and Use of Proceeds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40" w:type="dxa"/>
            <w:vAlign w:val="bottom"/>
            <w:gridSpan w:val="2"/>
            <w:shd w:val="clear" w:color="auto" w:fill="CCEEFF"/>
          </w:tcPr>
          <w:p>
            <w:pPr>
              <w:spacing w:after="0"/>
              <w:rPr>
                <w:sz w:val="20"/>
                <w:szCs w:val="20"/>
                <w:color w:val="auto"/>
              </w:rPr>
            </w:pPr>
          </w:p>
        </w:tc>
        <w:tc>
          <w:tcPr>
            <w:tcW w:w="9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40" w:type="dxa"/>
            <w:vAlign w:val="bottom"/>
            <w:tcBorders>
              <w:top w:val="single" w:sz="8" w:color="CCEEFF"/>
            </w:tcBorders>
            <w:gridSpan w:val="2"/>
          </w:tcPr>
          <w:p>
            <w:pPr>
              <w:spacing w:after="0"/>
              <w:rPr>
                <w:sz w:val="16"/>
                <w:szCs w:val="16"/>
                <w:color w:val="auto"/>
              </w:rPr>
            </w:pPr>
          </w:p>
        </w:tc>
        <w:tc>
          <w:tcPr>
            <w:tcW w:w="232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020" w:type="dxa"/>
            <w:vAlign w:val="bottom"/>
            <w:tcBorders>
              <w:top w:val="single" w:sz="8" w:color="CCEEFF"/>
            </w:tcBorders>
            <w:gridSpan w:val="15"/>
          </w:tcPr>
          <w:p>
            <w:pPr>
              <w:spacing w:after="0"/>
              <w:rPr>
                <w:sz w:val="16"/>
                <w:szCs w:val="16"/>
                <w:color w:val="auto"/>
              </w:rPr>
            </w:pPr>
          </w:p>
        </w:tc>
        <w:tc>
          <w:tcPr>
            <w:tcW w:w="92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132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20" w:type="dxa"/>
            <w:vAlign w:val="bottom"/>
            <w:tcBorders>
              <w:bottom w:val="single" w:sz="8" w:color="CCEEFF"/>
            </w:tcBorders>
            <w:gridSpan w:val="19"/>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9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Securities Act of 1933, as amended (the “Securities Act”), the Securities Exchange Act of 1934, as amended (the “Exchange Act”), and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concerning the following:</w:t>
      </w:r>
    </w:p>
    <w:p>
      <w:pPr>
        <w:spacing w:after="0" w:line="225" w:lineRule="exact"/>
        <w:rPr>
          <w:sz w:val="20"/>
          <w:szCs w:val="20"/>
          <w:color w:val="auto"/>
        </w:rPr>
      </w:pPr>
    </w:p>
    <w:p>
      <w:pPr>
        <w:jc w:val="both"/>
        <w:ind w:left="1140" w:hanging="322"/>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7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cloud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cloud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 including by attracting new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solutions, or enhancements to our existing solutions, and bring them to market in a timely manner;</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225" w:lineRule="exact"/>
        <w:rPr>
          <w:rFonts w:ascii="Times New Roman" w:cs="Times New Roman" w:eastAsia="Times New Roman" w:hAnsi="Times New Roman"/>
          <w:sz w:val="18"/>
          <w:szCs w:val="18"/>
          <w:color w:val="auto"/>
        </w:rPr>
      </w:pPr>
    </w:p>
    <w:p>
      <w:pPr>
        <w:ind w:left="1140" w:right="340" w:hanging="322"/>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operations, financial results, and liquidity and capital resources, including on customers, sales, expenses, and employees;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 and our ability to effectively manage our growth and associated investments;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and objectives for future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 including channel partners and technology alliance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cash and cash equivalents to meet cash needs for at least the next 12 months;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developments relating to our valuation allowances for our deferred tax assets;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225" w:lineRule="exact"/>
        <w:rPr>
          <w:rFonts w:ascii="Times New Roman" w:cs="Times New Roman" w:eastAsia="Times New Roman" w:hAnsi="Times New Roman"/>
          <w:sz w:val="18"/>
          <w:szCs w:val="18"/>
          <w:color w:val="auto"/>
        </w:rPr>
      </w:pPr>
    </w:p>
    <w:p>
      <w:pPr>
        <w:ind w:left="1140" w:right="360" w:hanging="322"/>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both in the United States and internationally;</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maintain, and improve our internal control over financial reporting;</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including inflation and instability in the global credit and financial markets;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close and integrate acquisitions to contribute to our growth objectives; and</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80" w:lineRule="exact"/>
        <w:rPr>
          <w:sz w:val="20"/>
          <w:szCs w:val="20"/>
          <w:color w:val="auto"/>
        </w:rPr>
      </w:pPr>
    </w:p>
    <w:p>
      <w:pPr>
        <w:ind w:left="1140" w:right="60" w:hanging="322"/>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and if we do not manage our future growth, our business and results of operations will be adversely affected.</w:t>
      </w:r>
    </w:p>
    <w:p>
      <w:pPr>
        <w:spacing w:after="0" w:line="161" w:lineRule="exact"/>
        <w:rPr>
          <w:rFonts w:ascii="Times New Roman" w:cs="Times New Roman" w:eastAsia="Times New Roman" w:hAnsi="Times New Roman"/>
          <w:sz w:val="18"/>
          <w:szCs w:val="18"/>
          <w:color w:val="auto"/>
        </w:rPr>
      </w:pPr>
    </w:p>
    <w:p>
      <w:pPr>
        <w:ind w:left="1140" w:right="660" w:hanging="322"/>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while we have achieved profitability in quarterly periods, we may not be able to achieve or sustain profitability in the future.</w:t>
      </w:r>
    </w:p>
    <w:p>
      <w:pPr>
        <w:spacing w:after="0" w:line="161" w:lineRule="exact"/>
        <w:rPr>
          <w:rFonts w:ascii="Times New Roman" w:cs="Times New Roman" w:eastAsia="Times New Roman" w:hAnsi="Times New Roman"/>
          <w:sz w:val="18"/>
          <w:szCs w:val="18"/>
          <w:color w:val="auto"/>
        </w:rPr>
      </w:pPr>
    </w:p>
    <w:p>
      <w:pPr>
        <w:ind w:left="1140" w:right="600" w:hanging="322"/>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organizations do not adopt cloud-based SaaS-delivered endpoint security solutions, our ability to grow our business and results of operations may be adversely affected.</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future results of operations could be harmed.</w:t>
      </w:r>
    </w:p>
    <w:p>
      <w:pPr>
        <w:spacing w:after="0" w:line="225"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renew their subscriptions for our products and add additional cloud modules to their subscriptions, our future results of operations could be harmed.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cycles can be long and unpredictable, and our sales efforts require considerable time and expense,</w:t>
      </w:r>
    </w:p>
    <w:p>
      <w:pPr>
        <w:spacing w:after="0" w:line="225"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could lose market share to our competitors,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140" w:right="140" w:hanging="322"/>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61" w:lineRule="exact"/>
        <w:rPr>
          <w:rFonts w:ascii="Times New Roman" w:cs="Times New Roman" w:eastAsia="Times New Roman" w:hAnsi="Times New Roman"/>
          <w:sz w:val="18"/>
          <w:szCs w:val="18"/>
          <w:color w:val="auto"/>
        </w:rPr>
      </w:pPr>
    </w:p>
    <w:p>
      <w:pPr>
        <w:ind w:left="1140" w:right="140" w:hanging="322"/>
        <w:spacing w:after="0" w:line="28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60" w:hanging="322"/>
        <w:spacing w:after="0" w:line="266" w:lineRule="auto"/>
        <w:tabs>
          <w:tab w:leader="none" w:pos="1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75"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key technical, sales and management personnel to grow our business, and the loss of one or more key employees could harm our business.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personnel, our business could be harmed.</w:t>
      </w:r>
    </w:p>
    <w:p>
      <w:pPr>
        <w:spacing w:after="0" w:line="225" w:lineRule="exact"/>
        <w:rPr>
          <w:rFonts w:ascii="Times New Roman" w:cs="Times New Roman" w:eastAsia="Times New Roman" w:hAnsi="Times New Roman"/>
          <w:sz w:val="18"/>
          <w:szCs w:val="18"/>
          <w:color w:val="auto"/>
        </w:rPr>
      </w:pPr>
    </w:p>
    <w:p>
      <w:pPr>
        <w:ind w:left="1140" w:right="120" w:hanging="322"/>
        <w:spacing w:after="0" w:line="282" w:lineRule="auto"/>
        <w:tabs>
          <w:tab w:leader="none" w:pos="1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significantly, which could make our future results difficult to predict and could cause our results of operations to fall below expectations.</w:t>
      </w:r>
    </w:p>
    <w:p>
      <w:pPr>
        <w:spacing w:after="0" w:line="161" w:lineRule="exact"/>
        <w:rPr>
          <w:rFonts w:ascii="Times New Roman" w:cs="Times New Roman" w:eastAsia="Times New Roman" w:hAnsi="Times New Roman"/>
          <w:sz w:val="18"/>
          <w:szCs w:val="18"/>
          <w:color w:val="auto"/>
        </w:rPr>
      </w:pPr>
    </w:p>
    <w:p>
      <w:pPr>
        <w:ind w:left="1140" w:right="460" w:hanging="322"/>
        <w:spacing w:after="0" w:line="282" w:lineRule="auto"/>
        <w:tabs>
          <w:tab w:leader="none" w:pos="1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61" w:lineRule="exact"/>
        <w:rPr>
          <w:rFonts w:ascii="Times New Roman" w:cs="Times New Roman" w:eastAsia="Times New Roman" w:hAnsi="Times New Roman"/>
          <w:sz w:val="18"/>
          <w:szCs w:val="18"/>
          <w:color w:val="auto"/>
        </w:rPr>
      </w:pPr>
    </w:p>
    <w:p>
      <w:pPr>
        <w:ind w:left="1140" w:right="820" w:hanging="322"/>
        <w:spacing w:after="0" w:line="282" w:lineRule="auto"/>
        <w:tabs>
          <w:tab w:leader="none" w:pos="1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comply with applicable data protection, security, privacy, and other government- and industry-specific laws, regulations, standards or requirements, our business, results of operations, and financial condition could be harmed.</w:t>
      </w:r>
    </w:p>
    <w:p>
      <w:pPr>
        <w:spacing w:after="0" w:line="161" w:lineRule="exact"/>
        <w:rPr>
          <w:rFonts w:ascii="Times New Roman" w:cs="Times New Roman" w:eastAsia="Times New Roman" w:hAnsi="Times New Roman"/>
          <w:sz w:val="18"/>
          <w:szCs w:val="18"/>
          <w:color w:val="auto"/>
        </w:rPr>
      </w:pPr>
    </w:p>
    <w:p>
      <w:pPr>
        <w:ind w:left="1140" w:hanging="322"/>
        <w:spacing w:after="0" w:line="312" w:lineRule="auto"/>
        <w:tabs>
          <w:tab w:leader="none" w:pos="11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6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2,455,369</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138"/>
        </w:trPr>
        <w:tc>
          <w:tcPr>
            <w:tcW w:w="810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$1.3 million and $2.6 million as of October 31, 2023 and January 31, 2023,</w:t>
            </w:r>
          </w:p>
        </w:tc>
        <w:tc>
          <w:tcPr>
            <w:tcW w:w="26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561,872</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626,181</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26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186,855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121,862</w:t>
            </w:r>
          </w:p>
        </w:tc>
        <w:tc>
          <w:tcPr>
            <w:tcW w:w="0" w:type="dxa"/>
            <w:vAlign w:val="bottom"/>
          </w:tcPr>
          <w:p>
            <w:pPr>
              <w:spacing w:after="0"/>
              <w:rPr>
                <w:sz w:val="1"/>
                <w:szCs w:val="1"/>
                <w:color w:val="auto"/>
              </w:rPr>
            </w:pPr>
          </w:p>
        </w:tc>
      </w:tr>
      <w:tr>
        <w:trPr>
          <w:trHeight w:val="209"/>
        </w:trPr>
        <w:tc>
          <w:tcPr>
            <w:tcW w:w="8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4,079,133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3,640,267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investments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47,270</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581,037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492,335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39,936</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260,233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637,678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430,645</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86,889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28,965</w:t>
            </w:r>
          </w:p>
        </w:tc>
        <w:tc>
          <w:tcPr>
            <w:tcW w:w="0" w:type="dxa"/>
            <w:vAlign w:val="bottom"/>
          </w:tcPr>
          <w:p>
            <w:pPr>
              <w:spacing w:after="0"/>
              <w:rPr>
                <w:sz w:val="1"/>
                <w:szCs w:val="1"/>
                <w:color w:val="auto"/>
              </w:rPr>
            </w:pPr>
          </w:p>
        </w:tc>
      </w:tr>
      <w:tr>
        <w:trPr>
          <w:trHeight w:val="212"/>
        </w:trPr>
        <w:tc>
          <w:tcPr>
            <w:tcW w:w="8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5,831,056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5,026,540</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45,372</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137,884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168,767</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13,046</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1,727,484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16,519</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2,350,417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2,109,072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742,122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741,005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627,629</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29,567</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31,833</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3,770,209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3,539,106</w:t>
            </w:r>
          </w:p>
        </w:tc>
        <w:tc>
          <w:tcPr>
            <w:tcW w:w="0" w:type="dxa"/>
            <w:vAlign w:val="bottom"/>
          </w:tcPr>
          <w:p>
            <w:pPr>
              <w:spacing w:after="0"/>
              <w:rPr>
                <w:sz w:val="1"/>
                <w:szCs w:val="1"/>
                <w:color w:val="auto"/>
              </w:rPr>
            </w:pPr>
          </w:p>
        </w:tc>
      </w:tr>
      <w:tr>
        <w:trPr>
          <w:trHeight w:val="18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1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Preferred stock, $0.0005 par value; 100,000 shares authorized as of October 31, 2023 and January 31, 2023; no shares issued and</w:t>
            </w:r>
          </w:p>
        </w:tc>
        <w:tc>
          <w:tcPr>
            <w:tcW w:w="26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October 31, 2023 and January 31, 2023.</w:t>
            </w:r>
          </w:p>
        </w:tc>
        <w:tc>
          <w:tcPr>
            <w:tcW w:w="26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A common stock, $0.0005 par value; 2,000,000 shares authorized as of October 31, 2023 and January 31, 2023; 227,593 shares and</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222,759 shares issued and outstanding as of October 31, 2023 and January 31, 2023, respectively; Class B common stock, $0.0005 par</w:t>
            </w: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value; 300,000 shares authorized as of October 31, 2023 and January 31, 2023; 12,529 shares and 13,018 shares issued and outstanding as</w:t>
            </w:r>
          </w:p>
        </w:tc>
        <w:tc>
          <w:tcPr>
            <w:tcW w:w="2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October 31, 2023 and January 31, 2023, respectively.</w:t>
            </w:r>
          </w:p>
        </w:tc>
        <w:tc>
          <w:tcPr>
            <w:tcW w:w="2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2,612,705</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(1,148,163)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09"/>
        </w:trPr>
        <w:tc>
          <w:tcPr>
            <w:tcW w:w="8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CrowdStrike Holdings, Inc. stockholders’ equity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2,028,950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1,463,641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23,793</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2,060,847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1,487,434</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5,831,056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5,026,540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60" w:type="dxa"/>
            <w:vAlign w:val="bottom"/>
          </w:tcPr>
          <w:p>
            <w:pPr>
              <w:spacing w:after="0"/>
              <w:rPr>
                <w:sz w:val="18"/>
                <w:szCs w:val="18"/>
                <w:color w:val="auto"/>
              </w:rPr>
            </w:pPr>
          </w:p>
        </w:tc>
        <w:tc>
          <w:tcPr>
            <w:tcW w:w="2840" w:type="dxa"/>
            <w:vAlign w:val="bottom"/>
            <w:gridSpan w:val="4"/>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r>
      <w:tr>
        <w:trPr>
          <w:trHeight w:val="211"/>
        </w:trPr>
        <w:tc>
          <w:tcPr>
            <w:tcW w:w="49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547,376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2,074,610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1,513,397</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90,472</w:t>
            </w:r>
          </w:p>
        </w:tc>
      </w:tr>
      <w:tr>
        <w:trPr>
          <w:trHeight w:val="223"/>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580,882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2,210,220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1,603,869</w:t>
            </w:r>
          </w:p>
        </w:tc>
      </w:tr>
      <w:tr>
        <w:trPr>
          <w:trHeight w:val="236"/>
        </w:trPr>
        <w:tc>
          <w:tcPr>
            <w:tcW w:w="4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362,258</w:t>
            </w:r>
          </w:p>
        </w:tc>
      </w:tr>
      <w:tr>
        <w:trPr>
          <w:trHeight w:val="229"/>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63,369</w:t>
            </w:r>
          </w:p>
        </w:tc>
      </w:tr>
      <w:tr>
        <w:trPr>
          <w:trHeight w:val="223"/>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425,627</w:t>
            </w:r>
          </w:p>
        </w:tc>
      </w:tr>
      <w:tr>
        <w:trPr>
          <w:trHeight w:val="237"/>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1,178,242</w:t>
            </w:r>
          </w:p>
        </w:tc>
      </w:tr>
      <w:tr>
        <w:trPr>
          <w:trHeight w:val="257"/>
        </w:trPr>
        <w:tc>
          <w:tcPr>
            <w:tcW w:w="4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657,970</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416,519</w:t>
            </w:r>
          </w:p>
        </w:tc>
      </w:tr>
      <w:tr>
        <w:trPr>
          <w:trHeight w:val="230"/>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232,365</w:t>
            </w:r>
          </w:p>
        </w:tc>
      </w:tr>
      <w:tr>
        <w:trPr>
          <w:trHeight w:val="223"/>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1,306,854</w:t>
            </w:r>
          </w:p>
        </w:tc>
      </w:tr>
      <w:tr>
        <w:trPr>
          <w:trHeight w:val="237"/>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(128,612)</w:t>
            </w: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(18,967)</w:t>
            </w: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25,479</w:t>
            </w:r>
          </w:p>
        </w:tc>
      </w:tr>
      <w:tr>
        <w:trPr>
          <w:trHeight w:val="230"/>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w:t>
            </w:r>
          </w:p>
        </w:tc>
      </w:tr>
      <w:tr>
        <w:trPr>
          <w:trHeight w:val="236"/>
        </w:trPr>
        <w:tc>
          <w:tcPr>
            <w:tcW w:w="4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(116,265)</w:t>
            </w:r>
          </w:p>
        </w:tc>
      </w:tr>
      <w:tr>
        <w:trPr>
          <w:trHeight w:val="257"/>
        </w:trPr>
        <w:tc>
          <w:tcPr>
            <w:tcW w:w="4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17,088</w:t>
            </w:r>
          </w:p>
        </w:tc>
      </w:tr>
      <w:tr>
        <w:trPr>
          <w:trHeight w:val="237"/>
        </w:trPr>
        <w:tc>
          <w:tcPr>
            <w:tcW w:w="4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(133,353)</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(135,764)</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75"/>
        </w:trPr>
        <w:tc>
          <w:tcPr>
            <w:tcW w:w="4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attributable to CrowdStrike common</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9"/>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4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(0.58)</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75"/>
        </w:trPr>
        <w:tc>
          <w:tcPr>
            <w:tcW w:w="4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attributable to CrowdStrike common stockholders: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9"/>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232,502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4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243,799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233,785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242,196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232,502</w:t>
            </w:r>
          </w:p>
        </w:tc>
      </w:tr>
      <w:tr>
        <w:trPr>
          <w:trHeight w:val="21"/>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320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2840" w:type="dxa"/>
            <w:vAlign w:val="bottom"/>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r>
      <w:tr>
        <w:trPr>
          <w:trHeight w:val="211"/>
        </w:trPr>
        <w:tc>
          <w:tcPr>
            <w:tcW w:w="48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(133,353)</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w:t>
            </w: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(6,193)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w:t>
            </w:r>
          </w:p>
        </w:tc>
      </w:tr>
      <w:tr>
        <w:trPr>
          <w:trHeight w:val="155"/>
        </w:trPr>
        <w:tc>
          <w:tcPr>
            <w:tcW w:w="48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Comprehensive income attributable to non-controlling</w:t>
            </w: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attributable to CrowdStrike</w:t>
            </w: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20,472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(143,708)</w:t>
            </w:r>
          </w:p>
        </w:tc>
      </w:tr>
      <w:tr>
        <w:trPr>
          <w:trHeight w:val="21"/>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Three Months Ended October 31, 2023 and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210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4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40" w:type="dxa"/>
            <w:vAlign w:val="bottom"/>
          </w:tcPr>
          <w:p>
            <w:pPr>
              <w:spacing w:after="0"/>
              <w:rPr>
                <w:sz w:val="5"/>
                <w:szCs w:val="5"/>
                <w:color w:val="auto"/>
              </w:rPr>
            </w:pPr>
          </w:p>
        </w:tc>
        <w:tc>
          <w:tcPr>
            <w:tcW w:w="1020" w:type="dxa"/>
            <w:vAlign w:val="bottom"/>
            <w:gridSpan w:val="2"/>
          </w:tcPr>
          <w:p>
            <w:pPr>
              <w:jc w:val="center"/>
              <w:ind w:right="26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1"/>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July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238,775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2,976,375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(1,139,200)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1,870,100</w:t>
            </w:r>
          </w:p>
        </w:tc>
        <w:tc>
          <w:tcPr>
            <w:tcW w:w="0" w:type="dxa"/>
            <w:vAlign w:val="bottom"/>
          </w:tcPr>
          <w:p>
            <w:pPr>
              <w:spacing w:after="0"/>
              <w:rPr>
                <w:sz w:val="1"/>
                <w:szCs w:val="1"/>
                <w:color w:val="auto"/>
              </w:rPr>
            </w:pPr>
          </w:p>
        </w:tc>
      </w:tr>
      <w:tr>
        <w:trPr>
          <w:trHeight w:val="19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restricted stock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for founders holdbacks related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 acquisitions</w:t>
            </w: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board of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158,649</w:t>
            </w:r>
          </w:p>
        </w:tc>
        <w:tc>
          <w:tcPr>
            <w:tcW w:w="0" w:type="dxa"/>
            <w:vAlign w:val="bottom"/>
          </w:tcPr>
          <w:p>
            <w:pPr>
              <w:spacing w:after="0"/>
              <w:rPr>
                <w:sz w:val="1"/>
                <w:szCs w:val="1"/>
                <w:color w:val="auto"/>
              </w:rPr>
            </w:pPr>
          </w:p>
        </w:tc>
      </w:tr>
      <w:tr>
        <w:trPr>
          <w:trHeight w:val="19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7,943</w:t>
            </w:r>
          </w:p>
        </w:tc>
        <w:tc>
          <w:tcPr>
            <w:tcW w:w="0" w:type="dxa"/>
            <w:vAlign w:val="bottom"/>
          </w:tcPr>
          <w:p>
            <w:pPr>
              <w:spacing w:after="0"/>
              <w:rPr>
                <w:sz w:val="1"/>
                <w:szCs w:val="1"/>
                <w:color w:val="auto"/>
              </w:rPr>
            </w:pPr>
          </w:p>
        </w:tc>
      </w:tr>
      <w:tr>
        <w:trPr>
          <w:trHeight w:val="146"/>
        </w:trPr>
        <w:tc>
          <w:tcPr>
            <w:tcW w:w="3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Fair value of replacement equity awards attributable to</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pre-acquisition service</w:t>
            </w: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26,669</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October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240,122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3,146,645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(1,112,535)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31,897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2,060,847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500" w:type="dxa"/>
            <w:vAlign w:val="bottom"/>
          </w:tcPr>
          <w:p>
            <w:pPr>
              <w:spacing w:after="0"/>
              <w:rPr>
                <w:sz w:val="24"/>
                <w:szCs w:val="24"/>
                <w:color w:val="auto"/>
              </w:rPr>
            </w:pPr>
          </w:p>
        </w:tc>
        <w:tc>
          <w:tcPr>
            <w:tcW w:w="210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4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40" w:type="dxa"/>
            <w:vAlign w:val="bottom"/>
          </w:tcPr>
          <w:p>
            <w:pPr>
              <w:spacing w:after="0"/>
              <w:rPr>
                <w:sz w:val="5"/>
                <w:szCs w:val="5"/>
                <w:color w:val="auto"/>
              </w:rPr>
            </w:pPr>
          </w:p>
        </w:tc>
        <w:tc>
          <w:tcPr>
            <w:tcW w:w="1020" w:type="dxa"/>
            <w:vAlign w:val="bottom"/>
            <w:gridSpan w:val="2"/>
          </w:tcPr>
          <w:p>
            <w:pPr>
              <w:jc w:val="center"/>
              <w:ind w:right="26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300" w:type="dxa"/>
            <w:vAlign w:val="bottom"/>
            <w:gridSpan w:val="3"/>
          </w:tcPr>
          <w:p>
            <w:pPr>
              <w:jc w:val="center"/>
              <w:ind w:right="120"/>
              <w:spacing w:after="0" w:line="61"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1"/>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July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233,368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2,276,704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(1,045,726)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1,243,347</w:t>
            </w:r>
          </w:p>
        </w:tc>
        <w:tc>
          <w:tcPr>
            <w:tcW w:w="0" w:type="dxa"/>
            <w:vAlign w:val="bottom"/>
          </w:tcPr>
          <w:p>
            <w:pPr>
              <w:spacing w:after="0"/>
              <w:rPr>
                <w:sz w:val="1"/>
                <w:szCs w:val="1"/>
                <w:color w:val="auto"/>
              </w:rPr>
            </w:pPr>
          </w:p>
        </w:tc>
      </w:tr>
      <w:tr>
        <w:trPr>
          <w:trHeight w:val="19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restricted stock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early exercised options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for founders holdbacks related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0" w:type="dxa"/>
            <w:vAlign w:val="bottom"/>
          </w:tcPr>
          <w:p>
            <w:pPr>
              <w:spacing w:after="0"/>
              <w:rPr>
                <w:sz w:val="1"/>
                <w:szCs w:val="1"/>
                <w:color w:val="auto"/>
              </w:rPr>
            </w:pPr>
          </w:p>
        </w:tc>
      </w:tr>
      <w:tr>
        <w:trPr>
          <w:trHeight w:val="19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acquisitions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138,453</w:t>
            </w:r>
          </w:p>
        </w:tc>
        <w:tc>
          <w:tcPr>
            <w:tcW w:w="0" w:type="dxa"/>
            <w:vAlign w:val="bottom"/>
          </w:tcPr>
          <w:p>
            <w:pPr>
              <w:spacing w:after="0"/>
              <w:rPr>
                <w:sz w:val="1"/>
                <w:szCs w:val="1"/>
                <w:color w:val="auto"/>
              </w:rPr>
            </w:pPr>
          </w:p>
        </w:tc>
      </w:tr>
      <w:tr>
        <w:trPr>
          <w:trHeight w:val="19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142"/>
        </w:trPr>
        <w:tc>
          <w:tcPr>
            <w:tcW w:w="3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Fair value of replacement equity awards attributable to</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pre-acquisition service</w:t>
            </w: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(54,631)</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w:t>
            </w:r>
          </w:p>
        </w:tc>
        <w:tc>
          <w:tcPr>
            <w:tcW w:w="0" w:type="dxa"/>
            <w:vAlign w:val="bottom"/>
          </w:tcPr>
          <w:p>
            <w:pPr>
              <w:spacing w:after="0"/>
              <w:rPr>
                <w:sz w:val="1"/>
                <w:szCs w:val="1"/>
                <w:color w:val="auto"/>
              </w:rPr>
            </w:pPr>
          </w:p>
        </w:tc>
      </w:tr>
      <w:tr>
        <w:trPr>
          <w:trHeight w:val="22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October 31,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2,424,038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(1,100,682)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1,337,632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Nine Months Ended October 31, 2023 and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300" w:type="dxa"/>
            <w:vAlign w:val="bottom"/>
            <w:gridSpan w:val="3"/>
          </w:tcPr>
          <w:p>
            <w:pPr>
              <w:jc w:val="right"/>
              <w:ind w:right="180"/>
              <w:spacing w:after="0" w:line="61"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January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235,777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2,612,705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(1,148,163)</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23,793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1,487,434</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6,176</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45,431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45,432</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restricted stock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3,426</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board of directors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451,590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451,590</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26,411</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Fair value of replacement equity awards attributable to pre-</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service</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35,628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35,644</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8,088</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October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240,122</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3,146,645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(1,112,535)</w:t>
            </w:r>
          </w:p>
        </w:tc>
        <w:tc>
          <w:tcPr>
            <w:tcW w:w="1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31,897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2,060,847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500" w:type="dxa"/>
            <w:vAlign w:val="bottom"/>
          </w:tcPr>
          <w:p>
            <w:pPr>
              <w:spacing w:after="0"/>
              <w:rPr>
                <w:sz w:val="24"/>
                <w:szCs w:val="2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300" w:type="dxa"/>
            <w:vAlign w:val="bottom"/>
            <w:gridSpan w:val="3"/>
          </w:tcPr>
          <w:p>
            <w:pPr>
              <w:jc w:val="right"/>
              <w:ind w:right="180"/>
              <w:spacing w:after="0" w:line="61"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January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230,706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1,991,807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(964,918)</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1,037,643</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6,396</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34,445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34,445</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restricted stock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w:t>
            </w: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6,328</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369,012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369,012</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13,798</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Fair value of replacement equity awards attributable to pre-</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service</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(135,764)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(133,353)</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9,053</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(7,944)</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October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234,361</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2,424,038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(1,100,682)</w:t>
            </w:r>
          </w:p>
        </w:tc>
        <w:tc>
          <w:tcPr>
            <w:tcW w:w="1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(9,184)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23,343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1,337,632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ind w:left="4060"/>
        <w:spacing w:after="0" w:line="209" w:lineRule="auto"/>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jc w:val="center"/>
        <w:spacing w:after="0" w:line="221" w:lineRule="auto"/>
        <w:rPr>
          <w:sz w:val="20"/>
          <w:szCs w:val="20"/>
          <w:color w:val="auto"/>
        </w:rPr>
      </w:pPr>
      <w:r>
        <w:rPr>
          <w:rFonts w:ascii="Times New Roman" w:cs="Times New Roman" w:eastAsia="Times New Roman" w:hAnsi="Times New Roman"/>
          <w:sz w:val="14"/>
          <w:szCs w:val="14"/>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0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600" w:type="dxa"/>
            <w:vAlign w:val="bottom"/>
            <w:tcBorders>
              <w:bottom w:val="single" w:sz="8" w:color="auto"/>
            </w:tcBorders>
          </w:tcPr>
          <w:p>
            <w:pPr>
              <w:spacing w:after="0"/>
              <w:rPr>
                <w:sz w:val="15"/>
                <w:szCs w:val="15"/>
                <w:color w:val="auto"/>
              </w:rPr>
            </w:pPr>
          </w:p>
        </w:tc>
      </w:tr>
      <w:tr>
        <w:trPr>
          <w:trHeight w:val="171"/>
        </w:trPr>
        <w:tc>
          <w:tcPr>
            <w:tcW w:w="8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r>
      <w:tr>
        <w:trPr>
          <w:trHeight w:val="16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35,644</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(133,353)</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89,972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53,622</w:t>
            </w: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12,338</w:t>
            </w: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173,158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121,550</w:t>
            </w: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operating lease cost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6,818</w:t>
            </w: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455,247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374,157</w:t>
            </w: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w:t>
            </w: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interest expense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w:t>
            </w: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fair value of strategic investments</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(4,757)</w:t>
            </w: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Accretion of short-term investments purchased at a discount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 net of impact of acquisitions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receivable, net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65,858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(117,240)</w:t>
            </w: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contract acquisition costs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(206,678)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(183,265)</w:t>
            </w: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(21,972)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(14,121)</w:t>
            </w: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25,007</w:t>
            </w: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21,820</w:t>
            </w: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payroll and benefits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21,635</w:t>
            </w: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(7,037)</w:t>
            </w: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185,655</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486,177</w:t>
            </w:r>
          </w:p>
        </w:tc>
      </w:tr>
      <w:tr>
        <w:trPr>
          <w:trHeight w:val="163"/>
        </w:trPr>
        <w:tc>
          <w:tcPr>
            <w:tcW w:w="810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819,191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667,714</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(123,945)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(179,609)</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internal-use software and website development costs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(38,605)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(20,739)</w:t>
            </w: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strategic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(18,006)</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 acquisitions, net of cash acquired</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(238,749)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(18,464)</w:t>
            </w: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intangible assets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short-term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(195,581)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maturities and sales of short-term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deferred compensation investments</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10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(361,045)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(237,518)</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Repayment of loan payable</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(1,591)</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upon exercise of stock options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6,396</w:t>
            </w: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under the employee stock purchase plan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45,432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34,445</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contributions from non-controlling interest holders</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8,088</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9,053</w:t>
            </w:r>
          </w:p>
        </w:tc>
      </w:tr>
      <w:tr>
        <w:trPr>
          <w:trHeight w:val="163"/>
        </w:trPr>
        <w:tc>
          <w:tcPr>
            <w:tcW w:w="810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59,698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48,303</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foreign exchange rates on cash, cash equivalents and restricted cash</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(3,411)</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(7,074)</w:t>
            </w:r>
          </w:p>
        </w:tc>
      </w:tr>
      <w:tr>
        <w:trPr>
          <w:trHeight w:val="163"/>
        </w:trPr>
        <w:tc>
          <w:tcPr>
            <w:tcW w:w="810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514,433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471,425</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2,456,924</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1,996,633</w:t>
            </w:r>
          </w:p>
        </w:tc>
      </w:tr>
      <w:tr>
        <w:trPr>
          <w:trHeight w:val="163"/>
        </w:trPr>
        <w:tc>
          <w:tcPr>
            <w:tcW w:w="81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9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2,971,357</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2,468,058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8"/>
        </w:trPr>
        <w:tc>
          <w:tcPr>
            <w:tcW w:w="8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the end of period:</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2,968,872</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2,466,551</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 included in prepaid expenses and other assets</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2,485</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w:t>
            </w:r>
          </w:p>
        </w:tc>
      </w:tr>
      <w:tr>
        <w:trPr>
          <w:trHeight w:val="163"/>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cash, cash equivalents and restricted cash shown in the condensed consolidated statements of cash flows</w:t>
            </w:r>
          </w:p>
        </w:tc>
        <w:tc>
          <w:tcPr>
            <w:tcW w:w="9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2,971,357</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2,468,058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8"/>
        </w:trPr>
        <w:tc>
          <w:tcPr>
            <w:tcW w:w="8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paid</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22,547</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 paid, net of refunds received</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6,769</w:t>
            </w: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property and equipment included in accounts payable and accrued expenses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13,271</w:t>
            </w: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w:t>
            </w: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consideration for acquisitions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64"/>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 arising from obtaining operating right-of-use assets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21,883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1,702</w:t>
            </w: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660" w:right="6580" w:hanging="652"/>
        <w:spacing w:after="0" w:line="503" w:lineRule="auto"/>
        <w:tabs>
          <w:tab w:leader="none" w:pos="192"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 and Significant Accounting Policies Business</w:t>
      </w: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CrowdStrike Holdings, Inc. (the “Company”) was formed on November 7, 2011. The Company is a global cybersecurity leader that provides cloud-delivered protection of endpoints, cloud workloads, identity, and data via a software as a service (“SaaS”) subscription-based model that spans multiple large security markets, including corporate endpoint security, security and IT operations, managed security services, observability, cloud security, identity protection, threat intelligence, data protection and cybersecurity generative AI. The Company conducts its business in the United States, as well as locations internationally, including in Australia, Germany, India, Israel, Romania, and the United Kingdom.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2023,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and nine months ended October 31, 2023 are not necessarily indicative of the results to be expected for the year ending January 31, 2024 or for any other interim period or for any other future year.</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2023, filed with the SEC on March 9, 2023.</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differences could be material to the Company’s condensed consolidated financial statements.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measurement and disclosure of contingent liabilities, income taxes, stock-based compensation, and the fair value of assets acquired and liabilities assumed in business combinations.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Geographic Information</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short-term investments, accounts receivable, and strategic investments. The Company’s cash is placed with high-credit-quality financial institutions and issuers, and at times exceeds federally insured limits. The Company has not experienced any credit loss relating to its cash, cash equivalents, short-term investments, or strategic investments. The Company performs periodic credit evaluations of its customers and generally does not require collateral.</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channel partners or direct customers who represented 10% or more of the Company’s accounts receivable as of October 31, 2023 or January 31, 2023.</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channel partners or direct customers who represented 10% or more of the Company’s total revenue for each of the three and nine months ended October 31, 2023 or 2022.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January 31, 2023. There have been no significant changes to these policies that have had a material impact on the Company’s condensed consolidated financial statements and related notes for the three and nine months ended October 31, 2023.</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For public business entities, this ASU is effective for fiscal years beginning after December 15, 2022, and interim periods within those fiscal years. The Company adopted this guidance on February 1, 2023, which did not have a material effect on its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Investments and Fair Value Measurements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follows ASC 820</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with respect to cash equivalents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hierarchy is broken down into three levels as follows:</w:t>
      </w:r>
    </w:p>
    <w:p>
      <w:pPr>
        <w:spacing w:after="0" w:line="225" w:lineRule="exact"/>
        <w:rPr>
          <w:sz w:val="20"/>
          <w:szCs w:val="20"/>
          <w:color w:val="auto"/>
        </w:rPr>
      </w:pPr>
    </w:p>
    <w:p>
      <w:pPr>
        <w:ind w:left="660" w:right="360"/>
        <w:spacing w:after="0" w:line="261" w:lineRule="auto"/>
        <w:rPr>
          <w:sz w:val="20"/>
          <w:szCs w:val="20"/>
          <w:color w:val="auto"/>
        </w:rPr>
      </w:pPr>
      <w:r>
        <w:rPr>
          <w:rFonts w:ascii="Times New Roman" w:cs="Times New Roman" w:eastAsia="Times New Roman" w:hAnsi="Times New Roman"/>
          <w:sz w:val="18"/>
          <w:szCs w:val="18"/>
          <w:color w:val="auto"/>
        </w:rPr>
        <w:t>Level 1 Assets and liabilities whose values are based on unadjusted quoted market prices for identical assets and liabilities in active markets Level 2 Assets and liabilities whose values are based on quoted prices in markets that are not active or inputs that are observable for</w:t>
      </w:r>
    </w:p>
    <w:p>
      <w:pPr>
        <w:ind w:left="1460"/>
        <w:spacing w:after="0"/>
        <w:rPr>
          <w:sz w:val="20"/>
          <w:szCs w:val="20"/>
          <w:color w:val="auto"/>
        </w:rPr>
      </w:pPr>
      <w:r>
        <w:rPr>
          <w:rFonts w:ascii="Times New Roman" w:cs="Times New Roman" w:eastAsia="Times New Roman" w:hAnsi="Times New Roman"/>
          <w:sz w:val="18"/>
          <w:szCs w:val="18"/>
          <w:color w:val="auto"/>
        </w:rPr>
        <w:t>substantially the full term of the asset or liability</w:t>
      </w:r>
    </w:p>
    <w:p>
      <w:pPr>
        <w:spacing w:after="0" w:line="9" w:lineRule="exact"/>
        <w:rPr>
          <w:sz w:val="20"/>
          <w:szCs w:val="20"/>
          <w:color w:val="auto"/>
        </w:rPr>
      </w:pPr>
    </w:p>
    <w:p>
      <w:pPr>
        <w:ind w:left="1380" w:right="600" w:hanging="809"/>
        <w:spacing w:after="0" w:line="260" w:lineRule="auto"/>
        <w:tabs>
          <w:tab w:leader="none" w:pos="1360" w:val="left"/>
        </w:tabs>
        <w:rPr>
          <w:sz w:val="20"/>
          <w:szCs w:val="20"/>
          <w:color w:val="auto"/>
        </w:rPr>
      </w:pPr>
      <w:r>
        <w:rPr>
          <w:rFonts w:ascii="Times New Roman" w:cs="Times New Roman" w:eastAsia="Times New Roman" w:hAnsi="Times New Roman"/>
          <w:sz w:val="18"/>
          <w:szCs w:val="18"/>
          <w:color w:val="auto"/>
        </w:rPr>
        <w:t>Level 3</w:t>
        <w:tab/>
        <w:t>Assets and liabilities whose values are based on prices or valuation techniques that require inputs that are both unobservable and significant to the overall fair value measurement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Categorization within the valuation hierarchy is based upon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its financial assets and liabilities that are measured at fair value on a recurring basis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0"/>
        </w:trPr>
        <w:tc>
          <w:tcPr>
            <w:tcW w:w="30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6"/>
        </w:trPr>
        <w:tc>
          <w:tcPr>
            <w:tcW w:w="3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Cash equivalents </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2,060,186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2,060,186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64,752</w:t>
            </w:r>
          </w:p>
        </w:tc>
      </w:tr>
      <w:tr>
        <w:trPr>
          <w:trHeight w:val="213"/>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0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Short-term investments</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compensation investments</w:t>
            </w:r>
          </w:p>
        </w:tc>
        <w:tc>
          <w:tcPr>
            <w:tcW w:w="2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37"/>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2,061,651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2,854,534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64,816</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60" w:right="580" w:hanging="652"/>
        <w:spacing w:after="0" w:line="280"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$250.0 million of time deposits, which are included in short-term investments, are excluded since they are carried at cost and approximate fair value as of January 31, 2023.</w:t>
      </w:r>
    </w:p>
    <w:p>
      <w:pPr>
        <w:spacing w:after="0" w:line="5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equivalents exclude $1.6 billion of time deposits, which are carried at cost and approximate fair value as of January 31, 2023.</w:t>
      </w:r>
    </w:p>
    <w:p>
      <w:pPr>
        <w:spacing w:after="0" w:line="230"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were no transfers between the levels of the fair value hierarchy during the periods presented.</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the changes in the net carrying value of strategic investments, which are Level 3, within the fair value hierarchy for the three and nine months ended October 31, 2023 and October 31, 2022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4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260" w:type="dxa"/>
            <w:vAlign w:val="bottom"/>
          </w:tcPr>
          <w:p>
            <w:pPr>
              <w:spacing w:after="0"/>
              <w:rPr>
                <w:sz w:val="20"/>
                <w:szCs w:val="20"/>
                <w:color w:val="auto"/>
              </w:rPr>
            </w:pPr>
          </w:p>
        </w:tc>
        <w:tc>
          <w:tcPr>
            <w:tcW w:w="30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r>
      <w:tr>
        <w:trPr>
          <w:trHeight w:val="223"/>
        </w:trPr>
        <w:tc>
          <w:tcPr>
            <w:tcW w:w="45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beginning of period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23,632</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related to non-marketable securities: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10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18,005</w:t>
            </w: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net gains due to changes in fair value</w:t>
            </w:r>
          </w:p>
        </w:tc>
        <w:tc>
          <w:tcPr>
            <w:tcW w:w="10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end of period</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46,395</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Cumulative unrealized gains and losses for equity securities held as of October 31, 2023 are $9.6 million and $2.9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right="8400" w:hanging="652"/>
        <w:spacing w:after="0" w:line="532" w:lineRule="auto"/>
        <w:tabs>
          <w:tab w:leader="none" w:pos="192"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Balance Sheet Components Property and Equipment, Net</w:t>
      </w:r>
    </w:p>
    <w:p>
      <w:pPr>
        <w:spacing w:after="0" w:line="1" w:lineRule="exact"/>
        <w:rPr>
          <w:rFonts w:ascii="Times New Roman" w:cs="Times New Roman" w:eastAsia="Times New Roman" w:hAnsi="Times New Roman"/>
          <w:sz w:val="17"/>
          <w:szCs w:val="17"/>
          <w:b w:val="1"/>
          <w:bCs w:val="1"/>
          <w:i w:val="1"/>
          <w:iCs w:val="1"/>
          <w:color w:val="auto"/>
        </w:rPr>
      </w:pPr>
    </w:p>
    <w:p>
      <w:pPr>
        <w:ind w:left="66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80" w:type="dxa"/>
            <w:vAlign w:val="bottom"/>
          </w:tcPr>
          <w:p>
            <w:pPr>
              <w:spacing w:after="0"/>
              <w:rPr>
                <w:sz w:val="16"/>
                <w:szCs w:val="16"/>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January 31, 2023</w:t>
            </w:r>
          </w:p>
        </w:tc>
      </w:tr>
      <w:tr>
        <w:trPr>
          <w:trHeight w:val="2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center and other computer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297,585</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and website development costs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113,276</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24,944</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183,760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259,013</w:t>
            </w:r>
          </w:p>
        </w:tc>
      </w:tr>
      <w:tr>
        <w:trPr>
          <w:trHeight w:val="223"/>
        </w:trPr>
        <w:tc>
          <w:tcPr>
            <w:tcW w:w="8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708,614</w:t>
            </w: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(216,279)</w:t>
            </w:r>
          </w:p>
        </w:tc>
      </w:tr>
      <w:tr>
        <w:trPr>
          <w:trHeight w:val="248"/>
        </w:trPr>
        <w:tc>
          <w:tcPr>
            <w:tcW w:w="8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581,037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492,335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Construction in progress primarily includes data center equipment purchased that has not yet been placed in service. Data center equipment that was purchased but not yet been placed into service was $160.1 million as of October 31, 2023.</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$33.8 million and $19.5 million during the three months ended October 31, 2023 and October 31, 2022, respectively, and $90.0 million and $53.6 million during the nine months ended October 31, 2023 and October 31, 2022, respectively.</w:t>
      </w:r>
    </w:p>
    <w:p>
      <w:pPr>
        <w:spacing w:after="0" w:line="176"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There was no impairment of property and equipment during the three and nine months ended October 31, 2023 and October 31, 2022. The Company capitalized $19.8 million and $12.9 million in internal-use software and website development costs during the three months ended October 31, 2023 and October 31, 2022, respectively, and $60.0 million and $34.5 million during the nine months ended October 31, 2023 and October 31, 2022, respectively. Amortization expense associated with internal-use software and website development costs totaled $9.5 million and $5.6 million during the three months ended October 31, 2023 and October 31, 2022, respectively, and $25.4 million and $14.8 million during the nine months ended October 31, 2023 and October 31, 2022, respectively. The net book value of capitalized internal-use software and website development costs was $101.0 million and $66.3 million as of October 31, 2023 and January 31, 2023,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intangible assets, net consisted of the following (dollars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11"/>
                <w:szCs w:val="11"/>
                <w:color w:val="auto"/>
              </w:rPr>
            </w:pPr>
          </w:p>
        </w:tc>
        <w:tc>
          <w:tcPr>
            <w:tcW w:w="15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94,309</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109,423</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482"/>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11"/>
                <w:szCs w:val="11"/>
                <w:color w:val="auto"/>
              </w:rPr>
            </w:pPr>
          </w:p>
        </w:tc>
        <w:tc>
          <w:tcPr>
            <w:tcW w:w="15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86,889</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$4.6 million and $4.1 million during the three months ended October 31, 2023 and October 31, 2022, respectively, and $12.9 million and $12.3 million during the nine months ended October 31, 2023 and October 31, 2022,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aggregate future amortization expense of intangible assets as of October 31, 2023 is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 (remaining three months)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22,101</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18,313</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23,654</w:t>
            </w:r>
          </w:p>
        </w:tc>
      </w:tr>
      <w:tr>
        <w:trPr>
          <w:trHeight w:val="248"/>
        </w:trPr>
        <w:tc>
          <w:tcPr>
            <w:tcW w:w="9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Developed technology, customer relationships, and other acquired intangible assets are amortized over their estimated useful lives, generally on a straight-line basis, for periods ranging from 2 to 20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9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 in goodwill during the nine months ended October 31, 2023 consisted of the following (in thousands):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7"/>
        </w:trPr>
        <w:tc>
          <w:tcPr>
            <w:tcW w:w="9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January 31, 2023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430,645</w:t>
            </w:r>
          </w:p>
        </w:tc>
      </w:tr>
      <w:tr>
        <w:trPr>
          <w:trHeight w:val="230"/>
        </w:trPr>
        <w:tc>
          <w:tcPr>
            <w:tcW w:w="97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Goodwill acquired</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207,162</w:t>
            </w:r>
          </w:p>
        </w:tc>
      </w:tr>
      <w:tr>
        <w:trPr>
          <w:trHeight w:val="229"/>
        </w:trPr>
        <w:tc>
          <w:tcPr>
            <w:tcW w:w="9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 of October 31, 2023</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637,678</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acquired resulted from the acquisition of Bionic Technology. Refer to Note 9 for additional information.</w:t>
      </w:r>
    </w:p>
    <w:p>
      <w:pPr>
        <w:spacing w:after="0" w:line="226"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Accrued expenses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80" w:type="dxa"/>
            <w:vAlign w:val="bottom"/>
          </w:tcPr>
          <w:p>
            <w:pPr>
              <w:spacing w:after="0"/>
              <w:rPr>
                <w:sz w:val="16"/>
                <w:szCs w:val="16"/>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0" w:type="dxa"/>
            <w:vAlign w:val="bottom"/>
          </w:tcPr>
          <w:p>
            <w:pPr>
              <w:spacing w:after="0"/>
              <w:rPr>
                <w:sz w:val="1"/>
                <w:szCs w:val="1"/>
                <w:color w:val="auto"/>
              </w:rPr>
            </w:pPr>
          </w:p>
        </w:tc>
      </w:tr>
      <w:tr>
        <w:trPr>
          <w:trHeight w:val="23"/>
        </w:trPr>
        <w:tc>
          <w:tcPr>
            <w:tcW w:w="44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 hosting services</w:t>
            </w:r>
          </w:p>
        </w:tc>
        <w:tc>
          <w:tcPr>
            <w:tcW w:w="36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65,589</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3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3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partner commissions</w:t>
            </w:r>
          </w:p>
        </w:tc>
        <w:tc>
          <w:tcPr>
            <w:tcW w:w="3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3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health benefit</w:t>
            </w:r>
          </w:p>
        </w:tc>
        <w:tc>
          <w:tcPr>
            <w:tcW w:w="3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interest expense</w:t>
            </w:r>
          </w:p>
        </w:tc>
        <w:tc>
          <w:tcPr>
            <w:tcW w:w="3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4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Accrued Payroll and Benefits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payroll and benefits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80" w:type="dxa"/>
            <w:vAlign w:val="bottom"/>
          </w:tcPr>
          <w:p>
            <w:pPr>
              <w:spacing w:after="0"/>
              <w:rPr>
                <w:sz w:val="16"/>
                <w:szCs w:val="16"/>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January 31, 2023</w:t>
            </w:r>
          </w:p>
        </w:tc>
      </w:tr>
      <w:tr>
        <w:trPr>
          <w:trHeight w:val="23"/>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77,287</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39,907</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34,098</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17,475</w:t>
            </w:r>
          </w:p>
        </w:tc>
      </w:tr>
      <w:tr>
        <w:trPr>
          <w:trHeight w:val="248"/>
        </w:trPr>
        <w:tc>
          <w:tcPr>
            <w:tcW w:w="8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Credit Facility</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spacing w:after="0" w:line="187" w:lineRule="exact"/>
        <w:rPr>
          <w:sz w:val="20"/>
          <w:szCs w:val="20"/>
          <w:color w:val="auto"/>
        </w:rPr>
      </w:pPr>
    </w:p>
    <w:p>
      <w:pPr>
        <w:jc w:val="both"/>
        <w:ind w:right="100" w:firstLine="648"/>
        <w:spacing w:after="0" w:line="255" w:lineRule="auto"/>
        <w:rPr>
          <w:sz w:val="20"/>
          <w:szCs w:val="20"/>
          <w:color w:val="auto"/>
        </w:rPr>
      </w:pPr>
      <w:r>
        <w:rPr>
          <w:rFonts w:ascii="Times New Roman" w:cs="Times New Roman" w:eastAsia="Times New Roman" w:hAnsi="Times New Roman"/>
          <w:sz w:val="18"/>
          <w:szCs w:val="18"/>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w:t>
      </w:r>
    </w:p>
    <w:p>
      <w:pPr>
        <w:spacing w:after="0" w:line="3" w:lineRule="exact"/>
        <w:rPr>
          <w:sz w:val="20"/>
          <w:szCs w:val="20"/>
          <w:color w:val="auto"/>
        </w:rPr>
      </w:pPr>
    </w:p>
    <w:p>
      <w:pPr>
        <w:ind w:right="120" w:firstLine="8"/>
        <w:spacing w:after="0" w:line="278" w:lineRule="auto"/>
        <w:tabs>
          <w:tab w:leader="none" w:pos="24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Secured Overnight Finance Rate (the “Term SOFR”) for a one-month tenor in effect on such day plus 1.00%, in each case plus a margin between (0.25)% and 0.25%, depending on the senior secured leverage ratio. The Company will be charged a commitment fee of 0.15% to 0.25% per year</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committed but unused amounts, depending on the senior secured leverage ratio. The financial covenants require the Company to maintain a minimum consolidated interest coverage ratio of 3.00:1.00, and a maximum total leverage ratio of 5.50:1.00 stepping down to 3.50:1.00 over time. The Company was in compliance with all of its financial covenants as of October 31, 2023.</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amounts were outstanding under the Amended A&amp;R Credit Agreement as of October 31, 2023 or January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January 20, 2021, the Company issued $750.0 million in aggregate principal amount of 3.00% Senior Notes maturing in February 2029. The Senior 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the three months ended October 31, 2023 and 2022 and $18.0 million during the nine months ended October 31, 2023 and 2022.</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October 31, 2023, the Company was in compliance with all of its financial covenants under the Indenture associated with the Senior Notes.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Based on the trading prices of the Senior Notes, the fair value of the Senior Notes was approximately $625.2 million and $645.4 million as of October 31, 2023 and January 31, 2023,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Income Taxes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recognized income tax expense of $9.6 million and $8.9 million for the three months ended October 31, 2023 and October 31, 2022, respectively, and $18.6 million and $17.1 million for the nine months ended October 31, 2023 and October 31, 2022, respectively. The tax expense for the three and nine months ended October 31, 2023 was primarily attributable to the Company's pre-tax income and withholding taxes. The tax expense for the three and nine months ended October 31, 2022 was primarily attributable to the Company's pre-tax income, withholding taxes and impact from the intercompany sale of intellectual property. The Company’s effective tax rates of 26.5% and (19.4)% for the three months ended October 31, 2023 and October 31, 2022, respectively, and 34.3% and (14.7)% for the nine months ended October 31, 2023 and October 31, 2022, respectively, differ from the U.S. statutory tax rate primarily due to taxes in foreign jurisdictions and the full valuation allowance in the U.S.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Total gross unrecognized tax benefits were $52.9 million and $36.9 million as of October 31, 2023 and January 31, 2023, respectively, which is primarily attributable to research and development credits. As of October 31, 2023 and January 31, 2023, approximately $8.2 million and $4.2 million, respectively of unrecognized tax benefits, which, if recognized, would affect the Company’s effective tax rate due to the full valuation allowance. The Company’s policy is to classify interest and penalties related to unrecognized tax benefits as part of the income tax provision in the condensed consolidated statements of operations. The Company had incurred an insignificant amount of interest and penalties related to unrecognized tax benefits as of October 31,</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January 31, 2023. The potential change in unrecognized tax benefits during the next 12 months is not expected to be material.</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 full valuation allowance on the Company’s U.S. federal and state and certain foreign deferred tax assets, including net operating loss carryforwards and tax credits, which the Company has determined are not realizable on a more-likely-than-not basis. The Company regularly evaluates the need for a valuation allowance. Due to recent profitability, a reversal of the Company’s valuation allowance in certain jurisdictions in the foreseeable future is reasonably possible.</w:t>
      </w:r>
    </w:p>
    <w:p>
      <w:pPr>
        <w:spacing w:after="0" w:line="176" w:lineRule="exact"/>
        <w:rPr>
          <w:sz w:val="20"/>
          <w:szCs w:val="20"/>
          <w:color w:val="auto"/>
        </w:rPr>
      </w:pPr>
    </w:p>
    <w:p>
      <w:pPr>
        <w:jc w:val="right"/>
        <w:ind w:left="660" w:right="9020" w:hanging="652"/>
        <w:spacing w:after="0" w:line="532" w:lineRule="auto"/>
        <w:tabs>
          <w:tab w:leader="none" w:pos="192"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Stock-Based Compensation Stock Incentive Plan</w:t>
      </w:r>
    </w:p>
    <w:p>
      <w:pPr>
        <w:spacing w:after="0" w:line="1"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(“RSUs”), and performance-based restricted stock units (“PSUs”).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the Company’s board of directors may determine.</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terminate, or are forfeited or repurchased under the 2011 Plan will be automatically transferred to the 2019 Plan.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options granted during the three and nine months ended October 31, 2023 and October 31, 2022 were immaterial.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stock option activity for the nine months ended October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October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Options vested and expected to vest at October 31, 2023</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2,070</w:t>
            </w:r>
          </w:p>
        </w:tc>
        <w:tc>
          <w:tcPr>
            <w:tcW w:w="26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October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Options outstanding include 175,995 options that were unvested and exercisable as of October 31, 2023.</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vested and exercisable was $309.3 million and $247.2 million as of October 31, 2023 and January 31, 2023, respectively. The weighted-average remaining contractual term of options vested and exercisable was 4.4 years and 4.8 years as of October 31, 2023 and January 31, 2023, respectively.</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values of all options granted was $126.00 and $116.30 per share during the nine months ended October 31, 2023 and October 31, 2022, respectively. The total intrinsic value of all options exercised was $43.9 million and $23.7 million during the three months ended October 31, 2023 and October 31, 2022, respectively, and $118.4 million and $141.4 million during the nine months ended October 31, 2023 and October 31, 2022, respectively.</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outstanding as of October 31, 2023 and January 31, 2023 was $345.8 million and $279.4 million, respectively, which represents the excess of the fair value of the Company’s common stock over the exercise price of the options multiplied by the number of options outstanding. The weighted-average remaining contractual term of stock options outstanding was 4.5 years and 5.0 years as of October 31, 2023 and January 31, 2023, respectively.</w:t>
      </w:r>
    </w:p>
    <w:p>
      <w:pPr>
        <w:spacing w:after="0" w:line="18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options was $6.4 million as of October 31, 2023. This expense is expected to be amortized over a weighted-average vesting period of 1.2 years.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Employee Options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during the three and nine months ended October 31, 2023 or October 31, 2022. As of October 31, 2023 and January 31, 2023, there were no shares of common stock related to early exercised stock options subject to repurchase. Common stock purchased pursuant to an early exercise of stock options is not deemed to be outstanding for accounting purposes until those shares vest. The Company includes unvested shares subject to repurchase in the number of shares outstanding in the condensed consolidated balance sheets and statements of stockholders’ equity.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RSUs granted under the 2019 Plan are generally subject to only a service-based vesting condition. The service-based vesting condition is generally satisfied based on one of four vesting schedules: (i) vesting of one-fourth of the RSUs on the first “Company vest date” (defined as March 20, June 20, September 20, or December 20) on or following the one-year anniversary of the vesting commencement date with the remainder of the RSUs vesting</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twelve equal quarterly installments thereafter, subject to continued service, (ii) vesting in sixteen equal quarterly installments, subject to continued service, (iii) vesting in eight equal quarterly installments, subject to continued service, or (iv) vesting in sixteen quarterly installments with 10% in the first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562610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15% in the second year, 25% in the third year and 50% in the fourth year, subject to continued service. The valuation of these RSUs is based solely on the fair value of the Company’s stock on the date of grant.</w:t>
      </w:r>
    </w:p>
    <w:p>
      <w:pPr>
        <w:spacing w:after="0" w:line="16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RSUs was $1.5 billion as of October 31, 2023. This expense is expected to be amortized over a weighted-average vesting period of 2.9 years.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Units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PSUs was $88.3 million as of October 31, 2023. This expense is expected to be amortized over a weighted-average vesting period of 1.3 years.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Special PSU Awards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fiscal 2022 the Company’s board of directors granted 655,000 performance stock units (the “Special PSU Awards”) to certain executives under the 2019 Plan. The Special PSU Awards will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February 1, 2022, February 1, 2023, February 1, 2024 and February 1, 2025) and (ii) the remaining PSUs with respect to such tranche will thereafter service vest in four equal quarterly installments of 12.5%.</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measured the fair value of the Special PSU Awards on the grant date using a Monte Carlo simulation valuation model. The risk-free interest rates used were 0.85% -1.51%, which were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2.21- 2.58 year look-back from the grant date and 50% weight based on the Company’s implied volatility as of the grant date.</w:t>
      </w:r>
    </w:p>
    <w:p>
      <w:pPr>
        <w:spacing w:after="0" w:line="183"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the unvested portion of the Special PSU Awards was $38.6 million as of October 31, 2023. This expense is expected to be amortized over a weighted-average vesting period of 1.5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RSUs, PSUs and the Special PSU Awards activities for the nine months ended October 31,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January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October 31,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ending vested and expected to vest at October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660" w:right="120" w:hanging="652"/>
        <w:spacing w:after="0" w:line="280"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adjustment represents adjustments in shares outstanding due to the actual achievement of performance-based awards, the achievement of which was based upon pre-defined financial performance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8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ESPP provides for consecutive offering periods that will typically have a duration of approximately 24 months in length and are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During the fiscal year ended January 31, 2023, there were ESPP rollovers because the Company’s closing stock price on the purchase date was lower than the Company’s closing stock price on the first day of the offering periods. As a result, these offering dates were rolled over to a new 24-month offering period through December 12, 2024. These rollovers were accounted for as a modification to the original offerings. The total incremental expense as a result of the rollover and contribution modifications was $58.6 million, which will be recognized over the new or remaining offering periods. Total incremental expense as a result of contribution modifications during the nine months ended October 31, 2023 was $1.8 million, which will be recognized over the remaining offering periods.</w:t>
      </w:r>
    </w:p>
    <w:p>
      <w:pPr>
        <w:spacing w:after="0" w:line="19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Employee payroll contributions ultimately used to purchase shares are reclassified to Stockholders’ equity on the purchase date. ESPP employee payroll contributions accrued as of October 31, 2023 and January 31, 2023 totaled $27.3 million and $17.5 million, respectively, and are included within Accrued payroll and benefits in the condensed consolidated balance sheets.</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option-pricing model to determine the fair value of the Company’s common shares to be issued under the ESPP for the offering periods beginning in June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35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r>
      <w:tr>
        <w:trPr>
          <w:trHeight w:val="223"/>
        </w:trPr>
        <w:tc>
          <w:tcPr>
            <w:tcW w:w="76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 – 5.2%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 3.4%</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 – 61.2%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 67.4%</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015"/>
        </w:trPr>
        <w:tc>
          <w:tcPr>
            <w:tcW w:w="76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10100" w:type="dxa"/>
            <w:vAlign w:val="bottom"/>
            <w:gridSpan w:val="11"/>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 included in the condensed consolidated statements of operations is as follows (in thousands):</w:t>
            </w:r>
          </w:p>
        </w:tc>
        <w:tc>
          <w:tcPr>
            <w:tcW w:w="1140" w:type="dxa"/>
            <w:vAlign w:val="bottom"/>
          </w:tcPr>
          <w:p>
            <w:pPr>
              <w:spacing w:after="0"/>
              <w:rPr>
                <w:sz w:val="24"/>
                <w:szCs w:val="24"/>
                <w:color w:val="auto"/>
              </w:rPr>
            </w:pPr>
          </w:p>
        </w:tc>
      </w:tr>
      <w:tr>
        <w:trPr>
          <w:trHeight w:val="256"/>
        </w:trPr>
        <w:tc>
          <w:tcPr>
            <w:tcW w:w="4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260" w:type="dxa"/>
            <w:vAlign w:val="bottom"/>
          </w:tcPr>
          <w:p>
            <w:pPr>
              <w:spacing w:after="0"/>
              <w:rPr>
                <w:sz w:val="22"/>
                <w:szCs w:val="22"/>
                <w:color w:val="auto"/>
              </w:rPr>
            </w:pPr>
          </w:p>
        </w:tc>
        <w:tc>
          <w:tcPr>
            <w:tcW w:w="3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r>
      <w:tr>
        <w:trPr>
          <w:trHeight w:val="223"/>
        </w:trPr>
        <w:tc>
          <w:tcPr>
            <w:tcW w:w="45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cost of revenue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109,172</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120,347</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112,085</w:t>
            </w:r>
          </w:p>
        </w:tc>
      </w:tr>
      <w:tr>
        <w:trPr>
          <w:trHeight w:val="223"/>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455,247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374,157</w:t>
            </w: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Revenue, Deferred Revenue and Remaining Performance Obligations</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by region based on the shipping address of customers who have contracted to use the Company’s platform or service (in thousands,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940" w:type="dxa"/>
            <w:vAlign w:val="bottom"/>
          </w:tcPr>
          <w:p>
            <w:pPr>
              <w:spacing w:after="0"/>
              <w:rPr>
                <w:sz w:val="16"/>
                <w:szCs w:val="16"/>
                <w:color w:val="auto"/>
              </w:rPr>
            </w:pPr>
          </w:p>
        </w:tc>
      </w:tr>
      <w:tr>
        <w:trPr>
          <w:trHeight w:val="23"/>
        </w:trPr>
        <w:tc>
          <w:tcPr>
            <w:tcW w:w="2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2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r>
      <w:tr>
        <w:trPr>
          <w:trHeight w:val="196"/>
        </w:trPr>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Revenue</w:t>
            </w:r>
          </w:p>
        </w:tc>
      </w:tr>
      <w:tr>
        <w:trPr>
          <w:trHeight w:val="216"/>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403,302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1,513,569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1,123,153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85,665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233,386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60,011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162,713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31,904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84,617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37"/>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580,882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2,210,220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1,603,869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total revenue during the three and nine months ended October 31, 2023 and October 31, 2022.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and include payments received in advance of performance under the contract. Such amounts are recognized as revenue over the contractual period. The Company recognized revenue of $685.9 million and $498.0 million for the three months ended October 31, 2023 and October 31, 2022, respectively, and $1,465.5 million and $972.4 million for the nine months ended October 31, 2023 and October 31, 2022, respectively, which was included in the corresponding contract liability balance at the beginning of the period.</w:t>
      </w:r>
    </w:p>
    <w:p>
      <w:pPr>
        <w:spacing w:after="0" w:line="18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deferred revenue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260" w:type="dxa"/>
            <w:vAlign w:val="bottom"/>
          </w:tcPr>
          <w:p>
            <w:pPr>
              <w:spacing w:after="0"/>
              <w:rPr>
                <w:sz w:val="20"/>
                <w:szCs w:val="20"/>
                <w:color w:val="auto"/>
              </w:rPr>
            </w:pPr>
          </w:p>
        </w:tc>
        <w:tc>
          <w:tcPr>
            <w:tcW w:w="306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Nine Months Ended October 31,</w:t>
            </w:r>
          </w:p>
        </w:tc>
      </w:tr>
      <w:tr>
        <w:trPr>
          <w:trHeight w:val="223"/>
        </w:trPr>
        <w:tc>
          <w:tcPr>
            <w:tcW w:w="4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3"/>
        </w:trPr>
        <w:tc>
          <w:tcPr>
            <w:tcW w:w="4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1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Carrying Amount</w:t>
            </w:r>
          </w:p>
        </w:tc>
        <w:tc>
          <w:tcPr>
            <w:tcW w:w="260" w:type="dxa"/>
            <w:vAlign w:val="bottom"/>
          </w:tcPr>
          <w:p>
            <w:pPr>
              <w:spacing w:after="0"/>
              <w:rPr>
                <w:sz w:val="22"/>
                <w:szCs w:val="22"/>
                <w:color w:val="auto"/>
              </w:rPr>
            </w:pPr>
          </w:p>
        </w:tc>
        <w:tc>
          <w:tcPr>
            <w:tcW w:w="306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Carrying Amount</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2,507,642</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2,355,113</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1,529,321</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2,398,223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2,090,087</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(2,210,220)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(1,603,869)</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2,543,116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2,015,539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2,543,116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2,015,539</w:t>
            </w: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013"/>
        </w:trPr>
        <w:tc>
          <w:tcPr>
            <w:tcW w:w="4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Company’s subscription contracts with its customers have a typical term of one to three years and most subscription contracts are non-cancelable. Customers generally have the right to terminate their contracts for cause as a result of the Company’s failure to perform. As of October 31, 2023, the aggregate amount of the transaction price allocated to remaining performance obligations was $3.7 billion. The Company expects to recognize approximately 64% of the remaining performance obligations in the 12 months following October 31, 2023, and 35% of the remaining performance obligations between 13 to 36 months, with the remainder to be recognized thereafter.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and Fulfill a Contract</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8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eight months and are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nine months ended October 31, 2023 and October 31, 2022.</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of deferred contract acquisition costs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320" w:type="dxa"/>
            <w:vAlign w:val="bottom"/>
          </w:tcPr>
          <w:p>
            <w:pPr>
              <w:spacing w:after="0"/>
              <w:rPr>
                <w:sz w:val="18"/>
                <w:szCs w:val="18"/>
                <w:color w:val="auto"/>
              </w:rPr>
            </w:pPr>
          </w:p>
        </w:tc>
        <w:tc>
          <w:tcPr>
            <w:tcW w:w="2960" w:type="dxa"/>
            <w:vAlign w:val="bottom"/>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r>
      <w:tr>
        <w:trPr>
          <w:trHeight w:val="211"/>
        </w:trPr>
        <w:tc>
          <w:tcPr>
            <w:tcW w:w="4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9"/>
              </w:rPr>
              <w:t>447,088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319,180</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contract acquisition costs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209,145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183,265</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9"/>
              </w:rPr>
              <w:t>(173,158)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rPr>
              <w:t>(121,550)</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483,075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8"/>
                <w:szCs w:val="18"/>
                <w:color w:val="auto"/>
                <w:w w:val="99"/>
              </w:rPr>
              <w:t>483,075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391"/>
              <w:spacing w:after="0"/>
              <w:rPr>
                <w:sz w:val="20"/>
                <w:szCs w:val="20"/>
                <w:color w:val="auto"/>
              </w:rPr>
            </w:pPr>
            <w:r>
              <w:rPr>
                <w:rFonts w:ascii="Times New Roman" w:cs="Times New Roman" w:eastAsia="Times New Roman" w:hAnsi="Times New Roman"/>
                <w:sz w:val="18"/>
                <w:szCs w:val="18"/>
                <w:color w:val="auto"/>
                <w:w w:val="99"/>
              </w:rPr>
              <w:t>380,895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209,216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162,260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209,216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162,260</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9"/>
              </w:rPr>
              <w:t>273,859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218,635</w:t>
            </w: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483,075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8"/>
                <w:szCs w:val="18"/>
                <w:color w:val="auto"/>
                <w:w w:val="99"/>
              </w:rPr>
              <w:t>483,075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391"/>
              <w:spacing w:after="0"/>
              <w:rPr>
                <w:sz w:val="20"/>
                <w:szCs w:val="20"/>
                <w:color w:val="auto"/>
              </w:rPr>
            </w:pPr>
            <w:r>
              <w:rPr>
                <w:rFonts w:ascii="Times New Roman" w:cs="Times New Roman" w:eastAsia="Times New Roman" w:hAnsi="Times New Roman"/>
                <w:sz w:val="18"/>
                <w:szCs w:val="18"/>
                <w:color w:val="auto"/>
                <w:w w:val="99"/>
              </w:rPr>
              <w:t>380,895</w:t>
            </w: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right="8600" w:hanging="652"/>
        <w:spacing w:after="0" w:line="532" w:lineRule="auto"/>
        <w:tabs>
          <w:tab w:leader="none" w:pos="192" w:val="left"/>
        </w:tabs>
        <w:numPr>
          <w:ilvl w:val="0"/>
          <w:numId w:val="1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Commitments and Contingencies Purchase Obligations</w:t>
      </w:r>
    </w:p>
    <w:p>
      <w:pPr>
        <w:spacing w:after="0" w:line="1"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long-term non-cancelable agreements with providers to purchase data center capacity, such as bandwidth and colocation space, for the Company’s cloud platform. As of October 31, 2023, the Company is committed to spend $236.0 million on such agreements in excess of one year through fiscal 2031. These obligations are included in purchase commitments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also enters into non-cancelable purchase commitments with various parties to purchase products and services such as advertising, technology, equipment, office renovations, corporate events, and consulting services. A summary of non-cancelable purchase obligations in excess of one year as of October 31, 2023 with expected date of payment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1"/>
        </w:trPr>
        <w:tc>
          <w:tcPr>
            <w:tcW w:w="97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Commitments</w:t>
            </w: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 (remaining three months)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31,925</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107,775</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85,779</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48,059</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36,858</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51,173</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361,569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In October 2021, the Company entered into a new private pricing addendum with Amazon Web Services (“AWS”), which provides the Company with cloud computing infrastructure. Under the new pricing addendum, the minimum commitment is $600.0 million of cloud services from AWS through September 2026. As of October 31, 2023, the Company had utilized $498.2 million of this commitment. The remaining commitment is excluded from the table above and the Company expects to meet its remaining commitment with 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October 31, 2023, the Company had unused standby letters of credit for $0.7 million securing its facility in Tel Aviv, Israel, $0.4 million securing its facility in Sunnyvale, California, and $0.1 million securing its principal executive offices in Austin, Texas. As of January 31, 2023, the Company had unused standby letters of credit for $0.8 million securing its principal executive offices in Austin, Texas and $0.4 million securing its facility in Sunnyvale, California.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June 2022, the Company and Fair Isaac Corporation (“FICO”) resolved a trademark dispute that was pending before the Trademark Trial and Appellate Board (“TTAB”) at the U.S. Patent and Trademark Office. The TTAB dismissed all proceedings between the parties in July 2022.</w:t>
      </w:r>
    </w:p>
    <w:p>
      <w:pPr>
        <w:spacing w:after="0" w:line="162"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In March 2022, Webroot, Inc. and Open Text, Inc. (collectively, “Webroot”) filed a lawsuit against the Company and CrowdStrike, Inc. in federal court in the Western District of Texas alleging that certain of the Company’s products infringe six patents held by them. In the complaint, Webroot sought unspecified damages, attorneys’ fees and a permanent injunction. In May 2022, CrowdStrike, Inc. asserted counterclaims alleging that certain of Webroot’s products infringe two of its patents. In the filing, CrowdStrike, Inc. sought unspecified damages, reasonable fees and costs, and a permanent injunction. In September 2022, Webroot amended its complaint to assert six additional patents. In November 2023, CrowdStrike, Inc. entered into an agreement that provided for, among other things, the settlement and dismissal of the parties’ claims. The amount attributable to the settlement was not material.</w:t>
      </w:r>
    </w:p>
    <w:p>
      <w:pPr>
        <w:spacing w:after="0" w:line="17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reasonably possible to have a material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Warranties and Indemnification</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October 31, 2023 or January 31, 2023.</w:t>
      </w:r>
    </w:p>
    <w:p>
      <w:pPr>
        <w:spacing w:after="0" w:line="185" w:lineRule="exact"/>
        <w:rPr>
          <w:sz w:val="20"/>
          <w:szCs w:val="20"/>
          <w:color w:val="auto"/>
        </w:rPr>
      </w:pPr>
    </w:p>
    <w:p>
      <w:pPr>
        <w:jc w:val="right"/>
        <w:ind w:left="660" w:right="10080" w:hanging="652"/>
        <w:spacing w:after="0" w:line="532" w:lineRule="auto"/>
        <w:tabs>
          <w:tab w:leader="none" w:pos="192"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Acquisitions Bionic</w:t>
      </w:r>
    </w:p>
    <w:p>
      <w:pPr>
        <w:spacing w:after="0" w:line="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September 28, 2023, the Company acquired 100% of the equity interest of Bionic Stork, Ltd. (“Bionic”), a privately-held company that provides an Application Security Posture Management platform designed to proactively reduce and mitigate security, data privacy, and operational risks by analyzing application architecture and dependencies that run in production.</w:t>
      </w:r>
    </w:p>
    <w:p>
      <w:pPr>
        <w:spacing w:after="0" w:line="17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$238.7 million in cash, net of $25.7 million of cash acquired, and $0.7 million representing the fair value of replacement equity awards attributable to pre-acquisition service. The remaining fair value of these replacement awards attributed to post-combination service was excluded from the purchase price. The purchase price was allocated on a preliminary basis, subject to working capital adjustment and continuing management analysis, to identified intangible assets, which include developed technology and customer relationships of $34.9 million, net tangible assets acquired of $2.7 million, and goodwill of $207.2 million, which was allocated to the Company’s one reporting unit and represents the excess of the purchase price over the fair value of net tangible and intangible assets acquired. The goodwill was primarily attributable to the assembled workforce of Bionic, planned growth in new markets, and synergies expected to be achieved from the integration of Bionic. Goodwill is not deductible for income tax purposes.</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Per the terms of the share purchase agreement with Bionic, certain unvested stock options held by Bionic employees were canceled and exchanged for replacement stock options under the 2019 Plan. Additionally, certain shares of Bionic stock held by Bionic employees were exchanged for shares of the Company’s Class A common stock, subject to service-based vesting and other conditions. Further, the Company agreed to grant RSUs and PSUs under the 2019 Plan to certain continuing employees. The awards that are subject to continued service will be recognized ratably as stock-based compensation expense over the requisite service period. The awards that are subject to both continued service and specified performance targets will be recognized over the requisite service period when it is probable that the performance condition will be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23"/>
        </w:trPr>
        <w:tc>
          <w:tcPr>
            <w:tcW w:w="8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(in months)</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Acquisition costs incurred during the three months ended October 31, 2023 were $3.7 million and are recorded in general and administrative and research and development expenses on the Company’s condensed consolidated statements of operations.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condensed consolidated financial statements from the date of acquisition. The acquisition of Bionic did not have a material impact on the Company’s condensed consolidated financial statements, and therefore historical and pro forma disclosures have not been presented.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Reposify Ltd.</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October 3, 2022, the Company acquired 100% of the equity interest of Reposify Ltd. (“Reposify”), a privately-held company that provides an external attack surface management platform that scans the internet for exposed assets of an organization to detect and eliminate risk from vulnerable and unknown assets before attackers can exploit them. The acquisition has been accounted for as a business combination. The total consideration transferred consisted of $18.9 million, net of cash acquired of $0.5 million, and an immaterial amount representing the fair value of replacement equity awards attributable to pre-acquisition service. The remaining fair value of these replacement awards is subject to the recipient’s continued service and thus were excluded from the purchase price. The purchase price was allocated to developed technology of $3.8 million, net tangible assets acquired of $0.9 million, and goodwill of $14.2 million, which was allocated to the Company’s one reporting unit and represents the excess of the purchase price over the fair value of net tangible and intangible assets acquired. The goodwill was primarily attributable to the assembled workforce of Reposify, planned growth in new markets, and synergies expected to be achieved from the integration of Reposify. Goodwill was not deductible for income tax purposes.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developed technology acquired was $3.8 million with a useful life of 72 months.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Acquisition costs during the nine months ended October 31, 2023 were not material and are recorded in research and development expenses on the Company’s condensed consolidated statements of operations.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condensed consolidated financial statements from the date of acquisition. The acquisition of Reposify did not have a material impact on the Company’s condensed consolidated financial statements, and therefore historical and pro forma disclosures have not been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Income (Loss) Per Share Attributable to Common Stockholders</w:t>
      </w:r>
    </w:p>
    <w:p>
      <w:pPr>
        <w:spacing w:after="0" w:line="22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weighted-average number of dilutive common share equivalents during the period. Diluted net loss per share is the same as basic net loss per share for the three and nine months ended October 31, 2022 because the effects of potentially dilutive items were antidilutive given the Company’s net loss position.</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(loss) per share attributable to CrowdStrike common stockholders are the same for shares of Class A and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attributable to CrowdStrike common stockholders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Three Months Ended October 31,</w:t>
            </w:r>
          </w:p>
        </w:tc>
        <w:tc>
          <w:tcPr>
            <w:tcW w:w="260" w:type="dxa"/>
            <w:vAlign w:val="bottom"/>
          </w:tcPr>
          <w:p>
            <w:pPr>
              <w:spacing w:after="0"/>
              <w:rPr>
                <w:sz w:val="20"/>
                <w:szCs w:val="20"/>
                <w:color w:val="auto"/>
              </w:rPr>
            </w:pPr>
          </w:p>
        </w:tc>
        <w:tc>
          <w:tcPr>
            <w:tcW w:w="2840" w:type="dxa"/>
            <w:vAlign w:val="bottom"/>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0" w:type="dxa"/>
            <w:vAlign w:val="bottom"/>
          </w:tcPr>
          <w:p>
            <w:pPr>
              <w:spacing w:after="0"/>
              <w:rPr>
                <w:sz w:val="1"/>
                <w:szCs w:val="1"/>
                <w:color w:val="auto"/>
              </w:rPr>
            </w:pPr>
          </w:p>
        </w:tc>
      </w:tr>
      <w:tr>
        <w:trPr>
          <w:trHeight w:val="224"/>
        </w:trPr>
        <w:tc>
          <w:tcPr>
            <w:tcW w:w="49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Class A and Class B</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CrowdStrike common stockholders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(135,764)</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w w:val="99"/>
              </w:rPr>
              <w:t>share attributable to Class A and Class B of CrowdStrike common</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basic</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237,890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232,502</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4,306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494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w:t>
            </w: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9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w w:val="99"/>
              </w:rPr>
              <w:t>share attributable to Class A and Class B of CrowdStrike common</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243,799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233,785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242,196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232,502</w:t>
            </w:r>
          </w:p>
        </w:tc>
        <w:tc>
          <w:tcPr>
            <w:tcW w:w="0" w:type="dxa"/>
            <w:vAlign w:val="bottom"/>
          </w:tcPr>
          <w:p>
            <w:pPr>
              <w:spacing w:after="0"/>
              <w:rPr>
                <w:sz w:val="1"/>
                <w:szCs w:val="1"/>
                <w:color w:val="auto"/>
              </w:rPr>
            </w:pPr>
          </w:p>
        </w:tc>
      </w:tr>
      <w:tr>
        <w:trPr>
          <w:trHeight w:val="207"/>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dilutive</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(loss) per share attributable to Class A and Class B</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CrowdStrike common stockholders, basic</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(loss) per share attributable to Class A and Class B</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40" w:type="dxa"/>
            <w:vAlign w:val="bottom"/>
            <w:vMerge w:val="continue"/>
          </w:tcPr>
          <w:p>
            <w:pPr>
              <w:spacing w:after="0"/>
              <w:rPr>
                <w:sz w:val="10"/>
                <w:szCs w:val="10"/>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10"/>
                <w:szCs w:val="10"/>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2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CrowdStrike common stockholders, diluted</w:t>
            </w:r>
          </w:p>
        </w:tc>
        <w:tc>
          <w:tcPr>
            <w:tcW w:w="22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(loss) per share attributable to common stockholders for the periods presented because including them would have been antidilutive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2022</w:t>
            </w: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 subject to future vesting</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issuable from stock options</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purchase rights under the Employee Stock Purchase Plan</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3"/>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Potential common shares excluded from diluted net income (loss) per share</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14,118</w:t>
            </w:r>
          </w:p>
        </w:tc>
      </w:tr>
      <w:tr>
        <w:trPr>
          <w:trHeight w:val="20"/>
        </w:trPr>
        <w:tc>
          <w:tcPr>
            <w:tcW w:w="77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above table excludes founder holdbacks related to business combinations where a variable number of shares will be issued upon vesting to settle a fixed monetary amount of $4.4 million, contingent upon continued employment with the Company. The share price will be determined based on the Company’s average stock price or the volume weighted average stock price five days prior to each vesting date. During the three and nine months ended October 31, 2023, 5,308 shares and 23,966 shares, respectively, were issued to settle founder holdbacks at a weighted average price of $167.46 per share and $143.61 per share,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2023,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CrowdStrike Falcon platform – the first, true cloud-native platform capable of harnessing vast amounts of security and enterprise data to deliver highly modular solutions through a single lightweight agent. Our pioneering platform approach keeps customers ahead of attackers by automatically detecting and preventing threats to stop breaches.</w:t>
      </w:r>
    </w:p>
    <w:p>
      <w:pPr>
        <w:spacing w:after="0" w:line="18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8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8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Certain Factors Affecting Our Performance</w:t>
      </w:r>
    </w:p>
    <w:p>
      <w:pPr>
        <w:spacing w:after="0" w:line="225" w:lineRule="exact"/>
        <w:rPr>
          <w:sz w:val="20"/>
          <w:szCs w:val="20"/>
          <w:color w:val="auto"/>
        </w:rPr>
      </w:pPr>
    </w:p>
    <w:p>
      <w:pPr>
        <w:ind w:right="100"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Adoption of Our Solutions. </w:t>
      </w:r>
      <w:r>
        <w:rPr>
          <w:rFonts w:ascii="Times New Roman" w:cs="Times New Roman" w:eastAsia="Times New Roman" w:hAnsi="Times New Roman"/>
          <w:sz w:val="17"/>
          <w:szCs w:val="17"/>
          <w:color w:val="auto"/>
        </w:rPr>
        <w:t>We believe our future success depends in large part on the growth in the market for cloud-based SaaS-delivered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5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Customer Acquisition. </w:t>
      </w:r>
      <w:r>
        <w:rPr>
          <w:rFonts w:ascii="Times New Roman" w:cs="Times New Roman" w:eastAsia="Times New Roman" w:hAnsi="Times New Roman"/>
          <w:sz w:val="18"/>
          <w:szCs w:val="18"/>
          <w:color w:val="auto"/>
        </w:rPr>
        <w:t>Our future growth depends in large part on our ability to acquire new customers. If our efforts to attract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are 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82"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Customer Retention and Increase Sales. </w:t>
      </w:r>
      <w:r>
        <w:rPr>
          <w:rFonts w:ascii="Times New Roman" w:cs="Times New Roman" w:eastAsia="Times New Roman" w:hAnsi="Times New Roman"/>
          <w:sz w:val="18"/>
          <w:szCs w:val="18"/>
          <w:color w:val="auto"/>
        </w:rPr>
        <w:t>Our ability to increase revenue depends in large part on our ability to retain our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and increase the ARR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 in Growth. </w:t>
      </w:r>
      <w:r>
        <w:rPr>
          <w:rFonts w:ascii="Times New Roman" w:cs="Times New Roman" w:eastAsia="Times New Roman" w:hAnsi="Times New Roman"/>
          <w:sz w:val="18"/>
          <w:szCs w:val="18"/>
          <w:color w:val="auto"/>
        </w:rPr>
        <w:t>We believe that our market opportunity is large and requires us to continue to invest significantly in sales and marketing efforts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8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ARR as of the dates presented (dollars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7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October 31,</w:t>
            </w:r>
          </w:p>
        </w:tc>
        <w:tc>
          <w:tcPr>
            <w:tcW w:w="1020" w:type="dxa"/>
            <w:vAlign w:val="bottom"/>
            <w:tcBorders>
              <w:bottom w:val="single" w:sz="8" w:color="auto"/>
            </w:tcBorders>
          </w:tcPr>
          <w:p>
            <w:pPr>
              <w:spacing w:after="0"/>
              <w:rPr>
                <w:sz w:val="22"/>
                <w:szCs w:val="22"/>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recurring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3,153,243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2,338,028</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growth</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2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ARR grew to $3.2 billion as of October 31, 2023, of which $223.1 million and $593.5 million was net new ARR added for the three and nine months ended October 31, 2023, respectively. ARR grew to $2.3 billion as of October 31, 2022, of which $198.1 million and $606.7 million was net new ARR added for the three and nine months ended October 31,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dollar-based net retention rate was slightly below our benchmark as of October 31, 2023.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dollar-based net retention rate has varied from quarter to quarter due to a number of factors and we expect that trend to continue.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Subscription revenue primarily consists of subscription fees for our Falcon platform and additional cloud modules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82"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Professional Services Revenue. </w:t>
      </w:r>
      <w:r>
        <w:rPr>
          <w:rFonts w:ascii="Times New Roman" w:cs="Times New Roman" w:eastAsia="Times New Roman" w:hAnsi="Times New Roman"/>
          <w:sz w:val="17"/>
          <w:szCs w:val="17"/>
          <w:color w:val="auto"/>
        </w:rPr>
        <w:t>Professional services revenue includes incident response and proactive services, forensic and malware analysis,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Subscription Cost of Revenue. </w:t>
      </w:r>
      <w:r>
        <w:rPr>
          <w:rFonts w:ascii="Times New Roman" w:cs="Times New Roman" w:eastAsia="Times New Roman" w:hAnsi="Times New Roman"/>
          <w:sz w:val="18"/>
          <w:szCs w:val="18"/>
          <w:color w:val="auto"/>
        </w:rPr>
        <w:t>Subscription cost of revenue consists primarily of costs related to hosting our cloud-based Falcon platform in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8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Cost of Revenue. </w:t>
      </w:r>
      <w:r>
        <w:rPr>
          <w:rFonts w:ascii="Times New Roman" w:cs="Times New Roman" w:eastAsia="Times New Roman" w:hAnsi="Times New Roman"/>
          <w:sz w:val="18"/>
          <w:szCs w:val="18"/>
          <w:color w:val="auto"/>
        </w:rPr>
        <w:t>Professional services cost of revenue consists primarily of employee-related costs, such as salaries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stock-based compensation expense, technology, property and equipment depreciation, and an allocated portion of facilities and administrative costs.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7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primarily consist of employee-related expenses such as salaries, commissions, and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expenses also include 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Sales and marketing expenses also include sales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84"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 to period depending on the timing of these expenses.</w:t>
      </w:r>
    </w:p>
    <w:p>
      <w:pPr>
        <w:spacing w:after="0" w:line="17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primarily consist of employee-related expenses such as salaries and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cloud hosting and 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82"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 to period depending on the timing of these expenses.</w:t>
      </w:r>
    </w:p>
    <w:p>
      <w:pPr>
        <w:spacing w:after="0" w:line="156"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of employee-related expenses such as salaries and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spacing w:after="0" w:line="17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 to period depending on the timing of these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amortization of debt issuance costs, contractual interest expense for our Senior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in January 2021, and amortization of debt issuance costs on our secured revolving credit facility.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income earned on our cash, cash equivalents, and short-term investments.</w:t>
      </w:r>
    </w:p>
    <w:p>
      <w:pPr>
        <w:spacing w:after="0" w:line="225"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income (expense) consists primarily of gain and losses on strategic investments and foreign currency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and losses.</w:t>
      </w:r>
    </w:p>
    <w:p>
      <w:pPr>
        <w:spacing w:after="0" w:line="15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consists of state income taxes in the United States, foreign income taxes, and withholding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related to customer payments in certain foreign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regularly evaluate the need for a valuation allowance. Due to recent profitability, a reversal of our valuation allowance in certain jurisdictions in the foreseeable future is reasonably possible.</w:t>
      </w:r>
    </w:p>
    <w:p>
      <w:pPr>
        <w:spacing w:after="0" w:line="183"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r>
        <w:rPr>
          <w:rFonts w:ascii="Times New Roman" w:cs="Times New Roman" w:eastAsia="Times New Roman" w:hAnsi="Times New Roman"/>
          <w:sz w:val="18"/>
          <w:szCs w:val="18"/>
          <w:color w:val="auto"/>
        </w:rPr>
        <w:t>. Net income attributable to non-controlling interest consists of the Falcon Funds’ non-controlling interest share of mark-to-market gains and losses and interest income from our strategic investments.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condensed consolidated statements of operations for each period presented (in thousands, except percentages):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October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733,463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547,376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186,087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2,074,610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1,513,397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561,213</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45,138</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07"/>
        </w:trPr>
        <w:tc>
          <w:tcPr>
            <w:tcW w:w="2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786,014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580,882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205,132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2,210,220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1,603,869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606,351</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19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92,978</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7"/>
        </w:trPr>
        <w:tc>
          <w:tcPr>
            <w:tcW w:w="2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cost of revenue</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36,776</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547,151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425,627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121,524</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168,356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1,663,069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1,178,242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484,827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192,239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137,980</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7"/>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587,847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479,076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108,771</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1,694,735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1,306,854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387,881</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96,946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321 %</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(7,813)</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145"/>
        </w:trPr>
        <w:tc>
          <w:tcPr>
            <w:tcW w:w="27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Income (loss) before provision for</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82,033</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(116,265)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170,532</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168,997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non-</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controlling interest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7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26,665</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(54,956)</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81,621</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35,628</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(135,764)</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171,392</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CrowdStrike</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gridSpan w:val="2"/>
            <w:vMerge w:val="continue"/>
            <w:shd w:val="clear" w:color="auto" w:fill="CCEEFF"/>
          </w:tcPr>
          <w:p>
            <w:pPr>
              <w:spacing w:after="0"/>
              <w:rPr>
                <w:sz w:val="18"/>
                <w:szCs w:val="18"/>
                <w:color w:val="auto"/>
              </w:rPr>
            </w:pP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gridSpan w:val="2"/>
            <w:vMerge w:val="continue"/>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6"/>
        </w:trPr>
        <w:tc>
          <w:tcPr>
            <w:tcW w:w="2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components of our condensed consolidated statements of operations as a percentage of total revenue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33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32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r>
      <w:tr>
        <w:trPr>
          <w:trHeight w:val="224"/>
        </w:trPr>
        <w:tc>
          <w:tcPr>
            <w:tcW w:w="46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57"/>
        </w:trPr>
        <w:tc>
          <w:tcPr>
            <w:tcW w:w="4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spacing w:after="0"/>
              <w:rPr>
                <w:sz w:val="22"/>
                <w:szCs w:val="22"/>
                <w:color w:val="auto"/>
              </w:rPr>
            </w:pPr>
          </w:p>
        </w:tc>
      </w:tr>
      <w:tr>
        <w:trPr>
          <w:trHeight w:val="237"/>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October 31, 2023 and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shows total revenue from subscriptions and professional services for the three months ended October 31, 2023 as compared to the three months ended October 31, 2022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733,463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547,376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186,087</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205,132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Total revenue increased by $205.1 million, or 35%, for the three months ended October 31, 2023 compared to the three months ended October 31, 2022. Subscription revenue accounted for 93% and 94% of our total revenue for the three months ended October 31, 2023 and October 31, 2022, respectively. Professional services revenue accounted for 7% and 6% of our total revenue for the three months ended October 31, 2023 and October 31, 2022, respectively.</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Subscription revenue increased by $186.1 million, or 34%, for the three months ended October 31, 2023 compared to the three months ended October 31, 2022, primarily driven by a combination of the addition of new customers and the sale of additional sensors and modules to existing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Professional services revenue increased by $19.0 million, or 57%, for the three months ended October 31, 2023, compared to the three months ended October 31, 2022, which was primarily attributable to an increase in the number of professional service hours performed.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shows cost of revenue related to subscriptions and professional services for the three months ended October 31, 2023 as compared to the three months ended October 31, 2022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25,601</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520" w:firstLine="648"/>
        <w:spacing w:after="0" w:line="276" w:lineRule="auto"/>
        <w:rPr>
          <w:sz w:val="20"/>
          <w:szCs w:val="20"/>
          <w:color w:val="auto"/>
        </w:rPr>
      </w:pPr>
      <w:r>
        <w:rPr>
          <w:rFonts w:ascii="Times New Roman" w:cs="Times New Roman" w:eastAsia="Times New Roman" w:hAnsi="Times New Roman"/>
          <w:sz w:val="17"/>
          <w:szCs w:val="17"/>
          <w:color w:val="auto"/>
        </w:rPr>
        <w:t>Total cost of revenue increased by $36.8 million, or 23%, for the three months ended October 31, 2023 compared to the three months ended October 31, 2022. Subscription cost of revenue increased by $25.6 million, or 19%, for the three months ended October 31, 2023, compared to the</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three months ended October 31, 2022. The increase in subscription cost of revenue was primarily due to an increase in employee-related expenses of $14.1 million driven by a 32% increase in average headcount, an increase in depreciation of data center equipment of $6.3 million, an increase in amortization of internal-use software of $3.9 million, an increase in stock-based compensation expense of $3.4 million, an increase in allocated overhead costs of $3.3 million, and an increase in term-based software licenses of $1.2 million, partially offset by a decrease in cloud hosting and related services cost of $5.4 million driven by increases in efficiency.</w:t>
      </w:r>
    </w:p>
    <w:p>
      <w:pPr>
        <w:spacing w:after="0" w:line="18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Professional services cost of revenue increased by $11.2 million, or 47%, for the three months ended October 31, 2023, compared to the</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three months ended October 31, 2022. The increase in professional services cost of revenue was primarily due to an increase in consulting expense of $5.3 million, an increase in employee-related expenses of $4.2 million driven by an increase in average headcount of 25%, and an increase in stock-based compensation expense of $1.6 million.</w:t>
      </w:r>
    </w:p>
    <w:p>
      <w:pPr>
        <w:spacing w:after="0" w:line="18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shows gross profit and gross margin for subscriptions and professional services for the three months ended October 31, 2023 as compared to the three months ended October 31, 2022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4"/>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573,633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413,147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profit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9,507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7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168,356</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vMerge w:val="restart"/>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740" w:type="dxa"/>
            <w:vAlign w:val="bottom"/>
            <w:gridSpan w:val="4"/>
          </w:tcPr>
          <w:p>
            <w:pPr>
              <w:jc w:val="center"/>
              <w:ind w:left="3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margin</w:t>
            </w:r>
          </w:p>
        </w:tc>
        <w:tc>
          <w:tcPr>
            <w:tcW w:w="2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margin</w:t>
            </w:r>
          </w:p>
        </w:tc>
        <w:tc>
          <w:tcPr>
            <w:tcW w:w="2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margin</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Subscription gross margin increased by 3% for the three months ended October 31, 2023, compared to the three months ended October 31, 2022. The increase in subscription gross margin was primarily due to an increase in cloud hosting efficiency during the three months ended October 31, 2023, compared to the three months ended October 31, 2022.</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Professional services gross margin increased by 5% for the three months ended October 31, 2023 compared to the three months ended October 31, 2022. The increase in professional services gross margin was primarily due to increased utilization during the three months ended October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sales and marketing expenses for the three months ended October 31, 2023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 (in thousands, except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$46.5 million, or 19%, for the three months ended October 31, 2023 compared to the three months ended October 31, 2022. The increase in sales and marketing expenses was primarily due to an increase in employee-related expenses of $25.2 million driven by an increase in sales and marketing average headcount of 14%, an increase in marketing programs of $12.9 million, an increase in allocated overhead costs of $4.0 million, an increase in travel expenses of $1.4 million, and an increase in employee health benefits of $1.2 million.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research and development expenses for the three months ended October 31, 2023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bl>
    <w:p>
      <w:pPr>
        <w:spacing w:after="0" w:line="27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Research and development expenses increased by $40.8 million, or 26%, for the three months ended October 31, 2023 compared to the</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three months ended October 31, 2022. This increase was primarily due to an increase in employee-related expenses of $25.6 million driven by an increase in research and development average headcount of 23%, an increase in cloud hosting and related costs of $7.9 million, an increase in stock-based compensation of $6.1 million, an increase in allocated overhead costs of $4.8 million, an increase in depreciation of data center equipment of $2.8 million, and an increase in employee health benefits of $1.2 million, partially offset by an increase in software capitalization of $4.4 million, a decrease in company events expenses of $1.3 million, and a decrease in travel expenses of $1.2 million.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general and administrative expenses for the three months ended October 31, 2023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 (in thousands, except percentages):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General and administrative expenses increased by $21.4 million, or 25%, for the three months ended October 31, 2023 compared to the</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three months ended October 31, 2022. The increase in general and administrative expenses was primarily due to an increase in stock-based compensation expense of $7.8 million, an increase in legal expense of $6.4 million, an increase in employee-related expenses of $3.9 million driven by an increase in general and administrative average headcount of 19%, an increase in consulting expenses of $1.6 million, and an increase in allocated overhead costs of $0.8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Income (Expense)</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interest income, and other income (expense) for the three months ended October 31, 2023 as compared to the three months ended October 31, 2022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4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bl>
    <w:p>
      <w:pPr>
        <w:spacing w:after="0" w:line="29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amortization of debt issuance costs, contractual interest expense, and accretion of debt discount for our Senior Notes issued in January 2021.</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three months ended October 31, 2023 compared to the three months ended October 31, 2022 was driven by increases in market interest rates and an increase in our cash, cash equivalents, and short-term investments.</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decrease in other income (expense) for the three months ended October 31, 2023 compared to the three months ended October 31, 2022 was primarily due to a decrease in net positive mark-to-market adjustments of our strategic investments of $0.6 million, and an increase in net foreign currency transaction losses of $0.5 million.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the provision for income taxes for the three months ended October 31, 2023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 (in thousands, except percentage):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320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7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increase in provision for income taxes of $0.7 million during the three months ended October 31, 2023 compared to the three months ended October 31, 2022 was primarily attributable to an increase in withholding taxes related to customer payments in certain foreign jurisdictions in which the Company conducts business and tax expense related to jurisdictions where we operate, partially offset by the non-recurring tax impact from the intercompany sale of intellectual property during the three months ended October 31, 2022.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October 31, 2023 and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shows total revenue from subscriptions and professional services for the nine months ended October 31, 2023 as compared to the nine months ended October 31, 2022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2,074,610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1,513,397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561,213</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45,138</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606,351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Total revenue increased by $606.4 million, or 38%, for the nine months ended October 31, 2023 compared to the nine months ended October 31, 2022. Subscription revenue accounted for 94% of our total revenue for both the nine months ended October 31, 2023 and October 31, 2022. Professional services revenue accounted for 6% of our total revenue for both the nine months ended October 31, 2023 and 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Subscription revenue increased by $561.2 million, or 37%, for the nine months ended October 31, 2023 compared to the nine months ended October 31, 2022, primarily driven by a combination of the addition of new customers and the sale of additional sensors and modules to existing customers.</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Professional services revenue increased by $45.1 million, or 50%, for the nine months ended October 31, 2023, compared to the nine months ended October 31, 2022, which was primarily attributable to an increase in the number of professional service hours performed.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shows cost of revenue related to subscriptions and professional services for the nine months ended October 31, 2023 as compared to the nine months ended October 31, 2022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455,236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92,978</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28,546</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520" w:firstLine="648"/>
        <w:spacing w:after="0" w:line="276" w:lineRule="auto"/>
        <w:rPr>
          <w:sz w:val="20"/>
          <w:szCs w:val="20"/>
          <w:color w:val="auto"/>
        </w:rPr>
      </w:pPr>
      <w:r>
        <w:rPr>
          <w:rFonts w:ascii="Times New Roman" w:cs="Times New Roman" w:eastAsia="Times New Roman" w:hAnsi="Times New Roman"/>
          <w:sz w:val="17"/>
          <w:szCs w:val="17"/>
          <w:color w:val="auto"/>
        </w:rPr>
        <w:t>Total cost of revenue increased by $121.5 million, or 29%, for the nine months ended October 31, 2023 compared to the nine months ended October 31, 2022. Subscription cost of revenue increased by $93.0 million, or 26%, for the nine months ended October 31, 2023, compared to the</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nine months ended October 31, 2022. The increase in subscription cost of revenue was primarily due to an increase in employee-related expenses of $39.0 million driven by a 34% increase in average headcount, an increase in depreciation of data center equipment of $14.4 million, an increase in amortization of internal-use software of $10.6 million, an increase in cloud hosting and related services cost of $9.9 million driven by increased customer activity, an increase in allocated overhead costs of $8.9 million, an increase in stock-based compensation expense of $8.6 million, an increase in term-based software licenses of $4.1 million, and an increase in employee health benefits of $2.2 million.</w:t>
      </w:r>
    </w:p>
    <w:p>
      <w:pPr>
        <w:spacing w:after="0" w:line="1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Professional services cost of revenue increased by $28.5 million, or 45%, for the nine months ended October 31, 2023, compared to the</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nine months ended October 31, 2022. The increase in professional services cost of revenue was primarily due to an increase in employee-related expenses of $14.6 million driven by an increase in average headcount of 29%, an increase in consulting expense of $6.3 million, an increase in stock-based compensation expense of $5.4 million, and an increase in allocated overhead costs of $2.4 million.</w:t>
      </w:r>
    </w:p>
    <w:p>
      <w:pPr>
        <w:spacing w:after="0" w:line="18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shows gross profit and gross margin for subscriptions and professional services for the nine months ended October 31, 2023 as compared to the nine months ended October 31, 2022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8"/>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4"/>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1,619,374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1,151,139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468,235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profit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43,695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27,103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16,592</w:t>
            </w:r>
          </w:p>
        </w:tc>
        <w:tc>
          <w:tcPr>
            <w:tcW w:w="17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1,663,069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1,178,242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484,827</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restart"/>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740" w:type="dxa"/>
            <w:vAlign w:val="bottom"/>
            <w:gridSpan w:val="4"/>
          </w:tcPr>
          <w:p>
            <w:pPr>
              <w:jc w:val="center"/>
              <w:ind w:left="3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margin</w:t>
            </w:r>
          </w:p>
        </w:tc>
        <w:tc>
          <w:tcPr>
            <w:tcW w:w="2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margin</w:t>
            </w:r>
          </w:p>
        </w:tc>
        <w:tc>
          <w:tcPr>
            <w:tcW w:w="2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margin</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Subscription gross margin increased by 2% for the nine months ended October 31, 2023, compared to the nine months ended October 31, 2022. The increase in subscription gross margin was primarily due to an increase in cloud hosting efficiency during the nine months ended October 31, 2023, compared to the nine months ended 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Professional services gross margin increased by 2% for the nine months ended October 31, 2023 compared to the nine months ended October 31, 2022. The increase in professional services gross margin was primarily due to increased utilization during the nine months ended October 31, 2023.</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sales and marketing expenses for the nine months ended October 31, 2023 as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 (in thousands, except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$192.2 million, or 29%, for the nine months ended October 31, 2023 compared to the nine months ended October 31, 2022. The increase in sales and marketing expenses was primarily due to an increase in employee-related expenses of $98.6 million driven by an increase in sales and marketing average headcount of 21%, an increase in marketing programs of $35.6 million, an increase in stock-based compensation of $20.6 million, an increase in allocated overhead costs of $12.5 million, an increase in employee health benefits of $4.7 million, an increase in travel expenses of $4.5 million, an increase in company events expenses of $4.4 million, an increase in taxes and licenses of $3.5 million, an increase in term-based software licenses of $2.0 million, and an increase in marketing consulting expenses of $1.2 million.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research and development expenses for the nine months ended October 31, 2023 as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increased by $138.0 million, or 33%, for the nine months ended October 31, 2023 compared to the</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nine months ended October 31, 2022. This increase was primarily due to an increase in employee-related expenses of $88.9 million driven by an increase in research and development average headcount of 28%, an increase in stock-based compensation of $23.4 million, an increase in cloud hosting and related costs of $21.3 million, an increase in allocated overhead costs of $14.7 million, an increase in depreciation of data center equipment of $6.3 million, an increase in employee health benefits of $4.1 million, an increase in consulting expense of $2.1 million, and an increase in term-based software licenses of $1.7 million, partially offset by an increase in software capitalization of $16.8 million, a decrease in company events of $3.8 million, and a decrease in travel expenses of $2.6 million.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general and administrative expenses for the nine months ended October 31, 2023 as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 (in thousands, except percentages):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General and administrative expenses increased by $57.7 million, or 25%, for the nine months ended October 31, 2023 compared to the</w:t>
      </w:r>
    </w:p>
    <w:p>
      <w:pPr>
        <w:spacing w:after="0" w:line="2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nine months ended October 31, 2022. The increase in general and administrative expenses was primarily due to an increase in stock-based compensation expense of $23.1 million, an increase in legal expense of $14.3 million, an increase in employee-related expenses of $11.9 million driven by an increase in general and administrative average headcount of 23%, an increase in allocated overhead costs of $2.7 million, an increase in bad debt expense of $1.3 million, and an increase in other labor expense of $1.1 million</w:t>
      </w:r>
      <w:r>
        <w:rPr>
          <w:rFonts w:ascii="Calibri" w:cs="Calibri" w:eastAsia="Calibri" w:hAnsi="Calibri"/>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Income (Expense)</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interest income, and other income (expense) for the nine months ended October 31, 2023 as compared to the nine months ended October 31, 2022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4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107,245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321 %</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9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amortization of debt issuance costs, contractual interest expense, and accretion of debt discount for our Senior Notes issued in January 2021.</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nine months ended October 31, 2023 compared to the nine months ended October 31, 2022 was driven by increases in market interest rates and an increase in our cash, cash equivalents, and short-term investments.</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decrease in other income (expense) for the nine months ended October 31, 2023 compared to the nine months ended October 31, 2022 was primarily due to a decrease in net positive mark-to-market adjustments of our strategic investments of $4.8 million, and an increase in net foreign currency transaction losses of $3.0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the provision for income taxes for the nine months ended October 31, 2023 as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 (in thousands, except percentage):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32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7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increase in provision for income taxes of $1.5 million during the nine months ended October 31, 2023 compared to the nine months ended October 31, 2022 was primarily attributable to an increase in withholding taxes related to customer payments in certain foreign jurisdictions in which the Company conducts business and tax expense related to jurisdictions where we operate, partially offset by the non-recurring tax impact from the intercompany sale of intellectual property during the nine months ended October 31,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as of October 31, 2023, consisted of: (i) $3.0 billion in cash and cash equivalents, which mainly consists of cash on hand and highly liquid investments in money market funds and U.S. Treasury bills, (ii) $197.5 million in short-term investments, which consists of U.S. Treasury bills, (iii) cash we expect to generate from operations, and (iv) available capacity under our $750.0 million senior secured revolving credit facility (the “A&amp;R Credit Agreement”). We expect that the combination of our existing cash and cash equivalents, short-term investments, cash flows from operations, and the A&amp;R Credit Agreement will be sufficient to meet our anticipated cash needs for working capital and capital expenditures for at least the next 12 months.</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historically generated operating losses, as reflected in our accumulated deficit of $1.1 billion as of October 31, 2023. We expect to continue to make investments, particularly in sales and marketing and research and development. As a result, we may require additional capital resources in the future to execute strategic initiatives to grow our business.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October 31, 2023, we had deferred revenue of $2.5 billion, of which $1.9 billion was recorded as a current liability and is expected to be recorded as revenue in the next 12 months, provided all other revenue recognition criteria have been met.</w:t>
      </w:r>
    </w:p>
    <w:p>
      <w:pPr>
        <w:spacing w:after="0" w:line="18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73"/>
        </w:trPr>
        <w:tc>
          <w:tcPr>
            <w:tcW w:w="7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r>
      <w:tr>
        <w:trPr>
          <w:trHeight w:val="223"/>
        </w:trPr>
        <w:tc>
          <w:tcPr>
            <w:tcW w:w="7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667,714</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(237,518)</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48,303</w:t>
            </w: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471,425</w:t>
            </w:r>
          </w:p>
        </w:tc>
      </w:tr>
    </w:tbl>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during the nine months ended October 31, 2023 was $819.2 million, which resulted from net income of $35.6 million, adjusted for non-cash charges of $739.1 million and net cash inflow of $44.5 million from changes in operating assets and liabilities. Non-cash charges primarily consisted of $455.2 million in stock-based compensation expense, $173.2 million of amortization of deferred contract acquisition costs, $90.0 million of depreciation and amortization, $12.9 million of amortization of intangibles assets, $9.7 million of non-cash operating lease costs, and $2.3 million of non-cash interest expense, partially offset by an increase of $2.4 million in deferred income taxes. The net cash inflow from changes in operating assets and liabilities was primarily due to a $185.7 million increase in deferred revenue, a $65.9 million decrease in accounts receivable, net, a $33.6 million increase in accrued expenses and other liabilities, a $2.4 million increase in accounts payable, and a $1.8 million increase in accrued payroll and benefits, partially offset by a $206.7 million increase in deferred contract acquisition costs, a $22.0 million increase in prepaid expenses and other assets, and a $16.1 million decrease in operating lease liabilities.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Net cash used by investing activities of $361.0 million during the nine months ended October 31, 2023 was primarily due to business acquisitions, net of cash acquired, of $238.7 million, which was related to the Bionic acquisition, purchases of short-term investments of $195.6 million, purchases of property and equipment of $123.9 million, capitalized internal-use software and website development costs of $38.6 million, and purchases of strategic investments of $12.2 million, partially offset by proceeds from maturities and sales of short-term investments of $250.0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$59.7 million during the nine months ended October 31, 2023 was primarily due to proceeds from our employee stock purchase plan of $45.4 million, capital contributions from non-controlling interests of $8.1 million, and proceeds from the exercise of stock options of $6.2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4, “Debt”, in our Notes to Condensed Consolidated Financial Statements in Part I, Item 1 of this Quarterly Report on Form 10-Q, for a brief description of the Senior Notes.</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conduct our operations almost entirely through our subsidiaries. Accordingly, the Obligor Group’s cash flows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00" w:type="dxa"/>
            <w:vAlign w:val="bottom"/>
          </w:tcPr>
          <w:p>
            <w:pPr>
              <w:spacing w:after="0"/>
              <w:rPr>
                <w:sz w:val="17"/>
                <w:szCs w:val="17"/>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3"/>
        </w:trPr>
        <w:tc>
          <w:tcPr>
            <w:tcW w:w="9140" w:type="dxa"/>
            <w:vAlign w:val="bottom"/>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October 31, 2023</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2,211,022</w:t>
            </w:r>
          </w:p>
        </w:tc>
        <w:tc>
          <w:tcPr>
            <w:tcW w:w="0" w:type="dxa"/>
            <w:vAlign w:val="bottom"/>
          </w:tcPr>
          <w:p>
            <w:pPr>
              <w:spacing w:after="0"/>
              <w:rPr>
                <w:sz w:val="1"/>
                <w:szCs w:val="1"/>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578,503</w:t>
            </w:r>
          </w:p>
        </w:tc>
        <w:tc>
          <w:tcPr>
            <w:tcW w:w="0" w:type="dxa"/>
            <w:vAlign w:val="bottom"/>
          </w:tcPr>
          <w:p>
            <w:pPr>
              <w:spacing w:after="0"/>
              <w:rPr>
                <w:sz w:val="1"/>
                <w:szCs w:val="1"/>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1,716,380</w:t>
            </w:r>
          </w:p>
        </w:tc>
        <w:tc>
          <w:tcPr>
            <w:tcW w:w="0" w:type="dxa"/>
            <w:vAlign w:val="bottom"/>
          </w:tcPr>
          <w:p>
            <w:pPr>
              <w:spacing w:after="0"/>
              <w:rPr>
                <w:sz w:val="1"/>
                <w:szCs w:val="1"/>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(83,862)</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3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CrowdStrike</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31, 2023</w:t>
            </w:r>
          </w:p>
        </w:tc>
      </w:tr>
      <w:tr>
        <w:trPr>
          <w:trHeight w:val="264"/>
        </w:trPr>
        <w:tc>
          <w:tcPr>
            <w:tcW w:w="7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560" w:type="dxa"/>
            <w:vAlign w:val="bottom"/>
            <w:gridSpan w:val="4"/>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(excluding current intercompany receivables from non-Guarantors)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3,916,960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3,541,670</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intercompany receivables from non-Guarantors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(excluding noncurrent intercompany receivables from non-Guarantors)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1,443,684</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intercompany receivables from non-Guarantors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2,266,665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2,027,443</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 (excluding noncurrent intercompany payable to non-Guarantors)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1,417,627</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intercompany payable to non-Guarantors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289,242</w:t>
            </w: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2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5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October 31, 2023, there were no significant changes to our debt obligations related to the Senior Notes or our contractual obligations under our non-cancelable real estate arrangements, as presented in Part II, Item 7, Management’s Discussion and Analysis of Financial Condition and Results of Operations included in our Annual Report on Form 10-K for the fiscal year ended January 31, 2023.</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non-cancelable data center commitments totaling $237.9 million as of October 31, 2023, of which $236.0 million has a remaining term in excess of 12 months. We also have non-cancelable purchase commitments with various parties to purchase products and services entered in the normal course of business totaling $132.0 million as of October 31, 2023, of which $125.6 million has a remaining term in excess of 12 months.</w:t>
      </w:r>
    </w:p>
    <w:p>
      <w:pPr>
        <w:spacing w:after="0" w:line="176"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contractual commitment amounts above are associated with agreements that are enforceable and legally binding. Obligations under contracts, including purchase orders, that we can cancel without a significant penalty are excluded.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Obligations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October 2021, we entered into a new private pricing addendum with Amazon Web Services (“AWS”), which provides us with cloud computing infrastructure. Under the new pricing addendum, we committed to purchase a minimum of $600.0 million of cloud services from AWS through September 2026. As of October 31, 2023, we have utilized $498.2 million of this commitment. We expect to meet our remaining commitment with AWS.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October 31, 2023, our unrecognized tax benefits included $8.2 million, which were classified as long-term liabilities due to the inherent uncertainty with respect to the timing of future cash outflows associated with our unrecognized tax benefits.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customer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sheets as of October 31, 2023 or January 31, 2023.</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also agreed to indemnify our directors and certain executive officers for certain events or occurrences, subject to certain limits, while the officer is or was serving at our request in such capacity. The maximum amount of potential future indemnification is unlimited. However, our director and officer liability insurance policy mitigates our exposure. Historically, we have not been obligated to make any payments for these obligations and no liabilities have been recorded for these obligations on our condensed consolidated balance sheets as of October 31, 2023 or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were prepared in accordance with U.S GAAP. The preparation of the condensed consolidated financial statements requires our management to make estimates and assumptions that affect the amounts reported in the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accounting estimates we use in the preparation of our condensed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condensed consolidated financial statements. By their nature, these estimates and judgments are subject to an inherent degree of uncertainty and actual results could differ materially from the amounts reported based on these estimates.</w:t>
      </w:r>
    </w:p>
    <w:p>
      <w:pPr>
        <w:spacing w:after="0" w:line="183"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nine months ended October 31, 2023, as compared to the critical accounting policies and estimates disclosed in Management’s Discussion and Analysis of Financial Condition and Results of Operations included in our Annual Report on Form 10-K for the year ended January 31, 2023, filed with the SEC on March 9, 2023.</w:t>
      </w:r>
    </w:p>
    <w:p>
      <w:pPr>
        <w:spacing w:after="0" w:line="17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enter into both single and multi-year subscription contracts for our solutions. We generally invoice our customers at contract signing prior to commencement of subscription period. Until such time as these amounts are invoiced, they are not recorded in deferred revenue or elsewhere in our condensed consolidated financial statements, and are considered by us to be backlog. As of October 31, 2023, we had backlog of approximately $1.2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spacing w:after="0" w:line="1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October 31, 2023, we had 7,745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6"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Our principal executive offices are located at 206 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See Note 1, “Description of Business and Significant Accounting Policies”, of our condensed consolidated financial statements included elsewhere in this Quarterly Report on Form 10-Q, for more information about the impact of certain recent accounting pronouncements on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risks during the three and nine months ended October 31, 2023 compared to our disclosures in Part II, Item 7A of our Annual Report on Form 10-K for the fiscal year ended January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October 31, 2023. Based on such evaluation of our disclosure controls and procedures as of October 31, 2023,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8, “Commitments and Contingencies” in our Notes to Condensed Consolidated Financial Statements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business and our condensed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5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have experienced rapid revenue growth in recent periods and we expect to continue to invest broadly across our organization to support our growth. For example, our headcount grew from 3,394 employees as of January 31, 2021, to 7,745 employees as of October 31, 2023.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83" w:lineRule="exact"/>
        <w:rPr>
          <w:sz w:val="20"/>
          <w:szCs w:val="20"/>
          <w:color w:val="auto"/>
        </w:rPr>
      </w:pPr>
    </w:p>
    <w:p>
      <w:pPr>
        <w:ind w:left="1140" w:hanging="322"/>
        <w:spacing w:after="0" w:line="282"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attract, integrate, and retain a large number of new employees, particularly members of our sales and marketing and research and development teams;</w:t>
      </w:r>
    </w:p>
    <w:p>
      <w:pPr>
        <w:spacing w:after="0" w:line="161" w:lineRule="exact"/>
        <w:rPr>
          <w:rFonts w:ascii="Times New Roman" w:cs="Times New Roman" w:eastAsia="Times New Roman" w:hAnsi="Times New Roman"/>
          <w:sz w:val="18"/>
          <w:szCs w:val="18"/>
          <w:color w:val="auto"/>
        </w:rPr>
      </w:pPr>
    </w:p>
    <w:p>
      <w:pPr>
        <w:ind w:left="1140" w:right="400" w:hanging="322"/>
        <w:spacing w:after="0" w:line="282"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improve our Falcon platform, including our cloud modules, and IT infrastructure, including expanding and optimizing our data centers, to support our business needs;</w:t>
      </w:r>
    </w:p>
    <w:p>
      <w:pPr>
        <w:spacing w:after="0" w:line="161" w:lineRule="exact"/>
        <w:rPr>
          <w:rFonts w:ascii="Times New Roman" w:cs="Times New Roman" w:eastAsia="Times New Roman" w:hAnsi="Times New Roman"/>
          <w:sz w:val="18"/>
          <w:szCs w:val="18"/>
          <w:color w:val="auto"/>
        </w:rPr>
      </w:pPr>
    </w:p>
    <w:p>
      <w:pPr>
        <w:ind w:left="1140" w:right="180" w:hanging="322"/>
        <w:spacing w:after="0" w:line="282"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financial, management, and compliance systems and controls.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while we have achieved profitability in quarterly periods, we may not be able to achieve or sustain profitability in the future.</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incurred net losses each year since our inception, and we may not achieve or maintain profitability in the future. We experienced net losses of $183.2 million, $234.8 million, and $92.6 million for fiscal 2023, fiscal 2022, and fiscal 2021, respectively. As of October 31, 2023, we had an accumulated deficit of $1.1 billion. While we have experienced significant growth in revenue in recent periods, and have achieved profitability during quarterly periods,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5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8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8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especially in the early stages of introduction, as well as our ability to seamlessly integrate all of our product and service offerings and develop adequate sales capabilities in new markets. For example, Artificial Intelligence (“AI”) is a core component of our business and we are continuing to incorporate novel uses of AI, including generative AI, into our services. We may encounter new and difficult-to-anticipate risks, challenges, and unintended consequences as a result of our use of AI. For example, there has been increased public scrutiny on potential risks relating to AI, including ethical, legal or operational risks, which could result in reputational harm, legal liability or reduce or delay adoption of our products and services. Failure to effectively deliver, integrate, and manage perceptions with respect to enhancements and new solutions may erode our competitive position, significantly impair our revenue growth, and negatively impact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results of operations could be harmed.</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the outbreak of diseases such as COVID-19, volatility in the banking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and constrained spending on security and IT operations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9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and geopolitical conditions. If our efforts to maintain and expand our relationships with our existing customers are not successful, our business, results of operations, and financial condition may materially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and our sales efforts require considerable time and expense.</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conditions may lead to additional scrutiny of budgets by current and prospective customers, which has resulted in, for example, longer sales cycles for products and services, and may result in shifting demand for IT products and services, and slower adoption of new technologies.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share that would adversely affect our business, financial condition, and results of operations. Our ability to compete effectively depends upon numerous factors, many of which are beyond our control, including, but not limited to:</w:t>
      </w:r>
    </w:p>
    <w:p>
      <w:pPr>
        <w:spacing w:after="0" w:line="162" w:lineRule="exact"/>
        <w:rPr>
          <w:sz w:val="20"/>
          <w:szCs w:val="20"/>
          <w:color w:val="auto"/>
        </w:rPr>
      </w:pPr>
    </w:p>
    <w:p>
      <w:pPr>
        <w:ind w:left="1140" w:right="420" w:hanging="322"/>
        <w:spacing w:after="0" w:line="282"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capabilities, including performance and reliability, of our Falcon platform, including our cloud modules, services, and features compared to those of our competitors;</w:t>
      </w:r>
    </w:p>
    <w:p>
      <w:pPr>
        <w:spacing w:after="0" w:line="161" w:lineRule="exact"/>
        <w:rPr>
          <w:rFonts w:ascii="Times New Roman" w:cs="Times New Roman" w:eastAsia="Times New Roman" w:hAnsi="Times New Roman"/>
          <w:sz w:val="18"/>
          <w:szCs w:val="18"/>
          <w:color w:val="auto"/>
        </w:rPr>
      </w:pPr>
    </w:p>
    <w:p>
      <w:pPr>
        <w:ind w:left="1140" w:right="560" w:hanging="322"/>
        <w:spacing w:after="0" w:line="282"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competitors, to improve existing products, services, and features, or to develop new ones to address evolving customer needs;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relationships with channel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competitors include the following by general category:</w:t>
      </w:r>
    </w:p>
    <w:p>
      <w:pPr>
        <w:spacing w:after="0" w:line="225" w:lineRule="exact"/>
        <w:rPr>
          <w:sz w:val="20"/>
          <w:szCs w:val="20"/>
          <w:color w:val="auto"/>
        </w:rPr>
      </w:pPr>
    </w:p>
    <w:p>
      <w:pPr>
        <w:ind w:left="1140" w:right="400" w:hanging="322"/>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antivirus product providers who offer a broad range of approaches and solutions including traditional signature-based anti-virus protection;</w:t>
      </w:r>
    </w:p>
    <w:p>
      <w:pPr>
        <w:spacing w:after="0" w:line="161" w:lineRule="exact"/>
        <w:rPr>
          <w:rFonts w:ascii="Times New Roman" w:cs="Times New Roman" w:eastAsia="Times New Roman" w:hAnsi="Times New Roman"/>
          <w:sz w:val="18"/>
          <w:szCs w:val="18"/>
          <w:color w:val="auto"/>
        </w:rPr>
      </w:pPr>
    </w:p>
    <w:p>
      <w:pPr>
        <w:ind w:left="1140" w:right="260" w:hanging="322"/>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endpoint security providers who generally offer a mix of on-premise and cloud-hosted products that rely heavily on malware-only or application whitelisting techniques;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vendors who are supplementing their core perimeter-based offerings with endpoint security solutions;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providers who offer cybersecurity response services.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including with respect to AI. Our competitors may more successfully incorporate AI into their products, gain or leverage superior access 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pricing pressure may reduce our gross profits and adversely affect our financial results.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 or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cybersecurity provider, we have been, and expect to continue to be, a target of cyberattacks. If our or our service providers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internal networks, systems, or data are or are perceived to have been compromised, our reputation may be damaged and our financial results may be negatively affected.</w:t>
      </w:r>
    </w:p>
    <w:p>
      <w:pPr>
        <w:spacing w:after="0" w:line="136"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9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9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factors, many of which are beyond our control, can affect the delivery, availability, and the performance of our Falcon platform:</w:t>
      </w:r>
    </w:p>
    <w:p>
      <w:pPr>
        <w:spacing w:after="0" w:line="225" w:lineRule="exact"/>
        <w:rPr>
          <w:sz w:val="20"/>
          <w:szCs w:val="20"/>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maintenance of the infrastructure of the internet;</w:t>
      </w:r>
    </w:p>
    <w:p>
      <w:pPr>
        <w:spacing w:after="0" w:line="225" w:lineRule="exact"/>
        <w:rPr>
          <w:rFonts w:ascii="Times New Roman" w:cs="Times New Roman" w:eastAsia="Times New Roman" w:hAnsi="Times New Roman"/>
          <w:sz w:val="18"/>
          <w:szCs w:val="18"/>
          <w:color w:val="auto"/>
        </w:rPr>
      </w:pPr>
    </w:p>
    <w:p>
      <w:pPr>
        <w:ind w:left="1140" w:right="440" w:hanging="322"/>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161" w:lineRule="exact"/>
        <w:rPr>
          <w:rFonts w:ascii="Times New Roman" w:cs="Times New Roman" w:eastAsia="Times New Roman" w:hAnsi="Times New Roman"/>
          <w:sz w:val="18"/>
          <w:szCs w:val="18"/>
          <w:color w:val="auto"/>
        </w:rPr>
      </w:pPr>
    </w:p>
    <w:p>
      <w:pPr>
        <w:ind w:left="1140" w:hanging="322"/>
        <w:spacing w:after="0" w:line="266"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75" w:lineRule="exact"/>
        <w:rPr>
          <w:rFonts w:ascii="Times New Roman" w:cs="Times New Roman" w:eastAsia="Times New Roman" w:hAnsi="Times New Roman"/>
          <w:sz w:val="18"/>
          <w:szCs w:val="18"/>
          <w:color w:val="auto"/>
        </w:rPr>
      </w:pPr>
    </w:p>
    <w:p>
      <w:pPr>
        <w:ind w:left="1140" w:right="720" w:hanging="322"/>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electronic break-ins, acts of war or terrorism, human error or interference (including by disgruntled employees, former employees or contractors) and other catastrophic events;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including denial of service attacks, targeted at us, our data centers, or the infrastructure of the internet;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and update our cloud infrastructure to meet our data capacity requirements;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defects or performance problems in our software, including third-party software incorporated in our software;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deployment or configuration of our solutions;</w:t>
      </w:r>
    </w:p>
    <w:p>
      <w:pPr>
        <w:spacing w:after="0" w:line="225"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redundancy systems, in the event of a service disruption at one of our data centers, to provide failover to other data centers in our data center network;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disaster recovery and business continuity arrangements.</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key technical, sales and management personnel to grow our business, and the loss of one or more key employees could harm our business.</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personnel, our business could be harmed.</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There is also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9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59"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76" w:lineRule="exact"/>
        <w:rPr>
          <w:sz w:val="20"/>
          <w:szCs w:val="20"/>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and retain existing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seasonal buying patterns, and purchasing practices of customers;</w:t>
      </w:r>
    </w:p>
    <w:p>
      <w:pPr>
        <w:spacing w:after="0" w:line="225" w:lineRule="exact"/>
        <w:rPr>
          <w:rFonts w:ascii="Times New Roman" w:cs="Times New Roman" w:eastAsia="Times New Roman" w:hAnsi="Times New Roman"/>
          <w:sz w:val="18"/>
          <w:szCs w:val="18"/>
          <w:color w:val="auto"/>
        </w:rPr>
      </w:pPr>
    </w:p>
    <w:p>
      <w:pPr>
        <w:ind w:left="1140" w:right="260" w:hanging="322"/>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difficulties confronting our customers, which may impact the number of modules or endpoint deployments they are willing or able to purchase;</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length of our sales cycles;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or channel partner requirements or market needs;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cloud-based SaaS-delivered endpoint security solutions market;</w:t>
      </w:r>
    </w:p>
    <w:p>
      <w:pPr>
        <w:spacing w:after="0" w:line="225"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by us or our competitors or any other competitive developments, including consolidation among our customers or competitors;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awareness of cybersecurity threats, particularly advanced cyberattacks, and the market adoption of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domestically and internationally;</w:t>
      </w:r>
    </w:p>
    <w:p>
      <w:pPr>
        <w:spacing w:after="0" w:line="225"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organizations to purchase security solutions from larger, more established security vendors or from their primary IT equipment vendors;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relationship with channel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affecting their ability to purchase or pay for our solutions;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use of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other dispute-related settlement payments or outcomes;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or practices;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coverage or publicity;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events;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(including new hires) and capital expenditures related to the expansion of our business;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expenses caused by fluctuations in foreign currency exchange rates;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natural disasters and other catastrophic events, including the occurrence of a contagious disease or illness, such as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Furthermore, our business and revenues are impacted by global economic and geopolitical conditions. Volatile financial markets, bank failures, inflation, rising interest rates, supply chain challenges, political turmoil and other disruptions to global and regional economies and markets continue to add uncertainty to macroeconomic conditions. Any continued or further uncertainty, weakness or deterioration in economic conditions or the geopolitical environment could harm our business and results of operations. 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8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7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derived approximately 28%, 28%, 30% and 32% of our total revenue from our international customers for fiscal 2021, fiscal 2022, fiscal 2023 and the nine months ended October 31, 2023,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83" w:lineRule="exact"/>
        <w:rPr>
          <w:sz w:val="20"/>
          <w:szCs w:val="20"/>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in negotiating contracts with standard terms, enforcing contracts and managing collections, and longer collection periods;</w:t>
      </w:r>
    </w:p>
    <w:p>
      <w:pPr>
        <w:spacing w:after="0" w:line="224" w:lineRule="exact"/>
        <w:rPr>
          <w:rFonts w:ascii="Arial" w:cs="Arial" w:eastAsia="Arial" w:hAnsi="Arial"/>
          <w:sz w:val="18"/>
          <w:szCs w:val="18"/>
          <w:color w:val="auto"/>
        </w:rPr>
      </w:pPr>
    </w:p>
    <w:p>
      <w:pPr>
        <w:ind w:left="1140" w:right="160" w:hanging="322"/>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costs incurred in establishing and maintaining office space and equipment for our international operations;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and geographic dispersion;</w:t>
      </w:r>
    </w:p>
    <w:p>
      <w:pPr>
        <w:spacing w:after="0" w:line="225" w:lineRule="exact"/>
        <w:rPr>
          <w:rFonts w:ascii="Times New Roman" w:cs="Times New Roman" w:eastAsia="Times New Roman" w:hAnsi="Times New Roman"/>
          <w:sz w:val="18"/>
          <w:szCs w:val="18"/>
          <w:color w:val="auto"/>
        </w:rPr>
      </w:pPr>
    </w:p>
    <w:p>
      <w:pPr>
        <w:ind w:left="1140" w:right="460" w:hanging="322"/>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unexpected changes in regulatory practices, tariffs, and tax laws and treaties;</w:t>
      </w:r>
    </w:p>
    <w:p>
      <w:pPr>
        <w:spacing w:after="0" w:line="225" w:lineRule="exact"/>
        <w:rPr>
          <w:rFonts w:ascii="Times New Roman" w:cs="Times New Roman" w:eastAsia="Times New Roman" w:hAnsi="Times New Roman"/>
          <w:sz w:val="18"/>
          <w:szCs w:val="18"/>
          <w:color w:val="auto"/>
        </w:rPr>
      </w:pPr>
    </w:p>
    <w:p>
      <w:pPr>
        <w:ind w:left="1140" w:right="160" w:hanging="322"/>
        <w:spacing w:after="0" w:line="266"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75" w:lineRule="exact"/>
        <w:rPr>
          <w:rFonts w:ascii="Times New Roman" w:cs="Times New Roman" w:eastAsia="Times New Roman" w:hAnsi="Times New Roman"/>
          <w:sz w:val="18"/>
          <w:szCs w:val="18"/>
          <w:color w:val="auto"/>
        </w:rPr>
      </w:pPr>
    </w:p>
    <w:p>
      <w:pPr>
        <w:ind w:left="1140" w:right="320" w:hanging="322"/>
        <w:spacing w:after="0" w:line="281" w:lineRule="auto"/>
        <w:tabs>
          <w:tab w:leader="none" w:pos="11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62"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general economic and political conditions in these foreign markets;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foreign exchange controls or tax regulations that might prevent us from repatriating cash earned outside the United States;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political and economic instability in some countries;</w:t>
      </w:r>
    </w:p>
    <w:p>
      <w:pPr>
        <w:spacing w:after="0" w:line="224" w:lineRule="exact"/>
        <w:rPr>
          <w:rFonts w:ascii="Arial" w:cs="Arial" w:eastAsia="Arial" w:hAnsi="Arial"/>
          <w:sz w:val="18"/>
          <w:szCs w:val="18"/>
          <w:color w:val="auto"/>
        </w:rPr>
      </w:pPr>
    </w:p>
    <w:p>
      <w:pPr>
        <w:ind w:left="1140" w:hanging="322"/>
        <w:spacing w:after="0" w:line="281" w:lineRule="auto"/>
        <w:tabs>
          <w:tab w:leader="none" w:pos="11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tax laws of the United States or the foreign jurisdictions in which we operate;</w:t>
      </w:r>
    </w:p>
    <w:p>
      <w:pPr>
        <w:spacing w:after="0" w:line="162" w:lineRule="exact"/>
        <w:rPr>
          <w:rFonts w:ascii="Arial" w:cs="Arial" w:eastAsia="Arial" w:hAnsi="Arial"/>
          <w:sz w:val="18"/>
          <w:szCs w:val="18"/>
          <w:color w:val="auto"/>
        </w:rPr>
      </w:pPr>
    </w:p>
    <w:p>
      <w:pPr>
        <w:ind w:left="1140" w:right="380" w:hanging="322"/>
        <w:spacing w:after="0" w:line="281" w:lineRule="auto"/>
        <w:tabs>
          <w:tab w:leader="none" w:pos="11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unexpected costs for the localization of our services, including translation into foreign languages and adaptation for local practices and regulatory requirements (including, but not limited to data localization requirements);</w:t>
      </w:r>
    </w:p>
    <w:p>
      <w:pPr>
        <w:spacing w:after="0" w:line="162" w:lineRule="exact"/>
        <w:rPr>
          <w:rFonts w:ascii="Arial" w:cs="Arial" w:eastAsia="Arial" w:hAnsi="Arial"/>
          <w:sz w:val="18"/>
          <w:szCs w:val="18"/>
          <w:color w:val="auto"/>
        </w:rPr>
      </w:pPr>
    </w:p>
    <w:p>
      <w:pPr>
        <w:ind w:left="1140" w:right="460" w:hanging="322"/>
        <w:spacing w:after="0" w:line="281" w:lineRule="auto"/>
        <w:tabs>
          <w:tab w:leader="none" w:pos="11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requirements to comply with foreign privacy, data protection, and information security laws and regulations and the risks and costs of noncompliance;</w:t>
      </w:r>
    </w:p>
    <w:p>
      <w:pPr>
        <w:spacing w:after="0" w:line="162" w:lineRule="exact"/>
        <w:rPr>
          <w:rFonts w:ascii="Arial" w:cs="Arial" w:eastAsia="Arial" w:hAnsi="Arial"/>
          <w:sz w:val="18"/>
          <w:szCs w:val="18"/>
          <w:color w:val="auto"/>
        </w:rPr>
      </w:pPr>
    </w:p>
    <w:p>
      <w:pPr>
        <w:ind w:left="1140" w:right="720" w:hanging="322"/>
        <w:spacing w:after="0" w:line="281" w:lineRule="auto"/>
        <w:tabs>
          <w:tab w:leader="none" w:pos="11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in identifying, attracting and retaining local qualified personnel, and the costs and expenses associated with such activities;</w:t>
      </w:r>
    </w:p>
    <w:p>
      <w:pPr>
        <w:spacing w:after="0" w:line="162"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identifying qualified channel partners and maintaining successful relationships with such partners;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differing employment practices and labor relations issues;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280" w:hanging="322"/>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offices and increased travel, infrastructure, and legal compliance costs associated with multiple international locations.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to such government entities include, but are not limited to, the following risks:</w:t>
      </w:r>
    </w:p>
    <w:p>
      <w:pPr>
        <w:spacing w:after="0" w:line="266" w:lineRule="exact"/>
        <w:rPr>
          <w:sz w:val="20"/>
          <w:szCs w:val="20"/>
          <w:color w:val="auto"/>
        </w:rPr>
      </w:pPr>
    </w:p>
    <w:p>
      <w:pPr>
        <w:ind w:left="1140" w:right="300" w:hanging="322"/>
        <w:spacing w:after="0" w:line="234"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240" w:lineRule="exact"/>
        <w:rPr>
          <w:rFonts w:ascii="Arial" w:cs="Arial" w:eastAsia="Arial" w:hAnsi="Arial"/>
          <w:sz w:val="22"/>
          <w:szCs w:val="22"/>
          <w:color w:val="auto"/>
        </w:rPr>
      </w:pPr>
    </w:p>
    <w:p>
      <w:pPr>
        <w:ind w:left="1140" w:right="580" w:hanging="322"/>
        <w:spacing w:after="0" w:line="234"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240" w:lineRule="exact"/>
        <w:rPr>
          <w:rFonts w:ascii="Arial" w:cs="Arial" w:eastAsia="Arial" w:hAnsi="Arial"/>
          <w:sz w:val="22"/>
          <w:szCs w:val="22"/>
          <w:color w:val="auto"/>
        </w:rPr>
      </w:pPr>
    </w:p>
    <w:p>
      <w:pPr>
        <w:ind w:left="1140" w:right="60" w:hanging="322"/>
        <w:spacing w:after="0" w:line="248"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233" w:lineRule="exact"/>
        <w:rPr>
          <w:rFonts w:ascii="Arial" w:cs="Arial" w:eastAsia="Arial" w:hAnsi="Arial"/>
          <w:sz w:val="22"/>
          <w:szCs w:val="22"/>
          <w:color w:val="auto"/>
        </w:rPr>
      </w:pPr>
    </w:p>
    <w:p>
      <w:pPr>
        <w:ind w:left="1140" w:right="320" w:hanging="322"/>
        <w:spacing w:after="0" w:line="234"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product requirements are often technically complex and assessors may require us to make costly changes to our products to meet such requirements without any assurance that such changes will generate a sale;</w:t>
      </w:r>
    </w:p>
    <w:p>
      <w:pPr>
        <w:spacing w:after="0" w:line="240" w:lineRule="exact"/>
        <w:rPr>
          <w:rFonts w:ascii="Arial" w:cs="Arial" w:eastAsia="Arial" w:hAnsi="Arial"/>
          <w:sz w:val="22"/>
          <w:szCs w:val="22"/>
          <w:color w:val="auto"/>
        </w:rPr>
      </w:pPr>
    </w:p>
    <w:p>
      <w:pPr>
        <w:ind w:left="1140" w:right="100" w:hanging="322"/>
        <w:spacing w:after="0" w:line="243"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235" w:lineRule="exact"/>
        <w:rPr>
          <w:rFonts w:ascii="Arial" w:cs="Arial" w:eastAsia="Arial" w:hAnsi="Arial"/>
          <w:sz w:val="22"/>
          <w:szCs w:val="22"/>
          <w:color w:val="auto"/>
        </w:rPr>
      </w:pPr>
    </w:p>
    <w:p>
      <w:pPr>
        <w:ind w:left="1140" w:right="120" w:hanging="322"/>
        <w:spacing w:after="0" w:line="234" w:lineRule="auto"/>
        <w:tabs>
          <w:tab w:leader="none" w:pos="113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attitudes towards us as a company, our platform or the capabilities that we offer as a viable software solution may change, and reduce interest in our products and services as acceptable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40" w:right="160" w:hanging="322"/>
        <w:spacing w:after="0" w:line="234" w:lineRule="auto"/>
        <w:tabs>
          <w:tab w:leader="none" w:pos="113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240" w:lineRule="exact"/>
        <w:rPr>
          <w:rFonts w:ascii="Arial" w:cs="Arial" w:eastAsia="Arial" w:hAnsi="Arial"/>
          <w:sz w:val="22"/>
          <w:szCs w:val="22"/>
          <w:color w:val="auto"/>
        </w:rPr>
      </w:pPr>
    </w:p>
    <w:p>
      <w:pPr>
        <w:ind w:left="1140" w:right="380" w:hanging="322"/>
        <w:spacing w:after="0" w:line="239" w:lineRule="auto"/>
        <w:tabs>
          <w:tab w:leader="none" w:pos="113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221" w:lineRule="exact"/>
        <w:rPr>
          <w:rFonts w:ascii="Arial" w:cs="Arial" w:eastAsia="Arial" w:hAnsi="Arial"/>
          <w:sz w:val="22"/>
          <w:szCs w:val="22"/>
          <w:color w:val="auto"/>
        </w:rPr>
      </w:pPr>
    </w:p>
    <w:p>
      <w:pPr>
        <w:ind w:left="1140" w:hanging="322"/>
        <w:spacing w:after="0"/>
        <w:tabs>
          <w:tab w:leader="none" w:pos="114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even if we are awarded a sale, the terms of such contracts may be unusually burdensome;</w:t>
      </w:r>
    </w:p>
    <w:p>
      <w:pPr>
        <w:spacing w:after="0" w:line="251" w:lineRule="exact"/>
        <w:rPr>
          <w:rFonts w:ascii="Arial" w:cs="Arial" w:eastAsia="Arial" w:hAnsi="Arial"/>
          <w:sz w:val="22"/>
          <w:szCs w:val="22"/>
          <w:color w:val="auto"/>
        </w:rPr>
      </w:pPr>
    </w:p>
    <w:p>
      <w:pPr>
        <w:ind w:left="1140" w:right="20" w:hanging="322"/>
        <w:spacing w:after="0" w:line="239" w:lineRule="auto"/>
        <w:tabs>
          <w:tab w:leader="none" w:pos="113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240" w:lineRule="exact"/>
        <w:rPr>
          <w:rFonts w:ascii="Arial" w:cs="Arial" w:eastAsia="Arial" w:hAnsi="Arial"/>
          <w:sz w:val="22"/>
          <w:szCs w:val="22"/>
          <w:color w:val="auto"/>
        </w:rPr>
      </w:pPr>
    </w:p>
    <w:p>
      <w:pPr>
        <w:jc w:val="both"/>
        <w:ind w:left="1140" w:right="300" w:hanging="322"/>
        <w:spacing w:after="0" w:line="239" w:lineRule="auto"/>
        <w:tabs>
          <w:tab w:leader="none" w:pos="113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200"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timely and cost-effectively scale and adapt our existing technology to meet our customers’ performance and other requirements.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customer satisfaction depends in part on the quality of our customer support.</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59"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crises, such as the COVID-19 pandemic could adversely affect our business, operating results and future revenue.</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subject to public health crises, such as the COVID-19 pandemic, which has impacted and continues to impact worldwide economic activity and financial markets. We have previously taken and may in the future take precautionary measures intended to mitigate the spread of the COVID-19 virus and minimize the risk to our employees, customers, partners, and the communities in which we operate to respond to developments relating to the pandemic, including developments relating to infection rates, disease variants, vaccination progress and efficacy, and evolving public health guidance. These measures could, for example, negatively affect our customer success efforts, delay and lengthen our sales cycles, impact our sales and marketing efforts, slow our international expansion efforts, increase cybersecurity risks, and create operational or other challenges, any of which could harm our business and results of operations.</w:t>
      </w:r>
    </w:p>
    <w:p>
      <w:pPr>
        <w:spacing w:after="0" w:line="18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In addition, public health crises may disrupt the operations of our customers and partners for an indefinite period of time. For example, the COVID-19 pandemic adversely affected economies and financial markets globally. Uncertainty caused by public health crises could lead to prolonged economic downturns, which could result in a larger customer churn than we can anticipate and reduce or delay demand for our products and services, in which case our revenues could be significantly impacted. The lasting impact of the public health crises, including the COVID-19 pandemic, may also exacerbate other risks discussed in this “Risk Factors” section and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recently experienced widespread component shortages and delivery delays, including as a result of geopolitical tensions, the COVID-19 pandemic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Legal, and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in part on our ability to protect and enforce our intellectual property rights.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9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9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From time to time, third parties have in the past and may in the future assert claims of infringement of intellectual property rights against us.</w:t>
      </w:r>
    </w:p>
    <w:p>
      <w:pPr>
        <w:spacing w:after="0" w:line="225" w:lineRule="exact"/>
        <w:rPr>
          <w:sz w:val="20"/>
          <w:szCs w:val="20"/>
          <w:color w:val="auto"/>
        </w:rPr>
      </w:pPr>
    </w:p>
    <w:p>
      <w:pPr>
        <w:ind w:right="140" w:firstLine="648"/>
        <w:spacing w:after="0" w:line="272" w:lineRule="auto"/>
        <w:rPr>
          <w:sz w:val="20"/>
          <w:szCs w:val="20"/>
          <w:color w:val="auto"/>
        </w:rPr>
      </w:pPr>
      <w:r>
        <w:rPr>
          <w:rFonts w:ascii="Times New Roman" w:cs="Times New Roman" w:eastAsia="Times New Roman" w:hAnsi="Times New Roman"/>
          <w:sz w:val="17"/>
          <w:szCs w:val="17"/>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7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spacing w:after="0" w:line="18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and our inability to maintain those licenses could harm our business.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9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5"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We are required to comply with stringent, complex and evolving laws, rules, regulations and standards in many jurisdictions, as well as contractual obligations, relating to data privacy and security. Ensuring that our collection, use, transfer, storage and other processing of personal information complies with such requirements can increase operating costs, impact the development of new products or services, and reduce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is currently considering, and may in the future consider, various proposals for comprehensive federal data privacy and security legislation, to which we may become subject if passed.</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also prohibits covered businesses from discriminating against California residents for exercising any of their CCPA rights.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Four such laws, in Virginia, Colorado, Connecticut, and Utah, have taken effect in 2023, and at least three more laws in Montana, Texas and Oregon are scheduled to take effect in 2024. Moreover, laws in all 50 U.S. states require businesses to provide notice under certain circumstances to consumers whose personal information has been disclosed as a result of a data breach. These state statutes, and other similar state or federal laws that may be enacted in the future, may require us to modify our data processing practices and policies, incur substantial compliance-related costs and expenses, and otherwise suffer adverse impacts on our business.</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which imposes stringent obligations regarding the collection, control, use, sharing, disclosure and other processing of personal data. Additionally, following the United Kingdom’s withdrawal from the EU, we also are subject to the U.K. General Data Protection Regulation (“U.K. GDPR”), a version of the GDPR as implemented into the laws of the United Kingdom (“U.K.”). While the GDPR and U.K. GDPR remain substantially similar for the time being, the U.K. government has announced that it would seek to chart its own path on data protection and reform its relevant laws, including in ways that may differ from the GDPR. While these developments increase uncertainty with regard to data protection regulation in the U.K., even in their current, substantially similar form, the GDPR and U.K. GDPR can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 The cost of compliance, and the potential for fines and penalties for non-compliance, with GDPR and U.K. GDPR may have a significant adverse effect on our business and operations.</w:t>
      </w:r>
    </w:p>
    <w:p>
      <w:pPr>
        <w:spacing w:after="0" w:line="18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Legal developments in the European Economic Area (“EEA”), including recent rulings from the Court of Justice of the European Union (“CJEU”) and from various EU member state data protection authorities,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the efficacy and longevity of these mechanisms remains uncertain. Moreover, in 2021, the European Commission adopted new SCCs, which impose on companies additional obligations relating to personal data transfers out of the EEA, including the obligation to update internal privacy practices, conduct transfer impact assessments and, as required, implement additional security measures. The new SCCs may increase the legal risks and liabilities under EU laws associated with cross-border data transfers, and result in material increased compliance and operational costs. In March 2022, the U.S. and EU announced a new regulatory regime, the EU-U.S. Data Privacy Framework (the “EU-U.S. DPF”), and on July 10, 2023, the European Commission adopted an adequacy decision concluding that the U.S. ensures an adequate level of protection for personal data transferred from the EU to the U.S. under the EU-U.S. DPF; however, such new adequacy decision is likely to face challenge at the CJEU. On October 12, 2023, the U.K.-U.S. Data Bridge went into effect to operate as an extension of the EU-U.S. DPF to enable the transfer of personal data between the UK and certified U.S. entities, and such Data Bridge could not only be challenged, but also may be affected by any challenges to the EU-U.S. DPF. Moreover,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flows, in March 2022, the U.K. adopted its own International Data Transfer Agreement (“IDTA”) for transfers of personal data out of the U.K. to so-called third countries, as well as an international data transfer addendum (U.K. Addendum) that can be used with the SCCs for the same purpose. The EU has also proposed legislation that would regulate non-personal data and establish new cybersecurity standards, and other countries, including the U.K., may similarly do so in the future.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19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data privacy and security laws, rules, regulations, standards, certifications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data protection, data privacy and data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of technologies like AI may also become subject to regulation under new laws or new applications of existing laws, such as the AI Act being considered in the EU. Noncompliance by us, our employees, representatives, contractors, channel partners, agents, intermediaries, or other third parties with applicable regulations or requirements could subject us to:</w:t>
      </w:r>
    </w:p>
    <w:p>
      <w:pPr>
        <w:spacing w:after="0" w:line="189" w:lineRule="exact"/>
        <w:rPr>
          <w:sz w:val="20"/>
          <w:szCs w:val="20"/>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 to do business in the jurisdictions in which we operate;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80"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substantial product inventory write-offs, reputational damage, penalties, and other sanctions, any of which could harm our business, reputation, and results of operations.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also collect information about cyber threats from open sources, intermediaries, and third parties, which we use and make available to our customers in our threat industry publications. Although we take precautions and have implemented certain procedures to prevent our information collection practices and services from being provided in violation of applicable laws and regulations, our information collection practices and services may have been in the past, and could in the future be, provided in violation of such laws and regulations. In addition, we cannot assure you that third parties, many of whom we do not control, have complied with all such laws or regulations. Failure by our employees, representatives, contractors, agents, intermediaries, or other third parties to comply with such laws and regulations in the collection of this information could adversely affect us, through reputational harm, loss of access to certain markets, government investigations, and civil and criminal penalties.</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Obtaining the necessary authorizations, including any required license, for a particular transaction may be time consuming, is not guaranteed and may result in the delay or loss of sales opportunities.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promulgation of new regulations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change in export or import regulations, economic sanctions or related legislation, the enforcement or scope of existing regulations, or the countries, governments, persons or technologies targeted by such regulations, could result in decreased use of our products by, or in our decreased ability to export or sell our products to, existing or potential customers. Any decreased use of our products or limitation on our ability to export or sell our products would likely adversely affect our business, results of operations, and financial condition.</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also subject to the FCPA, the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authorize such activities. While we have policies and procedures to address compliance with the FCPA, the Bribery Act and other anti-corruption, sanctions, anti-bribery, anti-money laundering and similar laws and regulations, we cannot assure you that they will be effective, or that all of our employees, representatives, contractors, channel partners, agents, intermediaries, or other third parties will not take or have not taken actions, in violation of our policies and applicable law, for which we may be ultimately held responsible. As we increase our international sales and business, our risks under these laws may increase. Noncompliance with these laws and regulations, whether by us or third parties we conduct business with, could subject us to investigations, severe criminal or civil sanctions, settlements, prosecution, loss of export privileges, suspension or debarment from U.S. and non-U.S.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1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8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time-consuming and costly litigation;</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time and attention from developing our business;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pay monetary damages or enter into royalty and licensing agreements that we would not normally find acceptable;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delays in the deployment of our Falcon platform or service offerings to our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stop offering certain services or features of our Falcon platform;</w:t>
      </w:r>
    </w:p>
    <w:p>
      <w:pPr>
        <w:spacing w:after="0" w:line="225" w:lineRule="exact"/>
        <w:rPr>
          <w:rFonts w:ascii="Times New Roman" w:cs="Times New Roman" w:eastAsia="Times New Roman" w:hAnsi="Times New Roman"/>
          <w:sz w:val="18"/>
          <w:szCs w:val="18"/>
          <w:color w:val="auto"/>
        </w:rPr>
      </w:pPr>
    </w:p>
    <w:p>
      <w:pPr>
        <w:ind w:left="1140" w:right="120" w:hanging="322"/>
        <w:spacing w:after="0" w:line="282" w:lineRule="auto"/>
        <w:tabs>
          <w:tab w:leader="none" w:pos="1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redesign certain components of our Falcon platform using alternative non-infringing or non-open source technology, which could require significant effort and expense;</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disclose our software source code and the detailed program commands for our software;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satisfy indemnification obligations to our customers.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become, involved in litigation that may adversely affect us.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condensed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9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7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5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volatile regardless of our operating performance, and you could lose all or part of your investment.</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180" w:lineRule="exact"/>
        <w:rPr>
          <w:sz w:val="20"/>
          <w:szCs w:val="20"/>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280" w:hanging="322"/>
        <w:spacing w:after="0" w:line="282"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new or terminated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financial analyst or investor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1140" w:right="660" w:hanging="322"/>
        <w:spacing w:after="0" w:line="282"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61" w:lineRule="exact"/>
        <w:rPr>
          <w:rFonts w:ascii="Times New Roman" w:cs="Times New Roman" w:eastAsia="Times New Roman" w:hAnsi="Times New Roman"/>
          <w:sz w:val="18"/>
          <w:szCs w:val="18"/>
          <w:color w:val="auto"/>
        </w:rPr>
      </w:pPr>
    </w:p>
    <w:p>
      <w:pPr>
        <w:ind w:left="1140" w:right="40" w:hanging="322"/>
        <w:spacing w:after="0" w:line="282" w:lineRule="auto"/>
        <w:tabs>
          <w:tab w:leader="none" w:pos="1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rights or our solutions, or third-party proprietary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management or our board of directors, particularly with respect to Mr. Kurtz;</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 such as COVID-19;</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5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November 15, 2023, we had 227,629,218 shares of Class A common stock outstanding and 12,515,590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88" w:lineRule="exact"/>
        <w:rPr>
          <w:sz w:val="20"/>
          <w:szCs w:val="20"/>
          <w:color w:val="auto"/>
        </w:rPr>
      </w:pPr>
    </w:p>
    <w:p>
      <w:pPr>
        <w:jc w:val="both"/>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October 31, 2023, our executive officers, directors, one of our current stockholders and its respective affiliates held, in aggregate, 36%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8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5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76" w:lineRule="exact"/>
        <w:rPr>
          <w:sz w:val="20"/>
          <w:szCs w:val="20"/>
          <w:color w:val="auto"/>
        </w:rPr>
      </w:pPr>
    </w:p>
    <w:p>
      <w:pPr>
        <w:ind w:left="1140" w:hanging="322"/>
        <w:spacing w:after="0" w:line="266"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75"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61" w:lineRule="exact"/>
        <w:rPr>
          <w:rFonts w:ascii="Times New Roman" w:cs="Times New Roman" w:eastAsia="Times New Roman" w:hAnsi="Times New Roman"/>
          <w:sz w:val="18"/>
          <w:szCs w:val="18"/>
          <w:color w:val="auto"/>
        </w:rPr>
      </w:pPr>
    </w:p>
    <w:p>
      <w:pPr>
        <w:ind w:left="1140" w:right="380" w:hanging="322"/>
        <w:spacing w:after="0" w:line="282"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1140" w:right="200" w:hanging="322"/>
        <w:spacing w:after="0" w:line="261"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79" w:lineRule="exact"/>
        <w:rPr>
          <w:rFonts w:ascii="Times New Roman" w:cs="Times New Roman" w:eastAsia="Times New Roman" w:hAnsi="Times New Roman"/>
          <w:sz w:val="18"/>
          <w:szCs w:val="18"/>
          <w:color w:val="auto"/>
        </w:rPr>
      </w:pPr>
    </w:p>
    <w:p>
      <w:pPr>
        <w:ind w:left="1140" w:right="300" w:hanging="322"/>
        <w:spacing w:after="0" w:line="266"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1140" w:right="420" w:hanging="322"/>
        <w:spacing w:after="0" w:line="282"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two-thirds of the then-outstanding voting power of our capital stock; and</w:t>
      </w:r>
    </w:p>
    <w:p>
      <w:pPr>
        <w:spacing w:after="0" w:line="161" w:lineRule="exact"/>
        <w:rPr>
          <w:rFonts w:ascii="Times New Roman" w:cs="Times New Roman" w:eastAsia="Times New Roman" w:hAnsi="Times New Roman"/>
          <w:sz w:val="18"/>
          <w:szCs w:val="18"/>
          <w:color w:val="auto"/>
        </w:rPr>
      </w:pPr>
    </w:p>
    <w:p>
      <w:pPr>
        <w:ind w:left="1140" w:right="160" w:hanging="322"/>
        <w:spacing w:after="0" w:line="266"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These provisions may prohibit large stockholders, in particular those owning 15% or more of our outstanding voting stock, from merging or combining with us for a certain period of time.</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is the exclusive forum for:</w:t>
      </w:r>
    </w:p>
    <w:p>
      <w:pPr>
        <w:spacing w:after="0" w:line="225" w:lineRule="exact"/>
        <w:rPr>
          <w:sz w:val="20"/>
          <w:szCs w:val="20"/>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225" w:lineRule="exact"/>
        <w:rPr>
          <w:rFonts w:ascii="Times New Roman" w:cs="Times New Roman" w:eastAsia="Times New Roman" w:hAnsi="Times New Roman"/>
          <w:sz w:val="18"/>
          <w:szCs w:val="18"/>
          <w:color w:val="auto"/>
        </w:rPr>
      </w:pPr>
    </w:p>
    <w:p>
      <w:pPr>
        <w:ind w:left="1140" w:right="580" w:hanging="322"/>
        <w:spacing w:after="0" w:line="282" w:lineRule="auto"/>
        <w:tabs>
          <w:tab w:leader="none" w:pos="11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40" w:hanging="322"/>
        <w:spacing w:after="0" w:line="282" w:lineRule="auto"/>
        <w:tabs>
          <w:tab w:leader="none" w:pos="1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amended and restated certificate of incorporation or our amended and restated bylaws;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October 31, 2023,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76" w:lineRule="exact"/>
        <w:rPr>
          <w:sz w:val="20"/>
          <w:szCs w:val="20"/>
          <w:color w:val="auto"/>
        </w:rPr>
      </w:pPr>
    </w:p>
    <w:p>
      <w:pPr>
        <w:ind w:left="1140" w:right="680" w:hanging="322"/>
        <w:spacing w:after="0" w:line="282" w:lineRule="auto"/>
        <w:tabs>
          <w:tab w:leader="none" w:pos="11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161" w:lineRule="exact"/>
        <w:rPr>
          <w:rFonts w:ascii="Times New Roman" w:cs="Times New Roman" w:eastAsia="Times New Roman" w:hAnsi="Times New Roman"/>
          <w:sz w:val="18"/>
          <w:szCs w:val="18"/>
          <w:color w:val="auto"/>
        </w:rPr>
      </w:pPr>
    </w:p>
    <w:p>
      <w:pPr>
        <w:ind w:left="1140" w:right="280" w:hanging="322"/>
        <w:spacing w:after="0" w:line="282" w:lineRule="auto"/>
        <w:tabs>
          <w:tab w:leader="none" w:pos="11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competitive conditions; and</w:t>
      </w:r>
    </w:p>
    <w:p>
      <w:pPr>
        <w:spacing w:after="0" w:line="225" w:lineRule="exact"/>
        <w:rPr>
          <w:rFonts w:ascii="Times New Roman" w:cs="Times New Roman" w:eastAsia="Times New Roman" w:hAnsi="Times New Roman"/>
          <w:sz w:val="18"/>
          <w:szCs w:val="18"/>
          <w:color w:val="auto"/>
        </w:rPr>
      </w:pPr>
    </w:p>
    <w:p>
      <w:pPr>
        <w:ind w:left="1140" w:right="380" w:hanging="322"/>
        <w:spacing w:after="0" w:line="282" w:lineRule="auto"/>
        <w:tabs>
          <w:tab w:leader="none" w:pos="11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certain of our borrowings, including borrowings under our revolving facility, are at variable rates of interest; and increasing our cost of borrowing.</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8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5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76" w:lineRule="exact"/>
        <w:rPr>
          <w:sz w:val="20"/>
          <w:szCs w:val="20"/>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with, or sell all or substantially all of our assets to, another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covenants in the indenture and supplemental indenture that govern the Senior Notes are subject to exceptions and qualifications.</w:t>
      </w:r>
    </w:p>
    <w:p>
      <w:pPr>
        <w:spacing w:after="0" w:line="22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76" w:lineRule="exact"/>
        <w:rPr>
          <w:sz w:val="20"/>
          <w:szCs w:val="20"/>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our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withstand a future downturn in our business, the industry or the economy in general;</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best interest;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or react to market conditions or otherwise execute our business strategies.</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These restrictions may affect our ability to expand our business, which could have a material adverse effect on our business, financial condition and results of operations.</w:t>
      </w:r>
    </w:p>
    <w:p>
      <w:pPr>
        <w:spacing w:after="0" w:line="162"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facility and the indenture that governs our Senior Notes contain cross-default provisions that could result in the acceleration of all of our indebtedness.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condensed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condensed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risks we may face in connection with acquisitions include:</w:t>
      </w:r>
    </w:p>
    <w:p>
      <w:pPr>
        <w:spacing w:after="0" w:line="225" w:lineRule="exact"/>
        <w:rPr>
          <w:sz w:val="20"/>
          <w:szCs w:val="20"/>
          <w:color w:val="auto"/>
        </w:rPr>
      </w:pPr>
    </w:p>
    <w:p>
      <w:pPr>
        <w:ind w:left="1140" w:hanging="32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and sales and marketing functions;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administrative systems, employee, product and service offerings;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5" w:lineRule="exact"/>
        <w:rPr>
          <w:rFonts w:ascii="Times New Roman" w:cs="Times New Roman" w:eastAsia="Times New Roman" w:hAnsi="Times New Roman"/>
          <w:sz w:val="18"/>
          <w:szCs w:val="18"/>
          <w:color w:val="auto"/>
        </w:rPr>
      </w:pPr>
    </w:p>
    <w:p>
      <w:pPr>
        <w:ind w:left="1140" w:right="8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regulatory or compliance requirements;</w:t>
      </w:r>
    </w:p>
    <w:p>
      <w:pPr>
        <w:spacing w:after="0" w:line="225" w:lineRule="exact"/>
        <w:rPr>
          <w:rFonts w:ascii="Times New Roman" w:cs="Times New Roman" w:eastAsia="Times New Roman" w:hAnsi="Times New Roman"/>
          <w:sz w:val="18"/>
          <w:szCs w:val="18"/>
          <w:color w:val="auto"/>
        </w:rPr>
      </w:pPr>
    </w:p>
    <w:p>
      <w:pPr>
        <w:ind w:left="1140" w:right="52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revenue recognition or other financial or control deficiencies of the acquired company that we do not adequately address and that cause our reported results to be incorrect;</w:t>
      </w:r>
    </w:p>
    <w:p>
      <w:pPr>
        <w:spacing w:after="0" w:line="161" w:lineRule="exact"/>
        <w:rPr>
          <w:rFonts w:ascii="Times New Roman" w:cs="Times New Roman" w:eastAsia="Times New Roman" w:hAnsi="Times New Roman"/>
          <w:sz w:val="18"/>
          <w:szCs w:val="18"/>
          <w:color w:val="auto"/>
        </w:rPr>
      </w:pPr>
    </w:p>
    <w:p>
      <w:pPr>
        <w:ind w:left="1140" w:right="34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61" w:lineRule="exact"/>
        <w:rPr>
          <w:rFonts w:ascii="Times New Roman" w:cs="Times New Roman" w:eastAsia="Times New Roman" w:hAnsi="Times New Roman"/>
          <w:sz w:val="18"/>
          <w:szCs w:val="18"/>
          <w:color w:val="auto"/>
        </w:rPr>
      </w:pPr>
    </w:p>
    <w:p>
      <w:pPr>
        <w:ind w:left="1140" w:right="56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2023. The timetable for implementation has since been extended to 2024 and, with respect to certain components of the plan, to 2025. Under pillar one, a portion of the residual profits of multinational businesses with global turnover above €20 billion and a profit margin above 10% will be allocated to market jurisdictions where such allocated profits would be taxed. Under pillar two, the Inclusive Framework has agreed on a global minimum corporate tax rate of 15% for companies with revenue above €750 million, calculated on a jurisdictional basis.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On February 1, 2023, the U.S. Financial Accounting Standards Board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In addition, the OECD’s proposed solution envisages new international tax rules and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As of January 31, 2023, we had aggregate U.S. federal and California net operating loss carryforwards of $1.6 billion and $248.2 million, respectively, which may be available to offset future taxable income for income tax purposes. If not utilized, the federal and California net operating loss carryforwards will begin to expire in fiscal 2031. As of January 31, 2023, we had net operating loss carryforwards for other states of $1.0 billion that will begin to expire in fiscal 2024. As of January 31, 2023, we had federal and California research and development credit carryforwards of $87.4 million and $18.8 million, respectively. The federal research and development credit carryforwards will begin to expire in 2035, and the California carryforwards are carried forward indefinitely. As of January 31, 2023, we had aggregate United Kingdom net operating loss carryforwards of $80.9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5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7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179" w:lineRule="exact"/>
        <w:rPr>
          <w:sz w:val="20"/>
          <w:szCs w:val="20"/>
          <w:color w:val="auto"/>
        </w:rPr>
      </w:pPr>
    </w:p>
    <w:p>
      <w:pPr>
        <w:jc w:val="both"/>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catastrophic events, including, but not limited to, natural events such as earthquakes, fire, floods, and the outbreak of diseases, as well as man-made problems such as power disruptions, computer viruses, data security breaches, terrorism and bank or financial institution failures.</w:t>
      </w:r>
    </w:p>
    <w:p>
      <w:pPr>
        <w:spacing w:after="0" w:line="17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war, foreign invasion and other geopolitical unrest, such as the ongoing conflict between Israel and Hamas, could also cause disruptions in our business or the business of our supply chain, manufacturers, logistics providers, partners, or customers or the economy as a whole. Any disruption in the business of our supply chain, manufacturers, logistics providers, partners or end-customers could have a significant adverse impact on our financial results. Moreover, the failure of a bank, or other adverse conditions impacting financial institutions at which we maintain balances, could adversely impact our business, results of operations, and financial performance. For example, in March 2023, the Federal Deposit Insurance Corporation (the “FDIC”) was named receiver for Silicon Valley Bank, one of the lenders under our credit agreement. While our cash management strategy is to maintain diversity in deposit accounts across</w:t>
      </w:r>
    </w:p>
    <w:p>
      <w:pPr>
        <w:spacing w:after="0" w:line="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financial institutions, balances in these accounts regularly exceed FDIC insurance limits and the federal government may not guarantee all deposits if any such financial institutions were to fail.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7"/>
          <w:szCs w:val="17"/>
          <w:color w:val="auto"/>
        </w:rPr>
        <w:t>On September 29, 2023, we issued approximately $20.7 million of shares of our Class A common stock, subject to service-based vesting and other conditions, to certain stockholders of Bionic in connection with our acquisition of Bionic. The transaction was exempt from registration under Section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of the Securities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filed the exhibits listed on the accompanying Exhibit Index, which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40" w:type="dxa"/>
            <w:vAlign w:val="bottom"/>
            <w:gridSpan w:val="8"/>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040" w:type="dxa"/>
            <w:vAlign w:val="bottom"/>
            <w:gridSpan w:val="8"/>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40" w:type="dxa"/>
            <w:vAlign w:val="bottom"/>
            <w:gridSpan w:val="1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 w:type="dxa"/>
            <w:vAlign w:val="bottom"/>
          </w:tcPr>
          <w:p>
            <w:pPr>
              <w:spacing w:after="0"/>
              <w:rPr>
                <w:sz w:val="11"/>
                <w:szCs w:val="11"/>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40" w:type="dxa"/>
            <w:vAlign w:val="bottom"/>
            <w:gridSpan w:val="13"/>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7"/>
        </w:trPr>
        <w:tc>
          <w:tcPr>
            <w:tcW w:w="640" w:type="dxa"/>
            <w:vAlign w:val="bottom"/>
            <w:tcBorders>
              <w:top w:val="single" w:sz="8" w:color="auto"/>
            </w:tcBorders>
            <w:gridSpan w:val="5"/>
          </w:tcPr>
          <w:p>
            <w:pPr>
              <w:jc w:val="center"/>
              <w:ind w:left="213"/>
              <w:spacing w:after="0" w:line="188" w:lineRule="exact"/>
              <w:rPr>
                <w:rFonts w:ascii="Times New Roman" w:cs="Times New Roman" w:eastAsia="Times New Roman" w:hAnsi="Times New Roman"/>
                <w:sz w:val="18"/>
                <w:szCs w:val="18"/>
                <w:color w:val="0000FF"/>
                <w:w w:val="97"/>
              </w:rPr>
            </w:pPr>
            <w:hyperlink r:id="rId9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gridSpan w:val="14"/>
          </w:tcPr>
          <w:p>
            <w:pPr>
              <w:spacing w:after="0" w:line="188"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Amended and Restated Certificate of Incorporation of</w:t>
              </w:r>
            </w:hyperlink>
          </w:p>
        </w:tc>
        <w:tc>
          <w:tcPr>
            <w:tcW w:w="80" w:type="dxa"/>
            <w:vAlign w:val="bottom"/>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001-38933</w:t>
            </w:r>
          </w:p>
        </w:tc>
        <w:tc>
          <w:tcPr>
            <w:tcW w:w="80" w:type="dxa"/>
            <w:vAlign w:val="bottom"/>
          </w:tcPr>
          <w:p>
            <w:pPr>
              <w:spacing w:after="0"/>
              <w:rPr>
                <w:sz w:val="16"/>
                <w:szCs w:val="16"/>
                <w:color w:val="auto"/>
              </w:rPr>
            </w:pPr>
          </w:p>
        </w:tc>
        <w:tc>
          <w:tcPr>
            <w:tcW w:w="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6"/>
                <w:szCs w:val="16"/>
                <w:color w:val="auto"/>
              </w:rPr>
            </w:pPr>
          </w:p>
        </w:tc>
        <w:tc>
          <w:tcPr>
            <w:tcW w:w="1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June 14, 2019</w:t>
            </w:r>
          </w:p>
        </w:tc>
        <w:tc>
          <w:tcPr>
            <w:tcW w:w="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the Registrant, as currently in effect.</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gridSpan w:val="5"/>
          </w:tcPr>
          <w:p>
            <w:pPr>
              <w:jc w:val="center"/>
              <w:ind w:left="213"/>
              <w:spacing w:after="0"/>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60" w:type="dxa"/>
            <w:vAlign w:val="bottom"/>
            <w:gridSpan w:val="15"/>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Amended and Restated Bylaws of the Registrant, as</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001-38933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March 03, 2023</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currently in effect.</w:t>
              </w:r>
            </w:hyperlink>
          </w:p>
        </w:tc>
        <w:tc>
          <w:tcPr>
            <w:tcW w:w="2400" w:type="dxa"/>
            <w:vAlign w:val="bottom"/>
            <w:tcBorders>
              <w:top w:val="single" w:sz="8" w:color="0000FF"/>
            </w:tcBorders>
            <w:gridSpan w:val="6"/>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gridSpan w:val="5"/>
          </w:tcPr>
          <w:p>
            <w:pPr>
              <w:jc w:val="center"/>
              <w:ind w:left="233"/>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22.</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60" w:type="dxa"/>
            <w:vAlign w:val="bottom"/>
            <w:gridSpan w:val="15"/>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List of Subsidiary Guarantors</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S-3ASR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333-252007</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January 11, 2021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5"/>
          </w:tcPr>
          <w:p>
            <w:pPr>
              <w:jc w:val="center"/>
              <w:ind w:left="233"/>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4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to Exchange Act Rules 13a14(a) and 15d14(a), as</w:t>
            </w: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6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60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Oxley</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30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gridSpan w:val="5"/>
          </w:tcPr>
          <w:p>
            <w:pPr>
              <w:jc w:val="center"/>
              <w:ind w:left="233"/>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8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to Exchange Act Rules 13a14(a) and 15d14(a), as</w:t>
            </w: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6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60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Oxley</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306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and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8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320" w:type="dxa"/>
            <w:vAlign w:val="bottom"/>
            <w:gridSpan w:val="5"/>
          </w:tcPr>
          <w:p>
            <w:pPr>
              <w:spacing w:after="0"/>
              <w:rPr>
                <w:sz w:val="13"/>
                <w:szCs w:val="13"/>
                <w:color w:val="auto"/>
              </w:rPr>
            </w:pPr>
          </w:p>
        </w:tc>
        <w:tc>
          <w:tcPr>
            <w:tcW w:w="1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2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8"/>
              </w:rPr>
              <w:t>Section 1350, as adopted pursuant to Section 906</w:t>
            </w:r>
          </w:p>
        </w:tc>
        <w:tc>
          <w:tcPr>
            <w:tcW w:w="640" w:type="dxa"/>
            <w:vAlign w:val="bottom"/>
            <w:gridSpan w:val="10"/>
          </w:tcPr>
          <w:p>
            <w:pPr>
              <w:ind w:left="60"/>
              <w:spacing w:after="0" w:line="169" w:lineRule="exact"/>
              <w:rPr>
                <w:sz w:val="20"/>
                <w:szCs w:val="20"/>
                <w:color w:val="auto"/>
              </w:rPr>
            </w:pPr>
            <w:r>
              <w:rPr>
                <w:rFonts w:ascii="Times New Roman" w:cs="Times New Roman" w:eastAsia="Times New Roman" w:hAnsi="Times New Roman"/>
                <w:sz w:val="18"/>
                <w:szCs w:val="18"/>
                <w:color w:val="0000FF"/>
              </w:rPr>
              <w:t>of the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gridSpan w:val="8"/>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08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40" w:type="dxa"/>
            <w:vAlign w:val="bottom"/>
            <w:gridSpan w:val="8"/>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40" w:type="dxa"/>
            <w:vAlign w:val="bottom"/>
          </w:tcPr>
          <w:p>
            <w:pPr>
              <w:spacing w:after="0"/>
              <w:rPr>
                <w:sz w:val="21"/>
                <w:szCs w:val="21"/>
                <w:color w:val="auto"/>
              </w:rPr>
            </w:pPr>
          </w:p>
        </w:tc>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40" w:type="dxa"/>
            <w:vAlign w:val="bottom"/>
          </w:tcPr>
          <w:p>
            <w:pPr>
              <w:spacing w:after="0"/>
              <w:rPr>
                <w:sz w:val="19"/>
                <w:szCs w:val="19"/>
                <w:color w:val="auto"/>
              </w:rPr>
            </w:pPr>
          </w:p>
        </w:tc>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1040" w:type="dxa"/>
            <w:vAlign w:val="bottom"/>
            <w:gridSpan w:val="8"/>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15"/>
                <w:szCs w:val="15"/>
                <w:color w:val="auto"/>
              </w:rPr>
            </w:pPr>
          </w:p>
        </w:tc>
        <w:tc>
          <w:tcPr>
            <w:tcW w:w="4160" w:type="dxa"/>
            <w:vAlign w:val="bottom"/>
            <w:gridSpan w:val="15"/>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40" w:type="dxa"/>
            <w:vAlign w:val="bottom"/>
            <w:gridSpan w:val="8"/>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16"/>
                <w:szCs w:val="16"/>
                <w:color w:val="auto"/>
              </w:rPr>
            </w:pPr>
          </w:p>
        </w:tc>
        <w:tc>
          <w:tcPr>
            <w:tcW w:w="4160" w:type="dxa"/>
            <w:vAlign w:val="bottom"/>
            <w:gridSpan w:val="15"/>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40" w:type="dxa"/>
            <w:vAlign w:val="bottom"/>
            <w:gridSpan w:val="8"/>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16"/>
                <w:szCs w:val="16"/>
                <w:color w:val="auto"/>
              </w:rPr>
            </w:pPr>
          </w:p>
        </w:tc>
        <w:tc>
          <w:tcPr>
            <w:tcW w:w="4160" w:type="dxa"/>
            <w:vAlign w:val="bottom"/>
            <w:gridSpan w:val="15"/>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40" w:type="dxa"/>
            <w:vAlign w:val="bottom"/>
            <w:gridSpan w:val="8"/>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101.PRE</w:t>
            </w:r>
          </w:p>
        </w:tc>
        <w:tc>
          <w:tcPr>
            <w:tcW w:w="40" w:type="dxa"/>
            <w:vAlign w:val="bottom"/>
          </w:tcPr>
          <w:p>
            <w:pPr>
              <w:spacing w:after="0"/>
              <w:rPr>
                <w:sz w:val="16"/>
                <w:szCs w:val="16"/>
                <w:color w:val="auto"/>
              </w:rPr>
            </w:pPr>
          </w:p>
        </w:tc>
        <w:tc>
          <w:tcPr>
            <w:tcW w:w="4160" w:type="dxa"/>
            <w:vAlign w:val="bottom"/>
            <w:gridSpan w:val="15"/>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60" w:right="6440" w:hanging="721"/>
        <w:spacing w:after="0" w:line="231" w:lineRule="auto"/>
        <w:tabs>
          <w:tab w:leader="none" w:pos="10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Instance XBRL document</w:t>
      </w:r>
    </w:p>
    <w:p>
      <w:pPr>
        <w:spacing w:after="0" w:line="171" w:lineRule="exact"/>
        <w:rPr>
          <w:rFonts w:ascii="Times New Roman" w:cs="Times New Roman" w:eastAsia="Times New Roman" w:hAnsi="Times New Roman"/>
          <w:sz w:val="18"/>
          <w:szCs w:val="18"/>
          <w:color w:val="auto"/>
        </w:rPr>
      </w:pPr>
    </w:p>
    <w:p>
      <w:pPr>
        <w:ind w:left="1100" w:right="160" w:hanging="1039"/>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day of November 28, 2023.</w:t>
      </w:r>
    </w:p>
    <w:p>
      <w:pPr>
        <w:spacing w:after="0" w:line="1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81"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Burt W. Podbere</w:t>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300"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Anurag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Anurag Saha</w:t>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Accounting Officer (Principal Accounting Officer)</w:t>
      </w:r>
    </w:p>
    <w:p>
      <w:pPr>
        <w:sectPr>
          <w:pgSz w:w="11900" w:h="16838" w:orient="portrait"/>
          <w:cols w:equalWidth="0" w:num="1">
            <w:col w:w="10980"/>
          </w:cols>
          <w:pgMar w:left="320" w:top="337" w:right="59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Kurtz, certify that:</w:t>
      </w:r>
    </w:p>
    <w:p>
      <w:pPr>
        <w:spacing w:after="0" w:line="225"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CrowdStrike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0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Date: November 28, 2023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CROWDSTRIKE HOLDINGS, INC.</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r>
      <w:tr>
        <w:trPr>
          <w:trHeight w:val="180"/>
        </w:trPr>
        <w:tc>
          <w:tcPr>
            <w:tcW w:w="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840" w:type="dxa"/>
            <w:vAlign w:val="bottom"/>
          </w:tcPr>
          <w:p>
            <w:pPr>
              <w:spacing w:after="0"/>
              <w:rPr>
                <w:sz w:val="20"/>
                <w:szCs w:val="20"/>
                <w:color w:val="auto"/>
              </w:rPr>
            </w:pP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Burt W. Podbere, certify that:</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CrowdStrike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2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Date: November 28, 2023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CROWDSTRIKE HOLDINGS, INC.</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114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October 31, 2023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28, 2023</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r>
      <w:tr>
        <w:trPr>
          <w:trHeight w:val="180"/>
        </w:trPr>
        <w:tc>
          <w:tcPr>
            <w:tcW w:w="7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7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0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October 31, 2023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28, 2023</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180"/>
        </w:trPr>
        <w:tc>
          <w:tcPr>
            <w:tcW w:w="740" w:type="dxa"/>
            <w:vAlign w:val="bottom"/>
          </w:tcPr>
          <w:p>
            <w:pPr>
              <w:spacing w:after="0"/>
              <w:rPr>
                <w:sz w:val="15"/>
                <w:szCs w:val="15"/>
                <w:color w:val="auto"/>
              </w:rPr>
            </w:pP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3"/>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lowerLetter"/>
      <w:start w:val="3"/>
    </w:lvl>
  </w:abstractNum>
  <w:abstractNum w:abstractNumId="11">
    <w:nsid w:val="4353D0CD"/>
    <w:multiLevelType w:val="hybridMultilevel"/>
    <w:lvl w:ilvl="0">
      <w:lvlJc w:val="left"/>
      <w:lvlText w:val="%1."/>
      <w:numFmt w:val="decimal"/>
      <w:start w:val="6"/>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8"/>
    </w:lvl>
  </w:abstractNum>
  <w:abstractNum w:abstractNumId="14">
    <w:nsid w:val="54E49EB4"/>
    <w:multiLevelType w:val="hybridMultilevel"/>
    <w:lvl w:ilvl="0">
      <w:lvlJc w:val="left"/>
      <w:lvlText w:val="%1."/>
      <w:numFmt w:val="decimal"/>
      <w:start w:val="9"/>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lvl w:ilvl="1">
      <w:lvlJc w:val="left"/>
      <w:lvlText w:val="%2"/>
      <w:numFmt w:val="decimal"/>
      <w:start w:val="104"/>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3" Type="http://schemas.openxmlformats.org/officeDocument/2006/relationships/hyperlink" Target="http://www.sec.gov/Archives/edgar/data/1535527/000110465919035685/a19-11597_1ex3d1.htm" TargetMode="External"/><Relationship Id="rId94" Type="http://schemas.openxmlformats.org/officeDocument/2006/relationships/hyperlink" Target="http://www.sec.gov/Archives/edgar/data/1535527/000110465919035685/a19-11597_1ex3d2.htm" TargetMode="External"/><Relationship Id="rId95" Type="http://schemas.openxmlformats.org/officeDocument/2006/relationships/hyperlink" Target="http://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2023-11-29T05:35:30Z</dcterms:created>
  <dcterms:modified xsi:type="dcterms:W3CDTF">2023-11-29T05:35:30Z</dcterms:modified>
</cp:coreProperties>
</file>