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55880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76835</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November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76835</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CrowdStrike Holdings, Inc.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3"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35" w:lineRule="exact"/>
        <w:rPr>
          <w:sz w:val="24"/>
          <w:szCs w:val="24"/>
          <w:color w:val="auto"/>
        </w:rPr>
      </w:pPr>
    </w:p>
    <w:tbl>
      <w:tblPr>
        <w:tblLayout w:type="fixed"/>
        <w:tblInd w:w="40" w:type="dxa"/>
        <w:tblCellMar>
          <w:top w:w="0" w:type="dxa"/>
          <w:left w:w="0" w:type="dxa"/>
          <w:bottom w:w="0" w:type="dxa"/>
          <w:right w:w="0" w:type="dxa"/>
        </w:tblCellMar>
      </w:tblPr>
      <w:tr>
        <w:trPr>
          <w:trHeight w:val="233"/>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001-38933</w:t>
            </w:r>
          </w:p>
        </w:tc>
        <w:tc>
          <w:tcPr>
            <w:tcW w:w="282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45-3788918</w:t>
            </w:r>
          </w:p>
        </w:tc>
      </w:tr>
      <w:tr>
        <w:trPr>
          <w:trHeight w:val="180"/>
        </w:trPr>
        <w:tc>
          <w:tcPr>
            <w:tcW w:w="2940" w:type="dxa"/>
            <w:vAlign w:val="bottom"/>
          </w:tcPr>
          <w:p>
            <w:pPr>
              <w:jc w:val="center"/>
              <w:ind w:left="590"/>
              <w:spacing w:after="0" w:line="18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2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2820" w:type="dxa"/>
            <w:vAlign w:val="bottom"/>
          </w:tcPr>
          <w:p>
            <w:pPr>
              <w:jc w:val="center"/>
              <w:ind w:right="75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28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87"/>
        </w:trPr>
        <w:tc>
          <w:tcPr>
            <w:tcW w:w="294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206 E. 9th Street</w:t>
            </w:r>
          </w:p>
        </w:tc>
        <w:tc>
          <w:tcPr>
            <w:tcW w:w="282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Suite 1400</w:t>
            </w:r>
          </w:p>
        </w:tc>
        <w:tc>
          <w:tcPr>
            <w:tcW w:w="282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Austin, Texas 78701</w:t>
            </w:r>
          </w:p>
        </w:tc>
        <w:tc>
          <w:tcPr>
            <w:tcW w:w="282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(Address of principal executive office, including zip code)</w:t>
            </w:r>
          </w:p>
        </w:tc>
        <w:tc>
          <w:tcPr>
            <w:tcW w:w="2820" w:type="dxa"/>
            <w:vAlign w:val="bottom"/>
          </w:tcPr>
          <w:p>
            <w:pPr>
              <w:spacing w:after="0"/>
              <w:rPr>
                <w:sz w:val="20"/>
                <w:szCs w:val="20"/>
                <w:color w:val="auto"/>
              </w:rPr>
            </w:pPr>
          </w:p>
        </w:tc>
      </w:tr>
      <w:tr>
        <w:trPr>
          <w:trHeight w:val="324"/>
        </w:trPr>
        <w:tc>
          <w:tcPr>
            <w:tcW w:w="294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(888) 512-8906</w:t>
            </w:r>
          </w:p>
        </w:tc>
        <w:tc>
          <w:tcPr>
            <w:tcW w:w="2820" w:type="dxa"/>
            <w:vAlign w:val="bottom"/>
          </w:tcPr>
          <w:p>
            <w:pPr>
              <w:spacing w:after="0"/>
              <w:rPr>
                <w:sz w:val="24"/>
                <w:szCs w:val="24"/>
                <w:color w:val="auto"/>
              </w:rPr>
            </w:pPr>
          </w:p>
        </w:tc>
      </w:tr>
      <w:tr>
        <w:trPr>
          <w:trHeight w:val="306"/>
        </w:trPr>
        <w:tc>
          <w:tcPr>
            <w:tcW w:w="294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r>
        <w:trPr>
          <w:trHeight w:val="81"/>
        </w:trPr>
        <w:tc>
          <w:tcPr>
            <w:tcW w:w="2940" w:type="dxa"/>
            <w:vAlign w:val="bottom"/>
            <w:tcBorders>
              <w:bottom w:val="single" w:sz="8" w:color="auto"/>
            </w:tcBorders>
          </w:tcPr>
          <w:p>
            <w:pPr>
              <w:spacing w:after="0"/>
              <w:rPr>
                <w:sz w:val="7"/>
                <w:szCs w:val="7"/>
                <w:color w:val="auto"/>
              </w:rPr>
            </w:pPr>
          </w:p>
        </w:tc>
        <w:tc>
          <w:tcPr>
            <w:tcW w:w="5420" w:type="dxa"/>
            <w:vAlign w:val="bottom"/>
            <w:tcBorders>
              <w:bottom w:val="single" w:sz="8" w:color="auto"/>
            </w:tcBorders>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r>
    </w:tbl>
    <w:p>
      <w:pPr>
        <w:spacing w:after="0" w:line="144" w:lineRule="exact"/>
        <w:rPr>
          <w:sz w:val="24"/>
          <w:szCs w:val="24"/>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Check the appropriate box below if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filing is intended to simultaneously satisfy the filing obligation of the registrant under any of the following provisions (see General Instruction A.2. below):</w:t>
      </w:r>
    </w:p>
    <w:p>
      <w:pPr>
        <w:spacing w:after="0" w:line="13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34"/>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22" w:lineRule="exact"/>
        <w:rPr>
          <w:rFonts w:ascii="MS PGothic" w:cs="MS PGothic" w:eastAsia="MS PGothic" w:hAnsi="MS PGothic"/>
          <w:sz w:val="18"/>
          <w:szCs w:val="18"/>
          <w:color w:val="auto"/>
        </w:rPr>
      </w:pPr>
    </w:p>
    <w:p>
      <w:pPr>
        <w:ind w:left="360" w:hanging="334"/>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22" w:lineRule="exact"/>
        <w:rPr>
          <w:rFonts w:ascii="MS PGothic" w:cs="MS PGothic" w:eastAsia="MS PGothic" w:hAnsi="MS PGothic"/>
          <w:sz w:val="18"/>
          <w:szCs w:val="18"/>
          <w:color w:val="auto"/>
        </w:rPr>
      </w:pPr>
    </w:p>
    <w:p>
      <w:pPr>
        <w:ind w:left="360" w:hanging="334"/>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940" w:type="dxa"/>
            <w:vAlign w:val="bottom"/>
            <w:gridSpan w:val="2"/>
            <w:vMerge w:val="continue"/>
          </w:tcPr>
          <w:p>
            <w:pPr>
              <w:spacing w:after="0"/>
              <w:rPr>
                <w:sz w:val="17"/>
                <w:szCs w:val="17"/>
                <w:color w:val="auto"/>
              </w:rPr>
            </w:pPr>
          </w:p>
        </w:tc>
        <w:tc>
          <w:tcPr>
            <w:tcW w:w="3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$0.0005 par value</w:t>
            </w:r>
          </w:p>
        </w:tc>
        <w:tc>
          <w:tcPr>
            <w:tcW w:w="100" w:type="dxa"/>
            <w:vAlign w:val="bottom"/>
          </w:tcPr>
          <w:p>
            <w:pPr>
              <w:spacing w:after="0"/>
              <w:rPr>
                <w:sz w:val="20"/>
                <w:szCs w:val="20"/>
                <w:color w:val="auto"/>
              </w:rPr>
            </w:pP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CRWD</w:t>
            </w:r>
          </w:p>
        </w:tc>
        <w:tc>
          <w:tcPr>
            <w:tcW w:w="100" w:type="dxa"/>
            <w:vAlign w:val="bottom"/>
          </w:tcPr>
          <w:p>
            <w:pPr>
              <w:spacing w:after="0"/>
              <w:rPr>
                <w:sz w:val="20"/>
                <w:szCs w:val="20"/>
                <w:color w:val="auto"/>
              </w:rPr>
            </w:pPr>
          </w:p>
        </w:tc>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Securities Exchange Act of 1934 (§ 240.12b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this chapter).</w:t>
      </w:r>
    </w:p>
    <w:p>
      <w:pPr>
        <w:spacing w:after="0" w:line="1" w:lineRule="exact"/>
        <w:rPr>
          <w:sz w:val="24"/>
          <w:szCs w:val="24"/>
          <w:color w:val="auto"/>
        </w:rPr>
      </w:pPr>
    </w:p>
    <w:p>
      <w:pPr>
        <w:ind w:left="20"/>
        <w:spacing w:after="0" w:line="207" w:lineRule="exact"/>
        <w:tabs>
          <w:tab w:leader="none" w:pos="40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50" w:lineRule="exact"/>
        <w:rPr>
          <w:sz w:val="24"/>
          <w:szCs w:val="24"/>
          <w:color w:val="auto"/>
        </w:rPr>
      </w:pPr>
    </w:p>
    <w:p>
      <w:pPr>
        <w:ind w:left="20" w:right="160"/>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287"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26, 2024, CrowdStrike Holdings, Inc. issued a press release announcing its financial results for the fiscal quarter ended October 31, 2024. A copy of the press release is furnished herewith as Exhibit 99.1 and incorporated herein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and Item 9.01 in this Current Report on Form 8-K, including the accompanying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020" w:type="dxa"/>
            <w:vAlign w:val="bottom"/>
            <w:vMerge w:val="restart"/>
          </w:tcPr>
          <w:p>
            <w:pPr>
              <w:ind w:left="12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7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4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dated November 26, 2024</w:t>
            </w:r>
          </w:p>
        </w:tc>
        <w:tc>
          <w:tcPr>
            <w:tcW w:w="7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380" w:hanging="1354"/>
        <w:spacing w:after="0"/>
        <w:tabs>
          <w:tab w:leader="none" w:pos="1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CrowdStrike Holdings, Inc.</w:t>
            </w:r>
          </w:p>
        </w:tc>
      </w:tr>
      <w:tr>
        <w:trPr>
          <w:trHeight w:val="28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26, 2024</w:t>
            </w:r>
          </w:p>
        </w:tc>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218"/>
        </w:trPr>
        <w:tc>
          <w:tcPr>
            <w:tcW w:w="534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 W. Podbere</w:t>
            </w:r>
          </w:p>
        </w:tc>
      </w:tr>
      <w:tr>
        <w:trPr>
          <w:trHeight w:val="234"/>
        </w:trPr>
        <w:tc>
          <w:tcPr>
            <w:tcW w:w="534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40"/>
          </w:cols>
          <w:pgMar w:left="820" w:top="1103" w:right="339" w:bottom="1440" w:gutter="0" w:footer="0" w:header="0"/>
        </w:sectPr>
      </w:pPr>
    </w:p>
    <w:bookmarkStart w:id="4" w:name="page5"/>
    <w:bookmarkEnd w:id="4"/>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714500"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25755"/>
                    </a:xfrm>
                    <a:prstGeom prst="rect">
                      <a:avLst/>
                    </a:prstGeom>
                    <a:noFill/>
                  </pic:spPr>
                </pic:pic>
              </a:graphicData>
            </a:graphic>
          </wp:anchor>
        </w:drawing>
      </w:r>
    </w:p>
    <w:p>
      <w:pPr>
        <w:spacing w:after="0"/>
        <w:rPr>
          <w:sz w:val="20"/>
          <w:szCs w:val="20"/>
          <w:color w:val="auto"/>
        </w:rPr>
      </w:pPr>
      <w:r>
        <w:rPr>
          <w:rFonts w:ascii="Calibri" w:cs="Calibri" w:eastAsia="Calibri" w:hAnsi="Calibri"/>
          <w:sz w:val="18"/>
          <w:szCs w:val="18"/>
          <w:b w:val="1"/>
          <w:bCs w:val="1"/>
          <w:color w:val="auto"/>
        </w:rPr>
        <w:t>CrowdStrike Reports Third Quarter Fiscal Year 2025 Financial Results</w:t>
      </w:r>
    </w:p>
    <w:p>
      <w:pPr>
        <w:spacing w:after="0" w:line="226" w:lineRule="exact"/>
        <w:rPr>
          <w:sz w:val="20"/>
          <w:szCs w:val="20"/>
          <w:color w:val="auto"/>
        </w:rPr>
      </w:pPr>
    </w:p>
    <w:p>
      <w:pPr>
        <w:ind w:left="640" w:hanging="308"/>
        <w:spacing w:after="0"/>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Surpasses $4 billion ending ARR milestone, grows 27% year-over-year to reach $4.02 billion</w:t>
      </w:r>
    </w:p>
    <w:p>
      <w:pPr>
        <w:ind w:left="640" w:hanging="308"/>
        <w:spacing w:after="0" w:line="221" w:lineRule="auto"/>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Exceeds $1 billion quarterly total revenue milestone, grows 29% year-over-year to reach $1.01 billion</w:t>
      </w:r>
    </w:p>
    <w:p>
      <w:pPr>
        <w:ind w:left="640" w:hanging="308"/>
        <w:spacing w:after="0" w:line="221" w:lineRule="auto"/>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Delivers cash fow from operatons of $326 million and free cash fow of $231 million, achieving a free cash fow rule of 51</w:t>
      </w:r>
    </w:p>
    <w:p>
      <w:pPr>
        <w:spacing w:after="0" w:line="200" w:lineRule="exact"/>
        <w:rPr>
          <w:sz w:val="20"/>
          <w:szCs w:val="20"/>
          <w:color w:val="auto"/>
        </w:rPr>
      </w:pPr>
    </w:p>
    <w:p>
      <w:pPr>
        <w:spacing w:after="0" w:line="260" w:lineRule="exact"/>
        <w:rPr>
          <w:sz w:val="20"/>
          <w:szCs w:val="20"/>
          <w:color w:val="auto"/>
        </w:rPr>
      </w:pPr>
    </w:p>
    <w:p>
      <w:pPr>
        <w:ind w:right="340"/>
        <w:spacing w:after="0" w:line="227" w:lineRule="auto"/>
        <w:rPr>
          <w:sz w:val="20"/>
          <w:szCs w:val="20"/>
          <w:color w:val="auto"/>
        </w:rPr>
      </w:pPr>
      <w:r>
        <w:rPr>
          <w:rFonts w:ascii="Calibri" w:cs="Calibri" w:eastAsia="Calibri" w:hAnsi="Calibri"/>
          <w:sz w:val="18"/>
          <w:szCs w:val="18"/>
          <w:b w:val="1"/>
          <w:bCs w:val="1"/>
          <w:color w:val="auto"/>
        </w:rPr>
        <w:t xml:space="preserve">AUSTIN, Texas, November 26, 2024 </w:t>
      </w:r>
      <w:r>
        <w:rPr>
          <w:rFonts w:ascii="Calibri" w:cs="Calibri" w:eastAsia="Calibri" w:hAnsi="Calibri"/>
          <w:sz w:val="18"/>
          <w:szCs w:val="18"/>
          <w:color w:val="auto"/>
        </w:rPr>
        <w:t>-- CrowdStrike Holdings, Inc. (Nasdaq: CRWD) today announced fnancial results for the third quarter fscal year 2025,</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ended October 31, 2024.</w:t>
      </w:r>
    </w:p>
    <w:p>
      <w:pPr>
        <w:spacing w:after="0" w:line="219" w:lineRule="exact"/>
        <w:rPr>
          <w:sz w:val="20"/>
          <w:szCs w:val="20"/>
          <w:color w:val="auto"/>
        </w:rPr>
      </w:pPr>
    </w:p>
    <w:p>
      <w:pPr>
        <w:spacing w:after="0" w:line="223" w:lineRule="auto"/>
        <w:rPr>
          <w:sz w:val="20"/>
          <w:szCs w:val="20"/>
          <w:color w:val="auto"/>
        </w:rPr>
      </w:pPr>
      <w:r>
        <w:rPr>
          <w:rFonts w:ascii="Calibri" w:cs="Calibri" w:eastAsia="Calibri" w:hAnsi="Calibri"/>
          <w:sz w:val="18"/>
          <w:szCs w:val="18"/>
          <w:color w:val="auto"/>
        </w:rPr>
        <w:t>“CrowdStrike surpassed $4 billion in ending ARR in the quarter - the fastest and only pure play cybersecurity sofware company to reach this reported milestone - as our single platorm approach and trailblazing innovaton contnue to resonate at-scale,” said George Kurtz, Founder and CEO. “With over 97% gross retenton, customers remain commited to the technological superiority of the Falcon platorm and the benefts of cybersecurity consolidaton. Acceleratng module adopton and customers embracing our transformatonal Falcon Flex subscripton model give us confdence in CrowdStrike’s bright future as cybersecurity’s AI platorm of record.”</w:t>
      </w:r>
    </w:p>
    <w:p>
      <w:pPr>
        <w:spacing w:after="0" w:line="235" w:lineRule="exact"/>
        <w:rPr>
          <w:sz w:val="20"/>
          <w:szCs w:val="20"/>
          <w:color w:val="auto"/>
        </w:rPr>
      </w:pPr>
    </w:p>
    <w:p>
      <w:pPr>
        <w:ind w:right="180"/>
        <w:spacing w:after="0" w:line="220" w:lineRule="auto"/>
        <w:rPr>
          <w:sz w:val="20"/>
          <w:szCs w:val="20"/>
          <w:color w:val="auto"/>
        </w:rPr>
      </w:pPr>
      <w:r>
        <w:rPr>
          <w:rFonts w:ascii="Calibri" w:cs="Calibri" w:eastAsia="Calibri" w:hAnsi="Calibri"/>
          <w:sz w:val="18"/>
          <w:szCs w:val="18"/>
          <w:color w:val="auto"/>
        </w:rPr>
        <w:t>Commentng on the company’s fnancial results, Burt Podbere, CrowdStrike’s chief fnancial ofcer, added, “Our third quarter results refect our focused executon and fnancial discipline, which drove a strong fnish and quarter-over-quarter increase in pipeline, despite expected headwinds from the July 19th incident. We saw incredible success with our customer commitment packages as customers embraced the program and chose to deepen their relatonship with CrowdStrike.”</w:t>
      </w: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Third Quarter Fiscal 2025 Financial Highlights</w:t>
      </w:r>
    </w:p>
    <w:p>
      <w:pPr>
        <w:spacing w:after="0" w:line="231" w:lineRule="exact"/>
        <w:rPr>
          <w:sz w:val="20"/>
          <w:szCs w:val="20"/>
          <w:color w:val="auto"/>
        </w:rPr>
      </w:pPr>
    </w:p>
    <w:p>
      <w:pPr>
        <w:ind w:left="660" w:right="240" w:hanging="328"/>
        <w:spacing w:after="0" w:line="227" w:lineRule="auto"/>
        <w:tabs>
          <w:tab w:leader="none" w:pos="653" w:val="left"/>
        </w:tabs>
        <w:numPr>
          <w:ilvl w:val="0"/>
          <w:numId w:val="4"/>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Revenue: </w:t>
      </w:r>
      <w:r>
        <w:rPr>
          <w:rFonts w:ascii="Calibri" w:cs="Calibri" w:eastAsia="Calibri" w:hAnsi="Calibri"/>
          <w:sz w:val="18"/>
          <w:szCs w:val="18"/>
          <w:color w:val="auto"/>
        </w:rPr>
        <w:t>Total revenue was $1,010.2 million, a 29% increase, compared to $786.0 million in the third quarter of fscal 2024. Subscripton revenue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was $962.7 million, a 31% increase, compared to $733.5 million in the third quarter of fscal 2024.</w:t>
      </w:r>
    </w:p>
    <w:p>
      <w:pPr>
        <w:spacing w:after="0" w:line="232" w:lineRule="exact"/>
        <w:rPr>
          <w:rFonts w:ascii="Calibri" w:cs="Calibri" w:eastAsia="Calibri" w:hAnsi="Calibri"/>
          <w:sz w:val="18"/>
          <w:szCs w:val="18"/>
          <w:color w:val="auto"/>
        </w:rPr>
      </w:pPr>
    </w:p>
    <w:p>
      <w:pPr>
        <w:ind w:left="660" w:right="140" w:hanging="328"/>
        <w:spacing w:after="0" w:line="227" w:lineRule="auto"/>
        <w:tabs>
          <w:tab w:leader="none" w:pos="653" w:val="left"/>
        </w:tabs>
        <w:numPr>
          <w:ilvl w:val="0"/>
          <w:numId w:val="4"/>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Annual Recurring Revenue (ARR) </w:t>
      </w:r>
      <w:r>
        <w:rPr>
          <w:rFonts w:ascii="Calibri" w:cs="Calibri" w:eastAsia="Calibri" w:hAnsi="Calibri"/>
          <w:sz w:val="18"/>
          <w:szCs w:val="18"/>
          <w:color w:val="auto"/>
        </w:rPr>
        <w:t>grew 27% year-over-year to $4.02 billion as of October 31, 2024, of which $153.0 million was net new ARR added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 the quarter.</w:t>
      </w:r>
    </w:p>
    <w:p>
      <w:pPr>
        <w:spacing w:after="0" w:line="232" w:lineRule="exact"/>
        <w:rPr>
          <w:rFonts w:ascii="Calibri" w:cs="Calibri" w:eastAsia="Calibri" w:hAnsi="Calibri"/>
          <w:sz w:val="18"/>
          <w:szCs w:val="18"/>
          <w:color w:val="auto"/>
        </w:rPr>
      </w:pPr>
    </w:p>
    <w:p>
      <w:pPr>
        <w:ind w:left="660" w:right="380" w:hanging="328"/>
        <w:spacing w:after="0" w:line="227" w:lineRule="auto"/>
        <w:tabs>
          <w:tab w:leader="none" w:pos="653" w:val="left"/>
        </w:tabs>
        <w:numPr>
          <w:ilvl w:val="0"/>
          <w:numId w:val="4"/>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Subscripton Gross Margin: </w:t>
      </w:r>
      <w:r>
        <w:rPr>
          <w:rFonts w:ascii="Calibri" w:cs="Calibri" w:eastAsia="Calibri" w:hAnsi="Calibri"/>
          <w:sz w:val="18"/>
          <w:szCs w:val="18"/>
          <w:color w:val="auto"/>
        </w:rPr>
        <w:t>GAAP subscripton gross margin was 78% for the third quarter of both fscal 2025 and 2024. Non-GAAP subscripton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gross margin was 80% for the third quarter of both fscal 2025 and 2024.</w:t>
      </w:r>
    </w:p>
    <w:p>
      <w:pPr>
        <w:spacing w:after="0" w:line="232" w:lineRule="exact"/>
        <w:rPr>
          <w:rFonts w:ascii="Calibri" w:cs="Calibri" w:eastAsia="Calibri" w:hAnsi="Calibri"/>
          <w:sz w:val="18"/>
          <w:szCs w:val="18"/>
          <w:color w:val="auto"/>
        </w:rPr>
      </w:pPr>
    </w:p>
    <w:p>
      <w:pPr>
        <w:ind w:left="660" w:right="100" w:hanging="328"/>
        <w:spacing w:after="0" w:line="227" w:lineRule="auto"/>
        <w:tabs>
          <w:tab w:leader="none" w:pos="653" w:val="left"/>
        </w:tabs>
        <w:numPr>
          <w:ilvl w:val="0"/>
          <w:numId w:val="4"/>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Income/Loss from Operatons: </w:t>
      </w:r>
      <w:r>
        <w:rPr>
          <w:rFonts w:ascii="Calibri" w:cs="Calibri" w:eastAsia="Calibri" w:hAnsi="Calibri"/>
          <w:sz w:val="18"/>
          <w:szCs w:val="18"/>
          <w:color w:val="auto"/>
        </w:rPr>
        <w:t>GAAP loss from operatons was $55.7 million, compared to income of $3.2 million in the third quarter of fscal 2024.</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Non-GAAP income from operatons was $194.9 million, compared to $175.7 million in the third quarter of fscal 2024.</w:t>
      </w:r>
    </w:p>
    <w:p>
      <w:pPr>
        <w:spacing w:after="0" w:line="232" w:lineRule="exact"/>
        <w:rPr>
          <w:rFonts w:ascii="Calibri" w:cs="Calibri" w:eastAsia="Calibri" w:hAnsi="Calibri"/>
          <w:sz w:val="18"/>
          <w:szCs w:val="18"/>
          <w:color w:val="auto"/>
        </w:rPr>
      </w:pPr>
    </w:p>
    <w:p>
      <w:pPr>
        <w:ind w:left="660" w:hanging="328"/>
        <w:spacing w:after="0" w:line="233" w:lineRule="auto"/>
        <w:tabs>
          <w:tab w:leader="none" w:pos="653" w:val="left"/>
        </w:tabs>
        <w:numPr>
          <w:ilvl w:val="0"/>
          <w:numId w:val="4"/>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Net Income/Loss Atributable to CrowdStrike: </w:t>
      </w:r>
      <w:r>
        <w:rPr>
          <w:rFonts w:ascii="Calibri" w:cs="Calibri" w:eastAsia="Calibri" w:hAnsi="Calibri"/>
          <w:sz w:val="17"/>
          <w:szCs w:val="17"/>
          <w:color w:val="auto"/>
        </w:rPr>
        <w:t>GAAP net loss atributable to CrowdStrike was $16.8 million, compared to income of $26.7 million in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third quarter of fscal 2024. GAAP net loss per share atributable to CrowdStrike, diluted, was $0.07, compared to income of $0.11 in the third quarter of fscal 2024. Non-GAAP net income atributable to CrowdStrike was $234.3 million, compared to $199.2 million in the third quarter of fscal 2024. Non-GAAP net income atributable to CrowdStrike per share, diluted, was $0.93, compared to $0.82 in the third quarter of fscal 2024.</w:t>
      </w:r>
    </w:p>
    <w:p>
      <w:pPr>
        <w:spacing w:after="0" w:line="233" w:lineRule="exact"/>
        <w:rPr>
          <w:rFonts w:ascii="Calibri" w:cs="Calibri" w:eastAsia="Calibri" w:hAnsi="Calibri"/>
          <w:sz w:val="17"/>
          <w:szCs w:val="17"/>
          <w:color w:val="auto"/>
        </w:rPr>
      </w:pPr>
    </w:p>
    <w:p>
      <w:pPr>
        <w:ind w:left="660" w:right="300" w:hanging="328"/>
        <w:spacing w:after="0" w:line="227" w:lineRule="auto"/>
        <w:tabs>
          <w:tab w:leader="none" w:pos="653" w:val="left"/>
        </w:tabs>
        <w:numPr>
          <w:ilvl w:val="0"/>
          <w:numId w:val="4"/>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Cash Flow: </w:t>
      </w:r>
      <w:r>
        <w:rPr>
          <w:rFonts w:ascii="Calibri" w:cs="Calibri" w:eastAsia="Calibri" w:hAnsi="Calibri"/>
          <w:sz w:val="18"/>
          <w:szCs w:val="18"/>
          <w:color w:val="auto"/>
        </w:rPr>
        <w:t>Net cash generated from operatons was $326.1 million, compared to $273.5 million in the third quarter of fscal 2024. Free cash fow</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was $230.6 million, compared to $239.0 million in the third quarter of fscal 2024.</w:t>
      </w:r>
    </w:p>
    <w:p>
      <w:pPr>
        <w:spacing w:after="0" w:line="227" w:lineRule="exact"/>
        <w:rPr>
          <w:rFonts w:ascii="Calibri" w:cs="Calibri" w:eastAsia="Calibri" w:hAnsi="Calibri"/>
          <w:sz w:val="18"/>
          <w:szCs w:val="18"/>
          <w:color w:val="auto"/>
        </w:rPr>
      </w:pPr>
    </w:p>
    <w:p>
      <w:pPr>
        <w:ind w:left="640" w:hanging="308"/>
        <w:spacing w:after="0"/>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Cash and Cash Equivalents </w:t>
      </w:r>
      <w:r>
        <w:rPr>
          <w:rFonts w:ascii="Calibri" w:cs="Calibri" w:eastAsia="Calibri" w:hAnsi="Calibri"/>
          <w:sz w:val="18"/>
          <w:szCs w:val="18"/>
          <w:color w:val="auto"/>
        </w:rPr>
        <w:t>was $4.26 billion as of October 31, 2024.</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Highlights</w:t>
      </w:r>
    </w:p>
    <w:p>
      <w:pPr>
        <w:spacing w:after="0" w:line="244" w:lineRule="exact"/>
        <w:rPr>
          <w:sz w:val="20"/>
          <w:szCs w:val="20"/>
          <w:color w:val="auto"/>
        </w:rPr>
      </w:pPr>
    </w:p>
    <w:p>
      <w:pPr>
        <w:ind w:left="660" w:right="360" w:hanging="328"/>
        <w:spacing w:after="0" w:line="215" w:lineRule="auto"/>
        <w:tabs>
          <w:tab w:leader="none" w:pos="660" w:val="left"/>
        </w:tabs>
        <w:numPr>
          <w:ilvl w:val="0"/>
          <w:numId w:val="5"/>
        </w:numPr>
        <w:rPr>
          <w:rFonts w:ascii="Calibri" w:cs="Calibri" w:eastAsia="Calibri" w:hAnsi="Calibri"/>
          <w:sz w:val="22"/>
          <w:szCs w:val="22"/>
          <w:color w:val="auto"/>
        </w:rPr>
      </w:pPr>
      <w:r>
        <w:rPr>
          <w:rFonts w:ascii="Calibri" w:cs="Calibri" w:eastAsia="Calibri" w:hAnsi="Calibri"/>
          <w:sz w:val="18"/>
          <w:szCs w:val="18"/>
          <w:color w:val="auto"/>
        </w:rPr>
        <w:t>CrowdStrike’s module adopton rates grew to 66%, 47%, 31%, and 20% for fve or more, six or more, seven or more, and eight or more modules, respectvely, as of October 31, 2024</w:t>
      </w:r>
      <w:r>
        <w:rPr>
          <w:rFonts w:ascii="Calibri" w:cs="Calibri" w:eastAsia="Calibri" w:hAnsi="Calibri"/>
          <w:sz w:val="23"/>
          <w:szCs w:val="23"/>
          <w:color w:val="auto"/>
          <w:vertAlign w:val="superscript"/>
        </w:rPr>
        <w:t>1</w:t>
      </w:r>
      <w:r>
        <w:rPr>
          <w:rFonts w:ascii="Calibri" w:cs="Calibri" w:eastAsia="Calibri" w:hAnsi="Calibri"/>
          <w:sz w:val="18"/>
          <w:szCs w:val="18"/>
          <w:color w:val="auto"/>
        </w:rPr>
        <w:t>.</w:t>
      </w:r>
    </w:p>
    <w:p>
      <w:pPr>
        <w:sectPr>
          <w:pgSz w:w="11900" w:h="16838" w:orient="portrait"/>
          <w:cols w:equalWidth="0" w:num="1">
            <w:col w:w="11240"/>
          </w:cols>
          <w:pgMar w:left="320" w:top="1440" w:right="339" w:bottom="1440" w:gutter="0" w:footer="0" w:header="0"/>
        </w:sectPr>
      </w:pPr>
    </w:p>
    <w:bookmarkStart w:id="5" w:name="page6"/>
    <w:bookmarkEnd w:id="5"/>
    <w:p>
      <w:pPr>
        <w:ind w:left="660" w:hanging="328"/>
        <w:spacing w:after="0" w:line="203"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Named a Leader in the 2024 Gartner Magic Quadrant™ for Endpoint Protecton Platorms</w:t>
      </w:r>
      <w:r>
        <w:rPr>
          <w:rFonts w:ascii="Calibri" w:cs="Calibri" w:eastAsia="Calibri" w:hAnsi="Calibri"/>
          <w:sz w:val="23"/>
          <w:szCs w:val="23"/>
          <w:color w:val="auto"/>
          <w:vertAlign w:val="superscript"/>
        </w:rPr>
        <w:t>2</w:t>
      </w:r>
      <w:r>
        <w:rPr>
          <w:rFonts w:ascii="Calibri" w:cs="Calibri" w:eastAsia="Calibri" w:hAnsi="Calibri"/>
          <w:sz w:val="18"/>
          <w:szCs w:val="18"/>
          <w:color w:val="auto"/>
        </w:rPr>
        <w:t xml:space="preserve"> for the ffh consecutve tme, positoned furthest right for Completeness of Vision and highest for Ability to Execute among all vendors evaluated.</w:t>
      </w:r>
    </w:p>
    <w:p>
      <w:pPr>
        <w:spacing w:after="0" w:line="230" w:lineRule="exact"/>
        <w:rPr>
          <w:rFonts w:ascii="Calibri" w:cs="Calibri" w:eastAsia="Calibri" w:hAnsi="Calibri"/>
          <w:sz w:val="18"/>
          <w:szCs w:val="18"/>
          <w:color w:val="auto"/>
        </w:rPr>
      </w:pPr>
    </w:p>
    <w:p>
      <w:pPr>
        <w:ind w:left="660" w:right="120" w:hanging="328"/>
        <w:spacing w:after="0" w:line="223"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Received the highest scores among evaluated vendors for Core Endpoint Protecton and Managed Security Services Use Cases in the 2024 Gartner® Critcal Capabilites for Endpoint Protecton Platorms (EPP) report</w:t>
      </w:r>
      <w:r>
        <w:rPr>
          <w:rFonts w:ascii="Calibri" w:cs="Calibri" w:eastAsia="Calibri" w:hAnsi="Calibri"/>
          <w:sz w:val="23"/>
          <w:szCs w:val="23"/>
          <w:color w:val="auto"/>
          <w:vertAlign w:val="superscript"/>
        </w:rPr>
        <w:t>3</w:t>
      </w:r>
      <w:r>
        <w:rPr>
          <w:rFonts w:ascii="Calibri" w:cs="Calibri" w:eastAsia="Calibri" w:hAnsi="Calibri"/>
          <w:sz w:val="18"/>
          <w:szCs w:val="18"/>
          <w:color w:val="auto"/>
        </w:rPr>
        <w:t>, for the second consecutve tme.</w:t>
      </w:r>
    </w:p>
    <w:p>
      <w:pPr>
        <w:spacing w:after="0" w:line="165" w:lineRule="exact"/>
        <w:rPr>
          <w:rFonts w:ascii="Calibri" w:cs="Calibri" w:eastAsia="Calibri" w:hAnsi="Calibri"/>
          <w:sz w:val="18"/>
          <w:szCs w:val="18"/>
          <w:color w:val="auto"/>
        </w:rPr>
      </w:pPr>
    </w:p>
    <w:p>
      <w:pPr>
        <w:ind w:left="640" w:hanging="308"/>
        <w:spacing w:after="0"/>
        <w:tabs>
          <w:tab w:leader="none" w:pos="6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Recognized as a Frost Radar™ Leader in Cloud Workload Protecton Platorms</w:t>
      </w:r>
      <w:r>
        <w:rPr>
          <w:rFonts w:ascii="Calibri" w:cs="Calibri" w:eastAsia="Calibri" w:hAnsi="Calibri"/>
          <w:sz w:val="23"/>
          <w:szCs w:val="23"/>
          <w:color w:val="auto"/>
          <w:vertAlign w:val="superscript"/>
        </w:rPr>
        <w:t>4</w:t>
      </w:r>
      <w:r>
        <w:rPr>
          <w:rFonts w:ascii="Calibri" w:cs="Calibri" w:eastAsia="Calibri" w:hAnsi="Calibri"/>
          <w:sz w:val="18"/>
          <w:szCs w:val="18"/>
          <w:color w:val="auto"/>
        </w:rPr>
        <w:t xml:space="preserve"> for the Second Consecutve Year.</w:t>
      </w:r>
    </w:p>
    <w:p>
      <w:pPr>
        <w:spacing w:after="0" w:line="164" w:lineRule="exact"/>
        <w:rPr>
          <w:rFonts w:ascii="Calibri" w:cs="Calibri" w:eastAsia="Calibri" w:hAnsi="Calibri"/>
          <w:sz w:val="18"/>
          <w:szCs w:val="18"/>
          <w:color w:val="auto"/>
        </w:rPr>
      </w:pPr>
    </w:p>
    <w:p>
      <w:pPr>
        <w:ind w:left="640" w:hanging="308"/>
        <w:spacing w:after="0"/>
        <w:tabs>
          <w:tab w:leader="none" w:pos="6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Acknowledged as a Leader in the 2024 GigaOm Radar Report for Cloud-Natve Applicaton Protecton Platorms (CNAPPs)</w:t>
      </w:r>
      <w:r>
        <w:rPr>
          <w:rFonts w:ascii="Calibri" w:cs="Calibri" w:eastAsia="Calibri" w:hAnsi="Calibri"/>
          <w:sz w:val="23"/>
          <w:szCs w:val="23"/>
          <w:color w:val="auto"/>
          <w:vertAlign w:val="superscript"/>
        </w:rPr>
        <w:t>5</w:t>
      </w:r>
      <w:r>
        <w:rPr>
          <w:rFonts w:ascii="Calibri" w:cs="Calibri" w:eastAsia="Calibri" w:hAnsi="Calibri"/>
          <w:sz w:val="18"/>
          <w:szCs w:val="18"/>
          <w:color w:val="auto"/>
        </w:rPr>
        <w:t>.</w:t>
      </w:r>
    </w:p>
    <w:p>
      <w:pPr>
        <w:spacing w:after="0" w:line="164" w:lineRule="exact"/>
        <w:rPr>
          <w:rFonts w:ascii="Calibri" w:cs="Calibri" w:eastAsia="Calibri" w:hAnsi="Calibri"/>
          <w:sz w:val="18"/>
          <w:szCs w:val="18"/>
          <w:color w:val="auto"/>
        </w:rPr>
      </w:pPr>
    </w:p>
    <w:p>
      <w:pPr>
        <w:ind w:left="640" w:hanging="308"/>
        <w:spacing w:after="0"/>
        <w:tabs>
          <w:tab w:leader="none" w:pos="6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Positoned as a Leader in The Forrester Wave™: Atack Surface Management Solutons, Q3 2024</w:t>
      </w:r>
      <w:r>
        <w:rPr>
          <w:rFonts w:ascii="Calibri" w:cs="Calibri" w:eastAsia="Calibri" w:hAnsi="Calibri"/>
          <w:sz w:val="23"/>
          <w:szCs w:val="23"/>
          <w:color w:val="auto"/>
          <w:vertAlign w:val="superscript"/>
        </w:rPr>
        <w:t>6</w:t>
      </w:r>
      <w:r>
        <w:rPr>
          <w:rFonts w:ascii="Calibri" w:cs="Calibri" w:eastAsia="Calibri" w:hAnsi="Calibri"/>
          <w:sz w:val="18"/>
          <w:szCs w:val="18"/>
          <w:color w:val="auto"/>
        </w:rPr>
        <w:t>.</w:t>
      </w:r>
    </w:p>
    <w:p>
      <w:pPr>
        <w:spacing w:after="0" w:line="169" w:lineRule="exact"/>
        <w:rPr>
          <w:rFonts w:ascii="Calibri" w:cs="Calibri" w:eastAsia="Calibri" w:hAnsi="Calibri"/>
          <w:sz w:val="18"/>
          <w:szCs w:val="18"/>
          <w:color w:val="auto"/>
        </w:rPr>
      </w:pPr>
    </w:p>
    <w:p>
      <w:pPr>
        <w:ind w:left="660" w:right="700" w:hanging="328"/>
        <w:spacing w:after="0" w:line="229"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Named a Major Player in the IDC MarketScape: Worldwide Security Informaton and Event Management (SIEM) for Enterprise 2024 Vendor Assessment report</w:t>
      </w:r>
      <w:r>
        <w:rPr>
          <w:rFonts w:ascii="Calibri" w:cs="Calibri" w:eastAsia="Calibri" w:hAnsi="Calibri"/>
          <w:sz w:val="23"/>
          <w:szCs w:val="23"/>
          <w:color w:val="auto"/>
          <w:vertAlign w:val="superscript"/>
        </w:rPr>
        <w:t>7</w:t>
      </w:r>
      <w:r>
        <w:rPr>
          <w:rFonts w:ascii="Calibri" w:cs="Calibri" w:eastAsia="Calibri" w:hAnsi="Calibri"/>
          <w:sz w:val="18"/>
          <w:szCs w:val="18"/>
          <w:color w:val="auto"/>
        </w:rPr>
        <w:t>.</w:t>
      </w:r>
    </w:p>
    <w:p>
      <w:pPr>
        <w:spacing w:after="0" w:line="170" w:lineRule="exact"/>
        <w:rPr>
          <w:rFonts w:ascii="Calibri" w:cs="Calibri" w:eastAsia="Calibri" w:hAnsi="Calibri"/>
          <w:sz w:val="18"/>
          <w:szCs w:val="18"/>
          <w:color w:val="auto"/>
        </w:rPr>
      </w:pPr>
    </w:p>
    <w:p>
      <w:pPr>
        <w:ind w:left="660" w:right="260" w:hanging="328"/>
        <w:spacing w:after="0" w:line="225"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Unveiled a series of new and enhanced oferings during the eighth annual Fal.Con cybersecurity conference. Announcements included Endpoint Security; Cloud Security; Identty Protecton; Next-Gen SIEM; Exposure Management; Charlote AI and Falcon for IT innovatons; Project Kestrel, a revolutonary new user experience and CrowdStrike Financial Services.</w:t>
      </w:r>
    </w:p>
    <w:p>
      <w:pPr>
        <w:spacing w:after="0" w:line="232" w:lineRule="exact"/>
        <w:rPr>
          <w:rFonts w:ascii="Calibri" w:cs="Calibri" w:eastAsia="Calibri" w:hAnsi="Calibri"/>
          <w:sz w:val="18"/>
          <w:szCs w:val="18"/>
          <w:color w:val="auto"/>
        </w:rPr>
      </w:pPr>
    </w:p>
    <w:p>
      <w:pPr>
        <w:ind w:left="660" w:right="360" w:hanging="328"/>
        <w:spacing w:after="0" w:line="227"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Acquired Adaptve Shield, a leader in SaaS security, making CrowdStrike the only cybersecurity vendor to provide unifed, end-to-end protecton against identty-based atacks across the entre modern cloud ecosystem.</w:t>
      </w:r>
    </w:p>
    <w:p>
      <w:pPr>
        <w:spacing w:after="0" w:line="232" w:lineRule="exact"/>
        <w:rPr>
          <w:rFonts w:ascii="Calibri" w:cs="Calibri" w:eastAsia="Calibri" w:hAnsi="Calibri"/>
          <w:sz w:val="18"/>
          <w:szCs w:val="18"/>
          <w:color w:val="auto"/>
        </w:rPr>
      </w:pPr>
    </w:p>
    <w:p>
      <w:pPr>
        <w:ind w:left="660" w:right="460" w:hanging="328"/>
        <w:spacing w:after="0" w:line="227"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Received new ISO/IEC 27001:2022 certfcaton for newer products made generally available, including Falcon Next-Gen SIEM, Charlote AI and Falcon for IT.</w:t>
      </w:r>
    </w:p>
    <w:p>
      <w:pPr>
        <w:spacing w:after="0" w:line="227" w:lineRule="exact"/>
        <w:rPr>
          <w:rFonts w:ascii="Calibri" w:cs="Calibri" w:eastAsia="Calibri" w:hAnsi="Calibri"/>
          <w:sz w:val="18"/>
          <w:szCs w:val="18"/>
          <w:color w:val="auto"/>
        </w:rPr>
      </w:pPr>
    </w:p>
    <w:p>
      <w:pPr>
        <w:ind w:left="640" w:hanging="308"/>
        <w:spacing w:after="0"/>
        <w:tabs>
          <w:tab w:leader="none" w:pos="6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Expanded Cybersecurity Startup Accelerator with AWS and NVIDIA to support the next generaton of global cloud security companies.</w:t>
      </w:r>
    </w:p>
    <w:p>
      <w:pPr>
        <w:spacing w:after="0" w:line="225" w:lineRule="exact"/>
        <w:rPr>
          <w:rFonts w:ascii="Calibri" w:cs="Calibri" w:eastAsia="Calibri" w:hAnsi="Calibri"/>
          <w:sz w:val="18"/>
          <w:szCs w:val="18"/>
          <w:color w:val="auto"/>
        </w:rPr>
      </w:pPr>
    </w:p>
    <w:p>
      <w:pPr>
        <w:ind w:left="640" w:hanging="308"/>
        <w:spacing w:after="0"/>
        <w:tabs>
          <w:tab w:leader="none" w:pos="6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Announced a strategic partnership with Fortnet to unify best-in-class endpoint and frewall protecton.</w:t>
      </w:r>
    </w:p>
    <w:p>
      <w:pPr>
        <w:spacing w:after="0" w:line="230" w:lineRule="exact"/>
        <w:rPr>
          <w:rFonts w:ascii="Calibri" w:cs="Calibri" w:eastAsia="Calibri" w:hAnsi="Calibri"/>
          <w:sz w:val="18"/>
          <w:szCs w:val="18"/>
          <w:color w:val="auto"/>
        </w:rPr>
      </w:pPr>
    </w:p>
    <w:p>
      <w:pPr>
        <w:ind w:left="660" w:right="500" w:hanging="328"/>
        <w:spacing w:after="0" w:line="227"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Partnered with Omnissa to deliver real-tme threat detecton and automated remediaton for Virtual Desktop Infrastructure (VDI) and physical desktop environments while improving customers’ digital work experience and productvity.</w:t>
      </w:r>
    </w:p>
    <w:p>
      <w:pPr>
        <w:spacing w:after="0" w:line="214" w:lineRule="exact"/>
        <w:rPr>
          <w:rFonts w:ascii="Calibri" w:cs="Calibri" w:eastAsia="Calibri" w:hAnsi="Calibri"/>
          <w:sz w:val="18"/>
          <w:szCs w:val="18"/>
          <w:color w:val="auto"/>
        </w:rPr>
      </w:pPr>
    </w:p>
    <w:p>
      <w:pPr>
        <w:ind w:left="640" w:hanging="308"/>
        <w:spacing w:after="0"/>
        <w:tabs>
          <w:tab w:leader="none" w:pos="6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Established new strategic partnerships with CardinalOps, Nagomi and Verit to deliver intelligence-led threat defense across the enterprise.</w:t>
      </w:r>
    </w:p>
    <w:p>
      <w:pPr>
        <w:spacing w:after="0" w:line="225" w:lineRule="exact"/>
        <w:rPr>
          <w:rFonts w:ascii="Calibri" w:cs="Calibri" w:eastAsia="Calibri" w:hAnsi="Calibri"/>
          <w:sz w:val="18"/>
          <w:szCs w:val="18"/>
          <w:color w:val="auto"/>
        </w:rPr>
      </w:pPr>
    </w:p>
    <w:p>
      <w:pPr>
        <w:ind w:left="640" w:hanging="308"/>
        <w:spacing w:after="0"/>
        <w:tabs>
          <w:tab w:leader="none" w:pos="6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Extended partnership with 1Password to simplify security for 150,000 customers, with a focus on small and midsize businesses (SMBs).</w:t>
      </w:r>
    </w:p>
    <w:p>
      <w:pPr>
        <w:spacing w:after="0" w:line="230" w:lineRule="exact"/>
        <w:rPr>
          <w:rFonts w:ascii="Calibri" w:cs="Calibri" w:eastAsia="Calibri" w:hAnsi="Calibri"/>
          <w:sz w:val="18"/>
          <w:szCs w:val="18"/>
          <w:color w:val="auto"/>
        </w:rPr>
      </w:pPr>
    </w:p>
    <w:p>
      <w:pPr>
        <w:ind w:left="660" w:right="40" w:hanging="328"/>
        <w:spacing w:after="0" w:line="227"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Announced the expansion of the CrowdStrike Marketplace, a one-stop destnaton for the world-class ecosystem of CrowdStrike-compatble security products.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Financial Outlook</w:t>
      </w:r>
    </w:p>
    <w:p>
      <w:pPr>
        <w:spacing w:after="0" w:line="231" w:lineRule="exact"/>
        <w:rPr>
          <w:sz w:val="20"/>
          <w:szCs w:val="20"/>
          <w:color w:val="auto"/>
        </w:rPr>
      </w:pPr>
    </w:p>
    <w:p>
      <w:pPr>
        <w:ind w:right="700"/>
        <w:spacing w:after="0" w:line="227" w:lineRule="auto"/>
        <w:rPr>
          <w:sz w:val="20"/>
          <w:szCs w:val="20"/>
          <w:color w:val="auto"/>
        </w:rPr>
      </w:pPr>
      <w:r>
        <w:rPr>
          <w:rFonts w:ascii="Calibri" w:cs="Calibri" w:eastAsia="Calibri" w:hAnsi="Calibri"/>
          <w:sz w:val="18"/>
          <w:szCs w:val="18"/>
          <w:color w:val="auto"/>
        </w:rPr>
        <w:t>CrowdStrike is providing the following guidance for the fscal fourth quarter of fscal 2025 (ending January 31, 2025) and full fscal year 2025 (ending January 31, 2025).</w:t>
      </w:r>
    </w:p>
    <w:p>
      <w:pPr>
        <w:sectPr>
          <w:pgSz w:w="11900" w:h="16838" w:orient="portrait"/>
          <w:cols w:equalWidth="0" w:num="1">
            <w:col w:w="11220"/>
          </w:cols>
          <w:pgMar w:left="320" w:top="1083" w:right="359" w:bottom="1440" w:gutter="0" w:footer="0" w:header="0"/>
        </w:sectPr>
      </w:pPr>
    </w:p>
    <w:bookmarkStart w:id="6" w:name="page7"/>
    <w:bookmarkEnd w:id="6"/>
    <w:p>
      <w:pPr>
        <w:ind w:right="60"/>
        <w:spacing w:after="0" w:line="223" w:lineRule="auto"/>
        <w:rPr>
          <w:sz w:val="20"/>
          <w:szCs w:val="20"/>
          <w:color w:val="auto"/>
        </w:rPr>
      </w:pPr>
      <w:r>
        <w:rPr>
          <w:rFonts w:ascii="Calibri" w:cs="Calibri" w:eastAsia="Calibri" w:hAnsi="Calibri"/>
          <w:sz w:val="18"/>
          <w:szCs w:val="18"/>
          <w:color w:val="auto"/>
        </w:rPr>
        <w:t xml:space="preserve">Guidance for non-GAAP fnancial measures excludes stock-based compensaton expense, amortzaton expense of acquired intangible assets (including purchased patents), amortzaton of debt issuance costs and discount, mark-to-market adjustments on deferred compensaton liabilites, legal reserve and setlement charges or benefts, July 19 Incident related costs and (recoveries), net, </w:t>
      </w:r>
      <w:r>
        <w:rPr>
          <w:rFonts w:ascii="Calibri" w:cs="Calibri" w:eastAsia="Calibri" w:hAnsi="Calibri"/>
          <w:sz w:val="18"/>
          <w:szCs w:val="18"/>
          <w:color w:val="212529"/>
        </w:rPr>
        <w:t>acquisiton-related provision (beneft) for income taxes,</w:t>
      </w:r>
      <w:r>
        <w:rPr>
          <w:rFonts w:ascii="Calibri" w:cs="Calibri" w:eastAsia="Calibri" w:hAnsi="Calibri"/>
          <w:sz w:val="18"/>
          <w:szCs w:val="18"/>
          <w:color w:val="auto"/>
        </w:rPr>
        <w:t xml:space="preserve"> losses (gains) and other income from strategic investments, acquisiton-related expenses (credits), net, and losses (gains) from deferred compensaton assets. The company has not provided the most directly comparable GAAP measures because certain items are out of the company's control or cannot be reasonably predicted. Accordingly, a reconciliaton for non-GAAP income from operatons, non-GAAP net income atributable to CrowdStrike, and non-GAAP net income per share atributable to CrowdStrike common stockholders is not available without unreasonable efort.</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revenue</w:t>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Non-GAAP income from operatons</w:t>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Non-GAAP net income atributable to CrowdStrike</w:t>
      </w:r>
    </w:p>
    <w:p>
      <w:pPr>
        <w:spacing w:after="0" w:line="28" w:lineRule="exact"/>
        <w:rPr>
          <w:sz w:val="20"/>
          <w:szCs w:val="20"/>
          <w:color w:val="auto"/>
        </w:rPr>
      </w:pPr>
    </w:p>
    <w:p>
      <w:pPr>
        <w:ind w:left="20" w:right="520"/>
        <w:spacing w:after="0" w:line="227" w:lineRule="auto"/>
        <w:rPr>
          <w:sz w:val="20"/>
          <w:szCs w:val="20"/>
          <w:color w:val="auto"/>
        </w:rPr>
      </w:pPr>
      <w:r>
        <w:rPr>
          <w:rFonts w:ascii="Calibri" w:cs="Calibri" w:eastAsia="Calibri" w:hAnsi="Calibri"/>
          <w:sz w:val="18"/>
          <w:szCs w:val="18"/>
          <w:color w:val="auto"/>
        </w:rPr>
        <w:t>Non-GAAP net income per share atributable to CrowdStrike common stockholders, diluted</w:t>
      </w:r>
    </w:p>
    <w:p>
      <w:pPr>
        <w:spacing w:after="0" w:line="30" w:lineRule="exact"/>
        <w:rPr>
          <w:sz w:val="20"/>
          <w:szCs w:val="20"/>
          <w:color w:val="auto"/>
        </w:rPr>
      </w:pPr>
    </w:p>
    <w:p>
      <w:pPr>
        <w:ind w:left="20"/>
        <w:spacing w:after="0" w:line="227" w:lineRule="auto"/>
        <w:rPr>
          <w:sz w:val="20"/>
          <w:szCs w:val="20"/>
          <w:color w:val="auto"/>
        </w:rPr>
      </w:pPr>
      <w:r>
        <w:rPr>
          <w:rFonts w:ascii="Calibri" w:cs="Calibri" w:eastAsia="Calibri" w:hAnsi="Calibri"/>
          <w:sz w:val="18"/>
          <w:szCs w:val="18"/>
          <w:color w:val="auto"/>
        </w:rPr>
        <w:t>Weighted average shares used in computng non-GAAP net income per share atributable to common stockholders, diluted</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060" w:type="dxa"/>
            <w:vAlign w:val="bottom"/>
          </w:tcPr>
          <w:p>
            <w:pPr>
              <w:spacing w:after="0"/>
              <w:rPr>
                <w:sz w:val="19"/>
                <w:szCs w:val="19"/>
                <w:color w:val="auto"/>
              </w:rPr>
            </w:pPr>
          </w:p>
        </w:tc>
        <w:tc>
          <w:tcPr>
            <w:tcW w:w="1800" w:type="dxa"/>
            <w:vAlign w:val="bottom"/>
            <w:gridSpan w:val="2"/>
          </w:tcPr>
          <w:p>
            <w:pPr>
              <w:jc w:val="center"/>
              <w:ind w:right="1160"/>
              <w:spacing w:after="0"/>
              <w:rPr>
                <w:sz w:val="20"/>
                <w:szCs w:val="20"/>
                <w:color w:val="auto"/>
              </w:rPr>
            </w:pPr>
            <w:r>
              <w:rPr>
                <w:rFonts w:ascii="Calibri" w:cs="Calibri" w:eastAsia="Calibri" w:hAnsi="Calibri"/>
                <w:sz w:val="18"/>
                <w:szCs w:val="18"/>
                <w:color w:val="auto"/>
                <w:w w:val="98"/>
              </w:rPr>
              <w:t>Q4 FY25</w:t>
            </w:r>
          </w:p>
        </w:tc>
        <w:tc>
          <w:tcPr>
            <w:tcW w:w="2840" w:type="dxa"/>
            <w:vAlign w:val="bottom"/>
            <w:gridSpan w:val="2"/>
          </w:tcPr>
          <w:p>
            <w:pPr>
              <w:jc w:val="center"/>
              <w:spacing w:after="0"/>
              <w:rPr>
                <w:sz w:val="20"/>
                <w:szCs w:val="20"/>
                <w:color w:val="auto"/>
              </w:rPr>
            </w:pPr>
            <w:r>
              <w:rPr>
                <w:rFonts w:ascii="Calibri" w:cs="Calibri" w:eastAsia="Calibri" w:hAnsi="Calibri"/>
                <w:sz w:val="18"/>
                <w:szCs w:val="18"/>
                <w:color w:val="auto"/>
                <w:w w:val="96"/>
              </w:rPr>
              <w:t>Full Year FY25</w:t>
            </w:r>
          </w:p>
        </w:tc>
      </w:tr>
      <w:tr>
        <w:trPr>
          <w:trHeight w:val="215"/>
        </w:trPr>
        <w:tc>
          <w:tcPr>
            <w:tcW w:w="2860" w:type="dxa"/>
            <w:vAlign w:val="bottom"/>
            <w:gridSpan w:val="3"/>
          </w:tcPr>
          <w:p>
            <w:pPr>
              <w:jc w:val="center"/>
              <w:ind w:right="100"/>
              <w:spacing w:after="0" w:line="215" w:lineRule="exact"/>
              <w:rPr>
                <w:sz w:val="20"/>
                <w:szCs w:val="20"/>
                <w:color w:val="auto"/>
              </w:rPr>
            </w:pPr>
            <w:r>
              <w:rPr>
                <w:rFonts w:ascii="Calibri" w:cs="Calibri" w:eastAsia="Calibri" w:hAnsi="Calibri"/>
                <w:sz w:val="18"/>
                <w:szCs w:val="18"/>
                <w:color w:val="auto"/>
                <w:w w:val="98"/>
              </w:rPr>
              <w:t>Guidance</w:t>
            </w:r>
          </w:p>
        </w:tc>
        <w:tc>
          <w:tcPr>
            <w:tcW w:w="2840" w:type="dxa"/>
            <w:vAlign w:val="bottom"/>
            <w:gridSpan w:val="2"/>
          </w:tcPr>
          <w:p>
            <w:pPr>
              <w:jc w:val="center"/>
              <w:spacing w:after="0" w:line="215" w:lineRule="exact"/>
              <w:rPr>
                <w:sz w:val="20"/>
                <w:szCs w:val="20"/>
                <w:color w:val="auto"/>
              </w:rPr>
            </w:pPr>
            <w:r>
              <w:rPr>
                <w:rFonts w:ascii="Calibri" w:cs="Calibri" w:eastAsia="Calibri" w:hAnsi="Calibri"/>
                <w:sz w:val="18"/>
                <w:szCs w:val="18"/>
                <w:color w:val="auto"/>
                <w:w w:val="98"/>
              </w:rPr>
              <w:t>Guidance</w:t>
            </w:r>
          </w:p>
        </w:tc>
      </w:tr>
      <w:tr>
        <w:trPr>
          <w:trHeight w:val="37"/>
        </w:trPr>
        <w:tc>
          <w:tcPr>
            <w:tcW w:w="10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08"/>
        </w:trPr>
        <w:tc>
          <w:tcPr>
            <w:tcW w:w="1060" w:type="dxa"/>
            <w:vAlign w:val="bottom"/>
          </w:tcPr>
          <w:p>
            <w:pPr>
              <w:jc w:val="right"/>
              <w:spacing w:after="0" w:line="208" w:lineRule="exact"/>
              <w:rPr>
                <w:sz w:val="20"/>
                <w:szCs w:val="20"/>
                <w:color w:val="auto"/>
              </w:rPr>
            </w:pPr>
            <w:r>
              <w:rPr>
                <w:rFonts w:ascii="Calibri" w:cs="Calibri" w:eastAsia="Calibri" w:hAnsi="Calibri"/>
                <w:sz w:val="18"/>
                <w:szCs w:val="18"/>
                <w:color w:val="auto"/>
              </w:rPr>
              <w:t>$1,028.7</w:t>
            </w:r>
          </w:p>
        </w:tc>
        <w:tc>
          <w:tcPr>
            <w:tcW w:w="1700" w:type="dxa"/>
            <w:vAlign w:val="bottom"/>
          </w:tcPr>
          <w:p>
            <w:pPr>
              <w:ind w:left="40"/>
              <w:spacing w:after="0" w:line="208" w:lineRule="exact"/>
              <w:rPr>
                <w:sz w:val="20"/>
                <w:szCs w:val="20"/>
                <w:color w:val="auto"/>
              </w:rPr>
            </w:pPr>
            <w:r>
              <w:rPr>
                <w:rFonts w:ascii="Calibri" w:cs="Calibri" w:eastAsia="Calibri" w:hAnsi="Calibri"/>
                <w:sz w:val="18"/>
                <w:szCs w:val="18"/>
                <w:color w:val="auto"/>
              </w:rPr>
              <w:t>- $1,035.4 million</w:t>
            </w:r>
          </w:p>
        </w:tc>
        <w:tc>
          <w:tcPr>
            <w:tcW w:w="100" w:type="dxa"/>
            <w:vAlign w:val="bottom"/>
          </w:tcPr>
          <w:p>
            <w:pPr>
              <w:spacing w:after="0"/>
              <w:rPr>
                <w:sz w:val="18"/>
                <w:szCs w:val="18"/>
                <w:color w:val="auto"/>
              </w:rPr>
            </w:pPr>
          </w:p>
        </w:tc>
        <w:tc>
          <w:tcPr>
            <w:tcW w:w="1100" w:type="dxa"/>
            <w:vAlign w:val="bottom"/>
          </w:tcPr>
          <w:p>
            <w:pPr>
              <w:jc w:val="right"/>
              <w:spacing w:after="0" w:line="208" w:lineRule="exact"/>
              <w:rPr>
                <w:sz w:val="20"/>
                <w:szCs w:val="20"/>
                <w:color w:val="auto"/>
              </w:rPr>
            </w:pPr>
            <w:r>
              <w:rPr>
                <w:rFonts w:ascii="Calibri" w:cs="Calibri" w:eastAsia="Calibri" w:hAnsi="Calibri"/>
                <w:sz w:val="18"/>
                <w:szCs w:val="18"/>
                <w:color w:val="auto"/>
              </w:rPr>
              <w:t>$3,923.8</w:t>
            </w:r>
          </w:p>
        </w:tc>
        <w:tc>
          <w:tcPr>
            <w:tcW w:w="1740" w:type="dxa"/>
            <w:vAlign w:val="bottom"/>
          </w:tcPr>
          <w:p>
            <w:pPr>
              <w:ind w:left="20"/>
              <w:spacing w:after="0" w:line="208" w:lineRule="exact"/>
              <w:rPr>
                <w:sz w:val="20"/>
                <w:szCs w:val="20"/>
                <w:color w:val="auto"/>
              </w:rPr>
            </w:pPr>
            <w:r>
              <w:rPr>
                <w:rFonts w:ascii="Calibri" w:cs="Calibri" w:eastAsia="Calibri" w:hAnsi="Calibri"/>
                <w:sz w:val="18"/>
                <w:szCs w:val="18"/>
                <w:color w:val="auto"/>
              </w:rPr>
              <w:t>- $3,930.5 million</w:t>
            </w:r>
          </w:p>
        </w:tc>
      </w:tr>
      <w:tr>
        <w:trPr>
          <w:trHeight w:val="234"/>
        </w:trPr>
        <w:tc>
          <w:tcPr>
            <w:tcW w:w="1060" w:type="dxa"/>
            <w:vAlign w:val="bottom"/>
          </w:tcPr>
          <w:p>
            <w:pPr>
              <w:jc w:val="right"/>
              <w:spacing w:after="0"/>
              <w:rPr>
                <w:sz w:val="20"/>
                <w:szCs w:val="20"/>
                <w:color w:val="auto"/>
              </w:rPr>
            </w:pPr>
            <w:r>
              <w:rPr>
                <w:rFonts w:ascii="Calibri" w:cs="Calibri" w:eastAsia="Calibri" w:hAnsi="Calibri"/>
                <w:sz w:val="18"/>
                <w:szCs w:val="18"/>
                <w:color w:val="auto"/>
              </w:rPr>
              <w:t>$184.0</w:t>
            </w:r>
          </w:p>
        </w:tc>
        <w:tc>
          <w:tcPr>
            <w:tcW w:w="1800" w:type="dxa"/>
            <w:vAlign w:val="bottom"/>
            <w:gridSpan w:val="2"/>
          </w:tcPr>
          <w:p>
            <w:pPr>
              <w:ind w:left="40"/>
              <w:spacing w:after="0"/>
              <w:rPr>
                <w:sz w:val="20"/>
                <w:szCs w:val="20"/>
                <w:color w:val="auto"/>
              </w:rPr>
            </w:pPr>
            <w:r>
              <w:rPr>
                <w:rFonts w:ascii="Calibri" w:cs="Calibri" w:eastAsia="Calibri" w:hAnsi="Calibri"/>
                <w:sz w:val="18"/>
                <w:szCs w:val="18"/>
                <w:color w:val="auto"/>
              </w:rPr>
              <w:t>- $189.0 million</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$804.4</w:t>
            </w:r>
          </w:p>
        </w:tc>
        <w:tc>
          <w:tcPr>
            <w:tcW w:w="1740" w:type="dxa"/>
            <w:vAlign w:val="bottom"/>
          </w:tcPr>
          <w:p>
            <w:pPr>
              <w:ind w:left="20"/>
              <w:spacing w:after="0"/>
              <w:rPr>
                <w:sz w:val="20"/>
                <w:szCs w:val="20"/>
                <w:color w:val="auto"/>
              </w:rPr>
            </w:pPr>
            <w:r>
              <w:rPr>
                <w:rFonts w:ascii="Calibri" w:cs="Calibri" w:eastAsia="Calibri" w:hAnsi="Calibri"/>
                <w:sz w:val="18"/>
                <w:szCs w:val="18"/>
                <w:color w:val="auto"/>
              </w:rPr>
              <w:t>- $809.4 million</w:t>
            </w:r>
          </w:p>
        </w:tc>
      </w:tr>
      <w:tr>
        <w:trPr>
          <w:trHeight w:val="243"/>
        </w:trPr>
        <w:tc>
          <w:tcPr>
            <w:tcW w:w="1060" w:type="dxa"/>
            <w:vAlign w:val="bottom"/>
          </w:tcPr>
          <w:p>
            <w:pPr>
              <w:jc w:val="right"/>
              <w:spacing w:after="0"/>
              <w:rPr>
                <w:sz w:val="20"/>
                <w:szCs w:val="20"/>
                <w:color w:val="auto"/>
              </w:rPr>
            </w:pPr>
            <w:r>
              <w:rPr>
                <w:rFonts w:ascii="Calibri" w:cs="Calibri" w:eastAsia="Calibri" w:hAnsi="Calibri"/>
                <w:sz w:val="18"/>
                <w:szCs w:val="18"/>
                <w:color w:val="auto"/>
              </w:rPr>
              <w:t>$210.9</w:t>
            </w:r>
          </w:p>
        </w:tc>
        <w:tc>
          <w:tcPr>
            <w:tcW w:w="1800" w:type="dxa"/>
            <w:vAlign w:val="bottom"/>
            <w:gridSpan w:val="2"/>
          </w:tcPr>
          <w:p>
            <w:pPr>
              <w:ind w:left="40"/>
              <w:spacing w:after="0"/>
              <w:rPr>
                <w:sz w:val="20"/>
                <w:szCs w:val="20"/>
                <w:color w:val="auto"/>
              </w:rPr>
            </w:pPr>
            <w:r>
              <w:rPr>
                <w:rFonts w:ascii="Calibri" w:cs="Calibri" w:eastAsia="Calibri" w:hAnsi="Calibri"/>
                <w:sz w:val="18"/>
                <w:szCs w:val="18"/>
                <w:color w:val="auto"/>
              </w:rPr>
              <w:t>- $215.8 million</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$937.5</w:t>
            </w:r>
          </w:p>
        </w:tc>
        <w:tc>
          <w:tcPr>
            <w:tcW w:w="1740" w:type="dxa"/>
            <w:vAlign w:val="bottom"/>
          </w:tcPr>
          <w:p>
            <w:pPr>
              <w:ind w:left="20"/>
              <w:spacing w:after="0"/>
              <w:rPr>
                <w:sz w:val="20"/>
                <w:szCs w:val="20"/>
                <w:color w:val="auto"/>
              </w:rPr>
            </w:pPr>
            <w:r>
              <w:rPr>
                <w:rFonts w:ascii="Calibri" w:cs="Calibri" w:eastAsia="Calibri" w:hAnsi="Calibri"/>
                <w:sz w:val="18"/>
                <w:szCs w:val="18"/>
                <w:color w:val="auto"/>
              </w:rPr>
              <w:t>- $942.6 million</w:t>
            </w:r>
          </w:p>
        </w:tc>
      </w:tr>
      <w:tr>
        <w:trPr>
          <w:trHeight w:val="338"/>
        </w:trPr>
        <w:tc>
          <w:tcPr>
            <w:tcW w:w="2760" w:type="dxa"/>
            <w:vAlign w:val="bottom"/>
            <w:gridSpan w:val="2"/>
          </w:tcPr>
          <w:p>
            <w:pPr>
              <w:jc w:val="right"/>
              <w:ind w:right="830"/>
              <w:spacing w:after="0"/>
              <w:rPr>
                <w:sz w:val="20"/>
                <w:szCs w:val="20"/>
                <w:color w:val="auto"/>
              </w:rPr>
            </w:pPr>
            <w:r>
              <w:rPr>
                <w:rFonts w:ascii="Calibri" w:cs="Calibri" w:eastAsia="Calibri" w:hAnsi="Calibri"/>
                <w:sz w:val="18"/>
                <w:szCs w:val="18"/>
                <w:color w:val="auto"/>
              </w:rPr>
              <w:t>$0.84 - $0.86</w:t>
            </w:r>
          </w:p>
        </w:tc>
        <w:tc>
          <w:tcPr>
            <w:tcW w:w="100" w:type="dxa"/>
            <w:vAlign w:val="bottom"/>
          </w:tcPr>
          <w:p>
            <w:pPr>
              <w:spacing w:after="0"/>
              <w:rPr>
                <w:sz w:val="24"/>
                <w:szCs w:val="24"/>
                <w:color w:val="auto"/>
              </w:rPr>
            </w:pPr>
          </w:p>
        </w:tc>
        <w:tc>
          <w:tcPr>
            <w:tcW w:w="2840" w:type="dxa"/>
            <w:vAlign w:val="bottom"/>
            <w:gridSpan w:val="2"/>
          </w:tcPr>
          <w:p>
            <w:pPr>
              <w:jc w:val="center"/>
              <w:spacing w:after="0"/>
              <w:rPr>
                <w:sz w:val="20"/>
                <w:szCs w:val="20"/>
                <w:color w:val="auto"/>
              </w:rPr>
            </w:pPr>
            <w:r>
              <w:rPr>
                <w:rFonts w:ascii="Calibri" w:cs="Calibri" w:eastAsia="Calibri" w:hAnsi="Calibri"/>
                <w:sz w:val="18"/>
                <w:szCs w:val="18"/>
                <w:color w:val="auto"/>
                <w:w w:val="98"/>
              </w:rPr>
              <w:t>$3.74 - $3.76</w:t>
            </w:r>
          </w:p>
        </w:tc>
      </w:tr>
      <w:tr>
        <w:trPr>
          <w:trHeight w:val="446"/>
        </w:trPr>
        <w:tc>
          <w:tcPr>
            <w:tcW w:w="2860" w:type="dxa"/>
            <w:vAlign w:val="bottom"/>
            <w:gridSpan w:val="3"/>
          </w:tcPr>
          <w:p>
            <w:pPr>
              <w:jc w:val="center"/>
              <w:ind w:right="100"/>
              <w:spacing w:after="0"/>
              <w:rPr>
                <w:sz w:val="20"/>
                <w:szCs w:val="20"/>
                <w:color w:val="auto"/>
              </w:rPr>
            </w:pPr>
            <w:r>
              <w:rPr>
                <w:rFonts w:ascii="Calibri" w:cs="Calibri" w:eastAsia="Calibri" w:hAnsi="Calibri"/>
                <w:sz w:val="18"/>
                <w:szCs w:val="18"/>
                <w:color w:val="auto"/>
                <w:w w:val="98"/>
              </w:rPr>
              <w:t>252 million</w:t>
            </w:r>
          </w:p>
        </w:tc>
        <w:tc>
          <w:tcPr>
            <w:tcW w:w="2840" w:type="dxa"/>
            <w:vAlign w:val="bottom"/>
            <w:gridSpan w:val="2"/>
          </w:tcPr>
          <w:p>
            <w:pPr>
              <w:jc w:val="center"/>
              <w:spacing w:after="0"/>
              <w:rPr>
                <w:sz w:val="20"/>
                <w:szCs w:val="20"/>
                <w:color w:val="auto"/>
              </w:rPr>
            </w:pPr>
            <w:r>
              <w:rPr>
                <w:rFonts w:ascii="Calibri" w:cs="Calibri" w:eastAsia="Calibri" w:hAnsi="Calibri"/>
                <w:sz w:val="18"/>
                <w:szCs w:val="18"/>
                <w:color w:val="auto"/>
                <w:w w:val="98"/>
              </w:rPr>
              <w:t>251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-944880</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-627380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-190500</wp:posOffset>
            </wp:positionV>
            <wp:extent cx="7132320"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06" w:lineRule="exact"/>
        <w:rPr>
          <w:sz w:val="20"/>
          <w:szCs w:val="20"/>
          <w:color w:val="auto"/>
        </w:rPr>
      </w:pPr>
    </w:p>
    <w:p>
      <w:pPr>
        <w:sectPr>
          <w:pgSz w:w="11900" w:h="16838" w:orient="portrait"/>
          <w:cols w:equalWidth="0" w:num="2">
            <w:col w:w="5500" w:space="40"/>
            <w:col w:w="5700"/>
          </w:cols>
          <w:pgMar w:left="320" w:top="1332" w:right="339" w:bottom="1440" w:gutter="0" w:footer="0" w:header="0"/>
          <w:type w:val="continuous"/>
        </w:sectPr>
      </w:pPr>
    </w:p>
    <w:p>
      <w:pPr>
        <w:spacing w:after="0" w:line="113" w:lineRule="exact"/>
        <w:rPr>
          <w:sz w:val="20"/>
          <w:szCs w:val="20"/>
          <w:color w:val="auto"/>
        </w:rPr>
      </w:pPr>
    </w:p>
    <w:p>
      <w:pPr>
        <w:ind w:right="480"/>
        <w:spacing w:after="0" w:line="242" w:lineRule="auto"/>
        <w:rPr>
          <w:sz w:val="20"/>
          <w:szCs w:val="20"/>
          <w:color w:val="auto"/>
        </w:rPr>
      </w:pPr>
      <w:r>
        <w:rPr>
          <w:rFonts w:ascii="Calibri" w:cs="Calibri" w:eastAsia="Calibri" w:hAnsi="Calibri"/>
          <w:sz w:val="17"/>
          <w:szCs w:val="17"/>
          <w:color w:val="auto"/>
        </w:rPr>
        <w:t>These statements are forward-looking and actual results may difer materially as a result of many factors. Refer to the Forward-Looking Statements safe harbor below for informaton on the factors that could cause the company's actual results to difer materially from these forward-looking statements.</w:t>
      </w:r>
    </w:p>
    <w:p>
      <w:pPr>
        <w:spacing w:after="0" w:line="1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Conference Call Informaton</w:t>
      </w:r>
    </w:p>
    <w:p>
      <w:pPr>
        <w:spacing w:after="0" w:line="204" w:lineRule="exact"/>
        <w:rPr>
          <w:sz w:val="20"/>
          <w:szCs w:val="20"/>
          <w:color w:val="auto"/>
        </w:rPr>
      </w:pPr>
    </w:p>
    <w:p>
      <w:pPr>
        <w:ind w:right="20"/>
        <w:spacing w:after="0" w:line="225" w:lineRule="auto"/>
        <w:rPr>
          <w:sz w:val="20"/>
          <w:szCs w:val="20"/>
          <w:color w:val="auto"/>
        </w:rPr>
      </w:pPr>
      <w:r>
        <w:rPr>
          <w:rFonts w:ascii="Calibri" w:cs="Calibri" w:eastAsia="Calibri" w:hAnsi="Calibri"/>
          <w:sz w:val="18"/>
          <w:szCs w:val="18"/>
          <w:color w:val="auto"/>
        </w:rPr>
        <w:t>CrowdStrike will host a conference call for analysts and investors to discuss its earnings results for the third quarter of fscal 2025 and outlook for its fscal fourth quarter and fscal year 2025 today at 2:00 p.m. Pacifc tme (5:00 p.m. Eastern tme). A recorded webcast of the event will also be available for one year on the CrowdStrike Investor Relatons website ir.crowdstrike.com.</w:t>
      </w:r>
    </w:p>
    <w:p>
      <w:pPr>
        <w:spacing w:after="0" w:line="255" w:lineRule="exact"/>
        <w:rPr>
          <w:sz w:val="20"/>
          <w:szCs w:val="20"/>
          <w:color w:val="auto"/>
        </w:rPr>
      </w:pPr>
    </w:p>
    <w:p>
      <w:pPr>
        <w:ind w:left="20"/>
        <w:spacing w:after="0"/>
        <w:tabs>
          <w:tab w:leader="none" w:pos="3460" w:val="left"/>
        </w:tabs>
        <w:rPr>
          <w:sz w:val="20"/>
          <w:szCs w:val="20"/>
          <w:color w:val="auto"/>
        </w:rPr>
      </w:pPr>
      <w:r>
        <w:rPr>
          <w:rFonts w:ascii="Calibri" w:cs="Calibri" w:eastAsia="Calibri" w:hAnsi="Calibri"/>
          <w:sz w:val="18"/>
          <w:szCs w:val="18"/>
          <w:color w:val="auto"/>
        </w:rPr>
        <w:t>Date:</w:t>
      </w:r>
      <w:r>
        <w:rPr>
          <w:sz w:val="20"/>
          <w:szCs w:val="20"/>
          <w:color w:val="auto"/>
        </w:rPr>
        <w:tab/>
      </w:r>
      <w:r>
        <w:rPr>
          <w:rFonts w:ascii="Calibri" w:cs="Calibri" w:eastAsia="Calibri" w:hAnsi="Calibri"/>
          <w:sz w:val="18"/>
          <w:szCs w:val="18"/>
          <w:color w:val="auto"/>
        </w:rPr>
        <w:t>November 26, 2024</w:t>
      </w:r>
    </w:p>
    <w:p>
      <w:pPr>
        <w:spacing w:after="0" w:line="10" w:lineRule="exact"/>
        <w:rPr>
          <w:sz w:val="20"/>
          <w:szCs w:val="20"/>
          <w:color w:val="auto"/>
        </w:rPr>
      </w:pPr>
    </w:p>
    <w:p>
      <w:pPr>
        <w:ind w:left="20"/>
        <w:spacing w:after="0"/>
        <w:tabs>
          <w:tab w:leader="none" w:pos="3460" w:val="left"/>
        </w:tabs>
        <w:rPr>
          <w:sz w:val="20"/>
          <w:szCs w:val="20"/>
          <w:color w:val="auto"/>
        </w:rPr>
      </w:pPr>
      <w:r>
        <w:rPr>
          <w:rFonts w:ascii="Calibri" w:cs="Calibri" w:eastAsia="Calibri" w:hAnsi="Calibri"/>
          <w:sz w:val="18"/>
          <w:szCs w:val="18"/>
          <w:color w:val="auto"/>
        </w:rPr>
        <w:t>Time:</w:t>
      </w:r>
      <w:r>
        <w:rPr>
          <w:sz w:val="20"/>
          <w:szCs w:val="20"/>
          <w:color w:val="auto"/>
        </w:rPr>
        <w:tab/>
      </w:r>
      <w:r>
        <w:rPr>
          <w:rFonts w:ascii="Calibri" w:cs="Calibri" w:eastAsia="Calibri" w:hAnsi="Calibri"/>
          <w:sz w:val="18"/>
          <w:szCs w:val="18"/>
          <w:color w:val="auto"/>
        </w:rPr>
        <w:t>2:00 p.m. Pacifc tme / 5:00 p.m. Eastern tme</w:t>
      </w:r>
    </w:p>
    <w:p>
      <w:pPr>
        <w:spacing w:after="0" w:line="10" w:lineRule="exact"/>
        <w:rPr>
          <w:sz w:val="20"/>
          <w:szCs w:val="20"/>
          <w:color w:val="auto"/>
        </w:rPr>
      </w:pPr>
    </w:p>
    <w:p>
      <w:pPr>
        <w:ind w:left="20"/>
        <w:spacing w:after="0"/>
        <w:tabs>
          <w:tab w:leader="none" w:pos="3460" w:val="left"/>
        </w:tabs>
        <w:rPr>
          <w:sz w:val="20"/>
          <w:szCs w:val="20"/>
          <w:color w:val="auto"/>
        </w:rPr>
      </w:pPr>
      <w:r>
        <w:rPr>
          <w:rFonts w:ascii="Calibri" w:cs="Calibri" w:eastAsia="Calibri" w:hAnsi="Calibri"/>
          <w:sz w:val="18"/>
          <w:szCs w:val="18"/>
          <w:color w:val="auto"/>
        </w:rPr>
        <w:t>Webcast link:</w:t>
      </w:r>
      <w:r>
        <w:rPr>
          <w:sz w:val="20"/>
          <w:szCs w:val="20"/>
          <w:color w:val="auto"/>
        </w:rPr>
        <w:tab/>
      </w:r>
      <w:r>
        <w:rPr>
          <w:rFonts w:ascii="Calibri" w:cs="Calibri" w:eastAsia="Calibri" w:hAnsi="Calibri"/>
          <w:sz w:val="17"/>
          <w:szCs w:val="17"/>
          <w:color w:val="auto"/>
        </w:rPr>
        <w:t>crowdstrike-fscal-third-quarter-2025-results-conference-call.open-exchange.net/registraton</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Forward-Looking Statements</w:t>
      </w:r>
    </w:p>
    <w:p>
      <w:pPr>
        <w:spacing w:after="0" w:line="231" w:lineRule="exact"/>
        <w:rPr>
          <w:sz w:val="20"/>
          <w:szCs w:val="20"/>
          <w:color w:val="auto"/>
        </w:rPr>
      </w:pPr>
    </w:p>
    <w:p>
      <w:pPr>
        <w:spacing w:after="0" w:line="234" w:lineRule="auto"/>
        <w:rPr>
          <w:sz w:val="20"/>
          <w:szCs w:val="20"/>
          <w:color w:val="auto"/>
        </w:rPr>
      </w:pPr>
      <w:r>
        <w:rPr>
          <w:rFonts w:ascii="Calibri" w:cs="Calibri" w:eastAsia="Calibri" w:hAnsi="Calibri"/>
          <w:sz w:val="17"/>
          <w:szCs w:val="17"/>
          <w:color w:val="auto"/>
        </w:rPr>
        <w:t>This press release contains forward-looking statements that involve risks and uncertaintes, including statements regarding CrowdStrike’s future growth, and future fnancial and operatng performance, including CrowdStrike’s fnancial outlook for the fourth quarter fscal 2025, fscal year 2025, and beyond. There are a signifcant number of factors that could cause actual results to difer materially from statements made in this press release, including: risks associated with the content confguraton update CrowdStrike released on July 19, 2024 for its Falcon sensor that resulted in system crashes for certain Windows systems (the “July 19 Incident”); risks associated with managing CrowdStrike’s rapid growth; CrowdStrike’s ability to identfy and efectvely implement necessary changes to address executon challenges; risks associated with new products and subscripton and support oferings, including the risk of defects, errors, or vulnerabilites; CrowdStrike's ability to respond to an intensely compettve market; length and unpredictability of sales cycles; CrowdStrike’s ability to atract new and retain existng customers; CrowdStrike’s ability to successfully integrate acquisitons; the failure to tmely develop and achieve market acceptance of new products and subscriptons as well as existng products and subscriptons and support; CrowdStrike’s ability to collaborate and integrate its products with oferings from other partes to deliver benefts to customers; industry trends; rapidly evolving technological developments in the market for security products and subscripton and support oferings; and general market, politcal, economic, and business conditons, including those related to a deterioraton in macroeconomic conditons, infaton, geopolitcal uncertainty and conficts, public health crises, and volatlity in the banking and fnancial services sector.</w:t>
      </w:r>
    </w:p>
    <w:p>
      <w:pPr>
        <w:sectPr>
          <w:pgSz w:w="11900" w:h="16838" w:orient="portrait"/>
          <w:cols w:equalWidth="0" w:num="1">
            <w:col w:w="11240"/>
          </w:cols>
          <w:pgMar w:left="320" w:top="1332" w:right="339" w:bottom="1440" w:gutter="0" w:footer="0" w:header="0"/>
          <w:type w:val="continuous"/>
        </w:sectPr>
      </w:pPr>
    </w:p>
    <w:bookmarkStart w:id="7" w:name="page8"/>
    <w:bookmarkEnd w:id="7"/>
    <w:p>
      <w:pPr>
        <w:ind w:right="100"/>
        <w:spacing w:after="0" w:line="224" w:lineRule="auto"/>
        <w:rPr>
          <w:sz w:val="20"/>
          <w:szCs w:val="20"/>
          <w:color w:val="auto"/>
        </w:rPr>
      </w:pPr>
      <w:r>
        <w:rPr>
          <w:rFonts w:ascii="Calibri" w:cs="Calibri" w:eastAsia="Calibri" w:hAnsi="Calibri"/>
          <w:sz w:val="18"/>
          <w:szCs w:val="18"/>
          <w:color w:val="auto"/>
        </w:rPr>
        <w:t>Additonal risks and uncertaintes that could afect CrowdStrike’s fnancial results are included in the flings CrowdStrike makes with the Securites and Exchange Commission (“SEC”) from tme to tme, partcularly under the captons “Risk Factors” and “Management’s Discussion and Analysis of Financial Conditon and Results of Operatons,” including CrowdStrike’s most recently fled Annual Report on Form 10-K, most recently fled Quarterly Report on Form 10-Q, and subsequent flings.</w:t>
      </w:r>
    </w:p>
    <w:p>
      <w:pPr>
        <w:spacing w:after="0" w:line="233" w:lineRule="exact"/>
        <w:rPr>
          <w:sz w:val="20"/>
          <w:szCs w:val="20"/>
          <w:color w:val="auto"/>
        </w:rPr>
      </w:pPr>
    </w:p>
    <w:p>
      <w:pPr>
        <w:ind w:right="40"/>
        <w:spacing w:after="0" w:line="220" w:lineRule="auto"/>
        <w:rPr>
          <w:sz w:val="20"/>
          <w:szCs w:val="20"/>
          <w:color w:val="auto"/>
        </w:rPr>
      </w:pPr>
      <w:r>
        <w:rPr>
          <w:rFonts w:ascii="Calibri" w:cs="Calibri" w:eastAsia="Calibri" w:hAnsi="Calibri"/>
          <w:sz w:val="18"/>
          <w:szCs w:val="18"/>
          <w:color w:val="auto"/>
        </w:rPr>
        <w:t>You should not rely on these forward-looking statements, as actual outcomes and results may difer materially from those contemplated by these forward-looking statements as a result of such risks and uncertaintes. All forward-looking statements in this press release are based on informaton available to CrowdStrike as of the date hereof, and CrowdStrike does not assume any obligaton to update the forward-looking statements provided to refect events that occur or circumstances that exist afer the date on which they were made.</w:t>
      </w:r>
    </w:p>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Use of Non-GAAP Financial Informaton</w:t>
      </w:r>
    </w:p>
    <w:p>
      <w:pPr>
        <w:spacing w:after="0" w:line="204" w:lineRule="exact"/>
        <w:rPr>
          <w:sz w:val="20"/>
          <w:szCs w:val="20"/>
          <w:color w:val="auto"/>
        </w:rPr>
      </w:pPr>
    </w:p>
    <w:p>
      <w:pPr>
        <w:ind w:right="120"/>
        <w:spacing w:after="0" w:line="225" w:lineRule="auto"/>
        <w:rPr>
          <w:sz w:val="20"/>
          <w:szCs w:val="20"/>
          <w:color w:val="auto"/>
        </w:rPr>
      </w:pPr>
      <w:r>
        <w:rPr>
          <w:rFonts w:ascii="Calibri" w:cs="Calibri" w:eastAsia="Calibri" w:hAnsi="Calibri"/>
          <w:sz w:val="18"/>
          <w:szCs w:val="18"/>
          <w:color w:val="auto"/>
        </w:rPr>
        <w:t>CrowdStrike believes that the presentaton of non-GAAP fnancial informaton provides important supplemental informaton to management and investors regarding fnancial and business trends relatng to CrowdStrike’s fnancial conditon and results of operatons. For further informaton regarding these non-GAAP measures, including the reconciliaton of these non-GAAP fnancial measures to their most directly comparable GAAP fnancial measures, please refer to the fnancial tables below, as well as the “Explanaton of Non-GAAP Financial Measures</w:t>
      </w:r>
      <w:r>
        <w:rPr>
          <w:rFonts w:ascii="Calibri" w:cs="Calibri" w:eastAsia="Calibri" w:hAnsi="Calibri"/>
          <w:sz w:val="21"/>
          <w:szCs w:val="21"/>
          <w:color w:val="auto"/>
        </w:rPr>
        <w:t>”</w:t>
      </w:r>
      <w:r>
        <w:rPr>
          <w:rFonts w:ascii="Calibri" w:cs="Calibri" w:eastAsia="Calibri" w:hAnsi="Calibri"/>
          <w:sz w:val="18"/>
          <w:szCs w:val="18"/>
          <w:color w:val="auto"/>
        </w:rPr>
        <w:t xml:space="preserve"> secton of this press release.</w:t>
      </w:r>
    </w:p>
    <w:p>
      <w:pPr>
        <w:spacing w:after="0" w:line="23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Channels for Disclosure of Informaton</w:t>
      </w:r>
    </w:p>
    <w:p>
      <w:pPr>
        <w:spacing w:after="0" w:line="231" w:lineRule="exact"/>
        <w:rPr>
          <w:sz w:val="20"/>
          <w:szCs w:val="20"/>
          <w:color w:val="auto"/>
        </w:rPr>
      </w:pPr>
    </w:p>
    <w:p>
      <w:pPr>
        <w:ind w:right="20"/>
        <w:spacing w:after="0" w:line="221" w:lineRule="auto"/>
        <w:rPr>
          <w:sz w:val="20"/>
          <w:szCs w:val="20"/>
          <w:color w:val="auto"/>
        </w:rPr>
      </w:pPr>
      <w:r>
        <w:rPr>
          <w:rFonts w:ascii="Calibri" w:cs="Calibri" w:eastAsia="Calibri" w:hAnsi="Calibri"/>
          <w:sz w:val="18"/>
          <w:szCs w:val="18"/>
          <w:color w:val="auto"/>
        </w:rPr>
        <w:t xml:space="preserve">CrowdStrike intends to announce material informaton to the public through the CrowdStrike Investor Relatons website </w:t>
      </w:r>
      <w:r>
        <w:rPr>
          <w:rFonts w:ascii="Calibri" w:cs="Calibri" w:eastAsia="Calibri" w:hAnsi="Calibri"/>
          <w:sz w:val="18"/>
          <w:szCs w:val="18"/>
          <w:color w:val="3051F2"/>
        </w:rPr>
        <w:t>ir.crowdstrike.com</w:t>
      </w:r>
      <w:r>
        <w:rPr>
          <w:rFonts w:ascii="Calibri" w:cs="Calibri" w:eastAsia="Calibri" w:hAnsi="Calibri"/>
          <w:sz w:val="18"/>
          <w:szCs w:val="18"/>
          <w:color w:val="auto"/>
        </w:rPr>
        <w:t xml:space="preserve">, SEC flings, press releases, public conference calls, and public webcasts. CrowdStrike uses these channels, as well as social media and its </w:t>
      </w:r>
      <w:r>
        <w:rPr>
          <w:rFonts w:ascii="Calibri" w:cs="Calibri" w:eastAsia="Calibri" w:hAnsi="Calibri"/>
          <w:sz w:val="18"/>
          <w:szCs w:val="18"/>
          <w:color w:val="3051F2"/>
        </w:rPr>
        <w:t>blog</w:t>
      </w:r>
      <w:r>
        <w:rPr>
          <w:rFonts w:ascii="Calibri" w:cs="Calibri" w:eastAsia="Calibri" w:hAnsi="Calibri"/>
          <w:sz w:val="18"/>
          <w:szCs w:val="18"/>
          <w:color w:val="auto"/>
        </w:rPr>
        <w:t>, to communicate with its investors, customers, and the public about the company, its oferings, and other issues. It is possible that the informaton CrowdStrike posts on social media and its blog could be deemed to be material informaton. As such, CrowdStrike encourages investors, the media, and others to follow the channels listed above, including the social media channels listed on CrowdStrike’s investor relatons website, and to review the informaton disclosed through such channels. Any updates to the list of disclosure channels through which CrowdStrike will announce informaton will be posted on the investor relatons page on CrowdStrike’s website.</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Defniton of Module Adopton Rates</w:t>
      </w:r>
    </w:p>
    <w:p>
      <w:pPr>
        <w:spacing w:after="0" w:line="231" w:lineRule="exact"/>
        <w:rPr>
          <w:sz w:val="20"/>
          <w:szCs w:val="20"/>
          <w:color w:val="auto"/>
        </w:rPr>
      </w:pPr>
    </w:p>
    <w:p>
      <w:pPr>
        <w:ind w:left="660" w:right="100" w:hanging="328"/>
        <w:spacing w:after="0" w:line="225" w:lineRule="auto"/>
        <w:tabs>
          <w:tab w:leader="none" w:pos="645"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Module adopton rates are calculated by taking the total number of customers with fve or more, six or more, seven or more, and eight or more modules, respectvely, divided by the total number of subscripton customers (excluding Falcon Go customers). Falcon Go customers are defned as customers who have subscribed with the Falcon Go bundle, a package designed for organizatons with 100 endpoints or less.</w:t>
      </w: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Reports Referenced and Disclaimers</w:t>
      </w:r>
    </w:p>
    <w:p>
      <w:pPr>
        <w:spacing w:after="0" w:line="226" w:lineRule="exact"/>
        <w:rPr>
          <w:sz w:val="20"/>
          <w:szCs w:val="20"/>
          <w:color w:val="auto"/>
        </w:rPr>
      </w:pPr>
    </w:p>
    <w:p>
      <w:pPr>
        <w:ind w:left="640" w:hanging="308"/>
        <w:spacing w:after="0"/>
        <w:tabs>
          <w:tab w:leader="none" w:pos="6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Gartner, Magic Quadrant for Endpoint Protecton Platorms, Evgeny Mirolyubov, Franz Hinner, 23 September 2024</w:t>
      </w:r>
    </w:p>
    <w:p>
      <w:pPr>
        <w:ind w:left="660" w:right="240" w:hanging="328"/>
        <w:spacing w:after="0" w:line="221" w:lineRule="auto"/>
        <w:tabs>
          <w:tab w:leader="none" w:pos="645"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Gartner, Critcal Capabilites for Endpoint Protecton Platorms, Evgeny Mirolyubov, Franz Hinner, Satarupa Patnaik, Deepak Mishra, Chris Silva, 28 October 2024</w:t>
      </w:r>
    </w:p>
    <w:p>
      <w:pPr>
        <w:ind w:left="640" w:hanging="308"/>
        <w:spacing w:after="0" w:line="221" w:lineRule="auto"/>
        <w:tabs>
          <w:tab w:leader="none" w:pos="6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2024 Frost Radar™: Global Cloud Workload Protecton Platorm (CWPP)</w:t>
      </w:r>
    </w:p>
    <w:p>
      <w:pPr>
        <w:ind w:left="640" w:hanging="308"/>
        <w:spacing w:after="0" w:line="221" w:lineRule="auto"/>
        <w:tabs>
          <w:tab w:leader="none" w:pos="6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GigaOm Radar for Cloud-Natve Applicaton Protecton Platorms (CNAPPs), 29 October 2024</w:t>
      </w:r>
    </w:p>
    <w:p>
      <w:pPr>
        <w:ind w:left="640" w:hanging="308"/>
        <w:spacing w:after="0" w:line="221" w:lineRule="auto"/>
        <w:tabs>
          <w:tab w:leader="none" w:pos="6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The Forrester Wave™: Atack Surface Management Solutons, Q3 2024</w:t>
      </w:r>
    </w:p>
    <w:p>
      <w:pPr>
        <w:ind w:left="660" w:right="280" w:hanging="328"/>
        <w:spacing w:after="0" w:line="213" w:lineRule="auto"/>
        <w:tabs>
          <w:tab w:leader="none" w:pos="645"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IDC MarketScape: Worldwide Security Informaton and Event Management (SIEM) for Enterprise 2024 Vendor Assessment, September 2024, IDC #US51541324</w:t>
      </w:r>
    </w:p>
    <w:p>
      <w:pPr>
        <w:spacing w:after="0" w:line="24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GARTNER is a registered trademark and service mark of Gartner and Magic Quadrant is a registered trademark of Gartner, Inc. and/or its afliates in the U.S. and internatonally and are used herein with permission. All rights reserved. Gartner does not endorse any vendor, product or service depicted in its research publicatons, and does not advise technology users to select only those vendors with the highest ratngs or other designaton. Gartner research publicatons consist of the opinions of Gartner’s research organizaton and should not be construed as statements of fact. Gartner disclaims all warrantes, expressed or implied, with respect to this research, including any warrantes of merchantability or ftness for a partcular purpose.</w:t>
      </w:r>
    </w:p>
    <w:p>
      <w:pPr>
        <w:spacing w:after="0" w:line="247"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The Gartner content described herein (the “Gartner Content”) represents research opinion or viewpoints published, as part of a syndicated subscripton service, by Gartner, Inc. ("Gartner"), and is not a representaton of fact. Gartner Content speaks as of its original publicaton date (and not as of the date of this earnings presentaton), and the opinions expressed in the Gartner Content are subject to change without notce.</w:t>
      </w:r>
    </w:p>
    <w:p>
      <w:pPr>
        <w:sectPr>
          <w:pgSz w:w="11900" w:h="16838" w:orient="portrait"/>
          <w:cols w:equalWidth="0" w:num="1">
            <w:col w:w="11180"/>
          </w:cols>
          <w:pgMar w:left="320" w:top="1089" w:right="39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b w:val="1"/>
          <w:bCs w:val="1"/>
          <w:color w:val="auto"/>
        </w:rPr>
        <w:t>About CrowdStrike Holdings</w:t>
      </w:r>
    </w:p>
    <w:p>
      <w:pPr>
        <w:spacing w:after="0" w:line="204" w:lineRule="exact"/>
        <w:rPr>
          <w:sz w:val="20"/>
          <w:szCs w:val="20"/>
          <w:color w:val="auto"/>
        </w:rPr>
      </w:pPr>
    </w:p>
    <w:p>
      <w:pPr>
        <w:ind w:right="520"/>
        <w:spacing w:after="0" w:line="227" w:lineRule="auto"/>
        <w:rPr>
          <w:sz w:val="20"/>
          <w:szCs w:val="20"/>
          <w:color w:val="auto"/>
        </w:rPr>
      </w:pPr>
      <w:r>
        <w:rPr>
          <w:rFonts w:ascii="Calibri" w:cs="Calibri" w:eastAsia="Calibri" w:hAnsi="Calibri"/>
          <w:sz w:val="18"/>
          <w:szCs w:val="18"/>
          <w:color w:val="auto"/>
        </w:rPr>
        <w:t>CrowdStrike (Nasdaq: CRWD), a global cybersecurity leader, has redefned modern security with the world’s most advanced cloud-natve platorm for protectng critcal areas of enterprise risk – endpoints and cloud workloads, identty, and data.</w:t>
      </w:r>
    </w:p>
    <w:p>
      <w:pPr>
        <w:spacing w:after="0" w:line="232" w:lineRule="exact"/>
        <w:rPr>
          <w:sz w:val="20"/>
          <w:szCs w:val="20"/>
          <w:color w:val="auto"/>
        </w:rPr>
      </w:pPr>
    </w:p>
    <w:p>
      <w:pPr>
        <w:spacing w:after="0" w:line="225" w:lineRule="auto"/>
        <w:rPr>
          <w:sz w:val="20"/>
          <w:szCs w:val="20"/>
          <w:color w:val="auto"/>
        </w:rPr>
      </w:pPr>
      <w:r>
        <w:rPr>
          <w:rFonts w:ascii="Calibri" w:cs="Calibri" w:eastAsia="Calibri" w:hAnsi="Calibri"/>
          <w:sz w:val="18"/>
          <w:szCs w:val="18"/>
          <w:color w:val="auto"/>
        </w:rPr>
        <w:t>Powered by the CrowdStrike Security Cloud and world-class AI, the CrowdStrike Falcon® platorm leverages real-tme indicators of atack, threat intelligence, evolving adversary tradecraf, and enriched telemetry from across the enterprise to deliver hyper-accurate detectons, automated protecton and remediaton, elite threat huntng, and prioritzed observability of vulnerabilites.</w:t>
      </w:r>
    </w:p>
    <w:p>
      <w:pPr>
        <w:spacing w:after="0" w:line="233" w:lineRule="exact"/>
        <w:rPr>
          <w:sz w:val="20"/>
          <w:szCs w:val="20"/>
          <w:color w:val="auto"/>
        </w:rPr>
      </w:pPr>
    </w:p>
    <w:p>
      <w:pPr>
        <w:ind w:right="60"/>
        <w:spacing w:after="0" w:line="220" w:lineRule="auto"/>
        <w:rPr>
          <w:sz w:val="20"/>
          <w:szCs w:val="20"/>
          <w:color w:val="auto"/>
        </w:rPr>
      </w:pPr>
      <w:r>
        <w:rPr>
          <w:rFonts w:ascii="Calibri" w:cs="Calibri" w:eastAsia="Calibri" w:hAnsi="Calibri"/>
          <w:sz w:val="18"/>
          <w:szCs w:val="18"/>
          <w:color w:val="auto"/>
        </w:rPr>
        <w:t>Purpose-built in the cloud with a single lightweight-agent architecture, the Falcon platorm delivers rapid and scalable deployment, superior protecton and performance, reduced complexity, and immediate tme-to-value.</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auto"/>
        </w:rPr>
        <w:t>CrowdStrike: We stop breaches.</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For more informaton, please visit: </w:t>
      </w:r>
      <w:r>
        <w:rPr>
          <w:rFonts w:ascii="Calibri" w:cs="Calibri" w:eastAsia="Calibri" w:hAnsi="Calibri"/>
          <w:sz w:val="18"/>
          <w:szCs w:val="18"/>
          <w:color w:val="0563C1"/>
        </w:rPr>
        <w:t>ir.crowdstrike.com</w:t>
      </w:r>
    </w:p>
    <w:p>
      <w:pPr>
        <w:spacing w:after="0" w:line="200" w:lineRule="exact"/>
        <w:rPr>
          <w:sz w:val="20"/>
          <w:szCs w:val="20"/>
          <w:color w:val="auto"/>
        </w:rPr>
      </w:pPr>
    </w:p>
    <w:p>
      <w:pPr>
        <w:spacing w:after="0" w:line="247" w:lineRule="exact"/>
        <w:rPr>
          <w:sz w:val="20"/>
          <w:szCs w:val="20"/>
          <w:color w:val="auto"/>
        </w:rPr>
      </w:pPr>
    </w:p>
    <w:p>
      <w:pPr>
        <w:jc w:val="both"/>
        <w:ind w:right="280" w:firstLine="8"/>
        <w:spacing w:after="0" w:line="225" w:lineRule="auto"/>
        <w:tabs>
          <w:tab w:leader="none" w:pos="186"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2024 CrowdStrike, Inc. All rights reserved. CrowdStrike and CrowdStrike Falcon are marks owned by CrowdStrike, Inc. and are registered in the United States and other countries. CrowdStrike owns other trademarks and service marks and may use the brands of third partes to identfy their products and services.</w:t>
      </w: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Investor Relatons Contact</w:t>
      </w:r>
    </w:p>
    <w:p>
      <w:pPr>
        <w:spacing w:after="0" w:line="235" w:lineRule="auto"/>
        <w:rPr>
          <w:sz w:val="20"/>
          <w:szCs w:val="20"/>
          <w:color w:val="auto"/>
        </w:rPr>
      </w:pPr>
      <w:r>
        <w:rPr>
          <w:rFonts w:ascii="Calibri" w:cs="Calibri" w:eastAsia="Calibri" w:hAnsi="Calibri"/>
          <w:sz w:val="18"/>
          <w:szCs w:val="18"/>
          <w:color w:val="auto"/>
        </w:rPr>
        <w:t>CrowdStrike Holdings, Inc.</w:t>
      </w:r>
    </w:p>
    <w:p>
      <w:pPr>
        <w:spacing w:after="0" w:line="236" w:lineRule="auto"/>
        <w:rPr>
          <w:sz w:val="20"/>
          <w:szCs w:val="20"/>
          <w:color w:val="auto"/>
        </w:rPr>
      </w:pPr>
      <w:r>
        <w:rPr>
          <w:rFonts w:ascii="Calibri" w:cs="Calibri" w:eastAsia="Calibri" w:hAnsi="Calibri"/>
          <w:sz w:val="18"/>
          <w:szCs w:val="18"/>
          <w:color w:val="auto"/>
        </w:rPr>
        <w:t>Maria Riley, Vice President of Investor Relatons</w:t>
      </w:r>
    </w:p>
    <w:p>
      <w:pPr>
        <w:spacing w:after="0" w:line="236" w:lineRule="auto"/>
        <w:rPr>
          <w:sz w:val="20"/>
          <w:szCs w:val="20"/>
          <w:color w:val="auto"/>
        </w:rPr>
      </w:pPr>
      <w:r>
        <w:rPr>
          <w:rFonts w:ascii="Calibri" w:cs="Calibri" w:eastAsia="Calibri" w:hAnsi="Calibri"/>
          <w:sz w:val="18"/>
          <w:szCs w:val="18"/>
          <w:color w:val="auto"/>
        </w:rPr>
        <w:t>investors@crowdstrike.com</w:t>
      </w:r>
    </w:p>
    <w:p>
      <w:pPr>
        <w:spacing w:after="0" w:line="236" w:lineRule="auto"/>
        <w:rPr>
          <w:sz w:val="20"/>
          <w:szCs w:val="20"/>
          <w:color w:val="auto"/>
        </w:rPr>
      </w:pPr>
      <w:r>
        <w:rPr>
          <w:rFonts w:ascii="Calibri" w:cs="Calibri" w:eastAsia="Calibri" w:hAnsi="Calibri"/>
          <w:sz w:val="18"/>
          <w:szCs w:val="18"/>
          <w:color w:val="auto"/>
        </w:rPr>
        <w:t>669-721-0742</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Press Contact</w:t>
      </w:r>
    </w:p>
    <w:p>
      <w:pPr>
        <w:spacing w:after="0" w:line="235" w:lineRule="auto"/>
        <w:rPr>
          <w:sz w:val="20"/>
          <w:szCs w:val="20"/>
          <w:color w:val="auto"/>
        </w:rPr>
      </w:pPr>
      <w:r>
        <w:rPr>
          <w:rFonts w:ascii="Calibri" w:cs="Calibri" w:eastAsia="Calibri" w:hAnsi="Calibri"/>
          <w:sz w:val="18"/>
          <w:szCs w:val="18"/>
          <w:color w:val="auto"/>
        </w:rPr>
        <w:t>CrowdStrike Holdings, Inc.</w:t>
      </w:r>
    </w:p>
    <w:p>
      <w:pPr>
        <w:spacing w:after="0" w:line="236" w:lineRule="auto"/>
        <w:rPr>
          <w:sz w:val="20"/>
          <w:szCs w:val="20"/>
          <w:color w:val="auto"/>
        </w:rPr>
      </w:pPr>
      <w:r>
        <w:rPr>
          <w:rFonts w:ascii="Calibri" w:cs="Calibri" w:eastAsia="Calibri" w:hAnsi="Calibri"/>
          <w:sz w:val="18"/>
          <w:szCs w:val="18"/>
          <w:color w:val="auto"/>
        </w:rPr>
        <w:t>Jake Schuster, Senior Director, Public Relatons &amp; Media Strategy</w:t>
      </w:r>
    </w:p>
    <w:p>
      <w:pPr>
        <w:spacing w:after="0" w:line="236" w:lineRule="auto"/>
        <w:rPr>
          <w:sz w:val="20"/>
          <w:szCs w:val="20"/>
          <w:color w:val="auto"/>
        </w:rPr>
      </w:pPr>
      <w:r>
        <w:rPr>
          <w:rFonts w:ascii="Calibri" w:cs="Calibri" w:eastAsia="Calibri" w:hAnsi="Calibri"/>
          <w:sz w:val="18"/>
          <w:szCs w:val="18"/>
          <w:color w:val="auto"/>
        </w:rPr>
        <w:t>press@crowdstrike.com</w:t>
      </w:r>
    </w:p>
    <w:p>
      <w:pPr>
        <w:spacing w:after="0" w:line="236" w:lineRule="auto"/>
        <w:rPr>
          <w:sz w:val="20"/>
          <w:szCs w:val="20"/>
          <w:color w:val="auto"/>
        </w:rPr>
      </w:pPr>
      <w:r>
        <w:rPr>
          <w:rFonts w:ascii="Calibri" w:cs="Calibri" w:eastAsia="Calibri" w:hAnsi="Calibri"/>
          <w:sz w:val="18"/>
          <w:szCs w:val="18"/>
          <w:b w:val="1"/>
          <w:bCs w:val="1"/>
          <w:color w:val="auto"/>
        </w:rPr>
        <w:t>###</w:t>
      </w:r>
    </w:p>
    <w:p>
      <w:pPr>
        <w:sectPr>
          <w:pgSz w:w="11900" w:h="16838" w:orient="portrait"/>
          <w:cols w:equalWidth="0" w:num="1">
            <w:col w:w="11100"/>
          </w:cols>
          <w:pgMar w:left="320" w:top="1327" w:right="479" w:bottom="1440" w:gutter="0" w:footer="0" w:header="0"/>
        </w:sectPr>
      </w:pPr>
    </w:p>
    <w:bookmarkStart w:id="9" w:name="page10"/>
    <w:bookmarkEnd w:id="9"/>
    <w:p>
      <w:pPr>
        <w:jc w:val="center"/>
        <w:spacing w:after="0"/>
        <w:rPr>
          <w:sz w:val="20"/>
          <w:szCs w:val="20"/>
          <w:color w:val="auto"/>
        </w:rPr>
      </w:pPr>
      <w:r>
        <w:rPr>
          <w:rFonts w:ascii="Calibri" w:cs="Calibri" w:eastAsia="Calibri" w:hAnsi="Calibri"/>
          <w:sz w:val="16"/>
          <w:szCs w:val="16"/>
          <w:b w:val="1"/>
          <w:bCs w:val="1"/>
          <w:color w:val="auto"/>
        </w:rPr>
        <w:t>CROWDSTRIKE HOLDINGS, INC.</w:t>
      </w:r>
    </w:p>
    <w:p>
      <w:pPr>
        <w:spacing w:after="0" w:line="156" w:lineRule="exact"/>
        <w:rPr>
          <w:sz w:val="20"/>
          <w:szCs w:val="20"/>
          <w:color w:val="auto"/>
        </w:rPr>
      </w:pPr>
    </w:p>
    <w:p>
      <w:pPr>
        <w:ind w:left="3920"/>
        <w:spacing w:after="0"/>
        <w:rPr>
          <w:sz w:val="20"/>
          <w:szCs w:val="20"/>
          <w:color w:val="auto"/>
        </w:rPr>
      </w:pPr>
      <w:r>
        <w:rPr>
          <w:rFonts w:ascii="Calibri" w:cs="Calibri" w:eastAsia="Calibri" w:hAnsi="Calibri"/>
          <w:sz w:val="16"/>
          <w:szCs w:val="16"/>
          <w:b w:val="1"/>
          <w:bCs w:val="1"/>
          <w:color w:val="auto"/>
        </w:rPr>
        <w:t>Condensed Consolidated Statements of Operatons</w:t>
      </w:r>
    </w:p>
    <w:p>
      <w:pPr>
        <w:spacing w:after="0" w:line="7" w:lineRule="exact"/>
        <w:rPr>
          <w:sz w:val="20"/>
          <w:szCs w:val="20"/>
          <w:color w:val="auto"/>
        </w:rPr>
      </w:pPr>
    </w:p>
    <w:p>
      <w:pPr>
        <w:ind w:left="4260"/>
        <w:spacing w:after="0"/>
        <w:rPr>
          <w:sz w:val="20"/>
          <w:szCs w:val="20"/>
          <w:color w:val="auto"/>
        </w:rPr>
      </w:pPr>
      <w:r>
        <w:rPr>
          <w:rFonts w:ascii="Calibri" w:cs="Calibri" w:eastAsia="Calibri" w:hAnsi="Calibri"/>
          <w:sz w:val="16"/>
          <w:szCs w:val="16"/>
          <w:color w:val="auto"/>
        </w:rPr>
        <w:t>(in thousands, except per share amounts)</w:t>
      </w:r>
    </w:p>
    <w:p>
      <w:pPr>
        <w:jc w:val="center"/>
        <w:spacing w:after="0" w:line="232" w:lineRule="auto"/>
        <w:rPr>
          <w:sz w:val="20"/>
          <w:szCs w:val="20"/>
          <w:color w:val="auto"/>
        </w:rPr>
      </w:pPr>
      <w:r>
        <w:rPr>
          <w:rFonts w:ascii="Calibri" w:cs="Calibri" w:eastAsia="Calibri" w:hAnsi="Calibri"/>
          <w:sz w:val="16"/>
          <w:szCs w:val="16"/>
          <w:color w:val="auto"/>
        </w:rPr>
        <w:t>(unaudited)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5"/>
          </w:tcPr>
          <w:p>
            <w:pPr>
              <w:ind w:left="300"/>
              <w:spacing w:after="0"/>
              <w:rPr>
                <w:sz w:val="20"/>
                <w:szCs w:val="20"/>
                <w:color w:val="auto"/>
              </w:rPr>
            </w:pPr>
            <w:r>
              <w:rPr>
                <w:rFonts w:ascii="Calibri" w:cs="Calibri" w:eastAsia="Calibri" w:hAnsi="Calibri"/>
                <w:sz w:val="16"/>
                <w:szCs w:val="16"/>
                <w:b w:val="1"/>
                <w:bCs w:val="1"/>
                <w:color w:val="auto"/>
              </w:rPr>
              <w:t>Three Months Ended October 31,</w:t>
            </w:r>
          </w:p>
        </w:tc>
        <w:tc>
          <w:tcPr>
            <w:tcW w:w="400" w:type="dxa"/>
            <w:vAlign w:val="bottom"/>
          </w:tcPr>
          <w:p>
            <w:pPr>
              <w:spacing w:after="0"/>
              <w:rPr>
                <w:sz w:val="16"/>
                <w:szCs w:val="16"/>
                <w:color w:val="auto"/>
              </w:rPr>
            </w:pPr>
          </w:p>
        </w:tc>
        <w:tc>
          <w:tcPr>
            <w:tcW w:w="3200" w:type="dxa"/>
            <w:vAlign w:val="bottom"/>
            <w:gridSpan w:val="4"/>
          </w:tcPr>
          <w:p>
            <w:pPr>
              <w:jc w:val="right"/>
              <w:ind w:right="639"/>
              <w:spacing w:after="0"/>
              <w:rPr>
                <w:sz w:val="20"/>
                <w:szCs w:val="20"/>
                <w:color w:val="auto"/>
              </w:rPr>
            </w:pPr>
            <w:r>
              <w:rPr>
                <w:rFonts w:ascii="Calibri" w:cs="Calibri" w:eastAsia="Calibri" w:hAnsi="Calibri"/>
                <w:sz w:val="16"/>
                <w:szCs w:val="16"/>
                <w:b w:val="1"/>
                <w:bCs w:val="1"/>
                <w:color w:val="auto"/>
              </w:rPr>
              <w:t>Nine Months Ended October 31,</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619"/>
              <w:spacing w:after="0" w:line="187" w:lineRule="exact"/>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619"/>
              <w:spacing w:after="0" w:line="187"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23"/>
        </w:trPr>
        <w:tc>
          <w:tcPr>
            <w:tcW w:w="3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94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Revenue</w:t>
            </w: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940" w:type="dxa"/>
            <w:vAlign w:val="bottom"/>
          </w:tcPr>
          <w:p>
            <w:pPr>
              <w:ind w:left="140"/>
              <w:spacing w:after="0" w:line="193" w:lineRule="exact"/>
              <w:rPr>
                <w:sz w:val="20"/>
                <w:szCs w:val="20"/>
                <w:color w:val="auto"/>
              </w:rPr>
            </w:pPr>
            <w:r>
              <w:rPr>
                <w:rFonts w:ascii="Calibri" w:cs="Calibri" w:eastAsia="Calibri" w:hAnsi="Calibri"/>
                <w:sz w:val="16"/>
                <w:szCs w:val="16"/>
                <w:color w:val="auto"/>
              </w:rPr>
              <w:t>Subscripton</w:t>
            </w:r>
          </w:p>
        </w:tc>
        <w:tc>
          <w:tcPr>
            <w:tcW w:w="400" w:type="dxa"/>
            <w:vAlign w:val="bottom"/>
          </w:tcPr>
          <w:p>
            <w:pPr>
              <w:jc w:val="right"/>
              <w:ind w:right="199"/>
              <w:spacing w:after="0" w:line="193" w:lineRule="exact"/>
              <w:rPr>
                <w:sz w:val="20"/>
                <w:szCs w:val="20"/>
                <w:color w:val="auto"/>
              </w:rPr>
            </w:pPr>
            <w:r>
              <w:rPr>
                <w:rFonts w:ascii="Calibri" w:cs="Calibri" w:eastAsia="Calibri" w:hAnsi="Calibri"/>
                <w:sz w:val="16"/>
                <w:szCs w:val="16"/>
                <w:color w:val="auto"/>
              </w:rPr>
              <w:t>$</w:t>
            </w: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962,735</w:t>
            </w:r>
          </w:p>
        </w:tc>
        <w:tc>
          <w:tcPr>
            <w:tcW w:w="100" w:type="dxa"/>
            <w:vAlign w:val="bottom"/>
          </w:tcPr>
          <w:p>
            <w:pPr>
              <w:spacing w:after="0"/>
              <w:rPr>
                <w:sz w:val="16"/>
                <w:szCs w:val="16"/>
                <w:color w:val="auto"/>
              </w:rPr>
            </w:pPr>
          </w:p>
        </w:tc>
        <w:tc>
          <w:tcPr>
            <w:tcW w:w="400" w:type="dxa"/>
            <w:vAlign w:val="bottom"/>
          </w:tcPr>
          <w:p>
            <w:pPr>
              <w:jc w:val="right"/>
              <w:ind w:right="219"/>
              <w:spacing w:after="0" w:line="193" w:lineRule="exact"/>
              <w:rPr>
                <w:sz w:val="20"/>
                <w:szCs w:val="20"/>
                <w:color w:val="auto"/>
              </w:rPr>
            </w:pPr>
            <w:r>
              <w:rPr>
                <w:rFonts w:ascii="Calibri" w:cs="Calibri" w:eastAsia="Calibri" w:hAnsi="Calibri"/>
                <w:sz w:val="16"/>
                <w:szCs w:val="16"/>
                <w:color w:val="auto"/>
                <w:w w:val="97"/>
              </w:rPr>
              <w:t>$</w:t>
            </w: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733,463</w:t>
            </w:r>
          </w:p>
        </w:tc>
        <w:tc>
          <w:tcPr>
            <w:tcW w:w="100" w:type="dxa"/>
            <w:vAlign w:val="bottom"/>
          </w:tcPr>
          <w:p>
            <w:pPr>
              <w:spacing w:after="0"/>
              <w:rPr>
                <w:sz w:val="16"/>
                <w:szCs w:val="16"/>
                <w:color w:val="auto"/>
              </w:rPr>
            </w:pPr>
          </w:p>
        </w:tc>
        <w:tc>
          <w:tcPr>
            <w:tcW w:w="400" w:type="dxa"/>
            <w:vAlign w:val="bottom"/>
          </w:tcPr>
          <w:p>
            <w:pPr>
              <w:jc w:val="right"/>
              <w:ind w:right="219"/>
              <w:spacing w:after="0" w:line="193" w:lineRule="exact"/>
              <w:rPr>
                <w:sz w:val="20"/>
                <w:szCs w:val="20"/>
                <w:color w:val="auto"/>
              </w:rPr>
            </w:pPr>
            <w:r>
              <w:rPr>
                <w:rFonts w:ascii="Calibri" w:cs="Calibri" w:eastAsia="Calibri" w:hAnsi="Calibri"/>
                <w:sz w:val="16"/>
                <w:szCs w:val="16"/>
                <w:color w:val="auto"/>
                <w:w w:val="97"/>
              </w:rPr>
              <w:t>$</w:t>
            </w: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2,753,164</w:t>
            </w:r>
          </w:p>
        </w:tc>
        <w:tc>
          <w:tcPr>
            <w:tcW w:w="100" w:type="dxa"/>
            <w:vAlign w:val="bottom"/>
          </w:tcPr>
          <w:p>
            <w:pPr>
              <w:spacing w:after="0"/>
              <w:rPr>
                <w:sz w:val="16"/>
                <w:szCs w:val="16"/>
                <w:color w:val="auto"/>
              </w:rPr>
            </w:pPr>
          </w:p>
        </w:tc>
        <w:tc>
          <w:tcPr>
            <w:tcW w:w="400" w:type="dxa"/>
            <w:vAlign w:val="bottom"/>
          </w:tcPr>
          <w:p>
            <w:pPr>
              <w:jc w:val="right"/>
              <w:ind w:right="21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2,074,610</w:t>
            </w:r>
          </w:p>
        </w:tc>
        <w:tc>
          <w:tcPr>
            <w:tcW w:w="0" w:type="dxa"/>
            <w:vAlign w:val="bottom"/>
          </w:tcPr>
          <w:p>
            <w:pPr>
              <w:spacing w:after="0"/>
              <w:rPr>
                <w:sz w:val="1"/>
                <w:szCs w:val="1"/>
                <w:color w:val="auto"/>
              </w:rPr>
            </w:pPr>
          </w:p>
        </w:tc>
      </w:tr>
      <w:tr>
        <w:trPr>
          <w:trHeight w:val="23"/>
        </w:trPr>
        <w:tc>
          <w:tcPr>
            <w:tcW w:w="3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Professional services</w:t>
            </w:r>
          </w:p>
        </w:tc>
        <w:tc>
          <w:tcPr>
            <w:tcW w:w="4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47,443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52,551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141,922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135,610</w:t>
            </w:r>
          </w:p>
        </w:tc>
        <w:tc>
          <w:tcPr>
            <w:tcW w:w="0" w:type="dxa"/>
            <w:vAlign w:val="bottom"/>
          </w:tcPr>
          <w:p>
            <w:pPr>
              <w:spacing w:after="0"/>
              <w:rPr>
                <w:sz w:val="1"/>
                <w:szCs w:val="1"/>
                <w:color w:val="auto"/>
              </w:rPr>
            </w:pPr>
          </w:p>
        </w:tc>
      </w:tr>
      <w:tr>
        <w:trPr>
          <w:trHeight w:val="187"/>
        </w:trPr>
        <w:tc>
          <w:tcPr>
            <w:tcW w:w="3940" w:type="dxa"/>
            <w:vAlign w:val="bottom"/>
          </w:tcPr>
          <w:p>
            <w:pPr>
              <w:ind w:left="220"/>
              <w:spacing w:after="0" w:line="182" w:lineRule="exact"/>
              <w:rPr>
                <w:sz w:val="20"/>
                <w:szCs w:val="20"/>
                <w:color w:val="auto"/>
              </w:rPr>
            </w:pPr>
            <w:r>
              <w:rPr>
                <w:rFonts w:ascii="Calibri" w:cs="Calibri" w:eastAsia="Calibri" w:hAnsi="Calibri"/>
                <w:sz w:val="16"/>
                <w:szCs w:val="16"/>
                <w:color w:val="auto"/>
              </w:rPr>
              <w:t>Total revenue</w:t>
            </w:r>
          </w:p>
        </w:tc>
        <w:tc>
          <w:tcPr>
            <w:tcW w:w="4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1,010,178</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786,014</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2,895,086</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2,210,220</w:t>
            </w:r>
          </w:p>
        </w:tc>
        <w:tc>
          <w:tcPr>
            <w:tcW w:w="0" w:type="dxa"/>
            <w:vAlign w:val="bottom"/>
          </w:tcPr>
          <w:p>
            <w:pPr>
              <w:spacing w:after="0"/>
              <w:rPr>
                <w:sz w:val="1"/>
                <w:szCs w:val="1"/>
                <w:color w:val="auto"/>
              </w:rPr>
            </w:pPr>
          </w:p>
        </w:tc>
      </w:tr>
      <w:tr>
        <w:trPr>
          <w:trHeight w:val="23"/>
        </w:trPr>
        <w:tc>
          <w:tcPr>
            <w:tcW w:w="3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94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Cost of revenue</w:t>
            </w: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40"/>
              <w:spacing w:after="0" w:line="216" w:lineRule="exact"/>
              <w:rPr>
                <w:sz w:val="20"/>
                <w:szCs w:val="20"/>
                <w:color w:val="auto"/>
              </w:rPr>
            </w:pPr>
            <w:r>
              <w:rPr>
                <w:rFonts w:ascii="Calibri" w:cs="Calibri" w:eastAsia="Calibri" w:hAnsi="Calibri"/>
                <w:sz w:val="16"/>
                <w:szCs w:val="16"/>
                <w:color w:val="auto"/>
              </w:rPr>
              <w:t xml:space="preserve">Subscripton </w:t>
            </w:r>
            <w:r>
              <w:rPr>
                <w:rFonts w:ascii="Calibri" w:cs="Calibri" w:eastAsia="Calibri" w:hAnsi="Calibri"/>
                <w:sz w:val="21"/>
                <w:szCs w:val="21"/>
                <w:color w:val="auto"/>
                <w:vertAlign w:val="superscript"/>
              </w:rPr>
              <w:t>(1)(2)</w:t>
            </w:r>
          </w:p>
        </w:tc>
        <w:tc>
          <w:tcPr>
            <w:tcW w:w="400" w:type="dxa"/>
            <w:vAlign w:val="bottom"/>
          </w:tcPr>
          <w:p>
            <w:pPr>
              <w:spacing w:after="0"/>
              <w:rPr>
                <w:sz w:val="18"/>
                <w:szCs w:val="18"/>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216,301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159,830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605,868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455,236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line="216" w:lineRule="exact"/>
              <w:rPr>
                <w:sz w:val="20"/>
                <w:szCs w:val="20"/>
                <w:color w:val="auto"/>
              </w:rPr>
            </w:pPr>
            <w:r>
              <w:rPr>
                <w:rFonts w:ascii="Calibri" w:cs="Calibri" w:eastAsia="Calibri" w:hAnsi="Calibri"/>
                <w:sz w:val="16"/>
                <w:szCs w:val="16"/>
                <w:color w:val="auto"/>
              </w:rPr>
              <w:t xml:space="preserve">Professional services </w:t>
            </w:r>
            <w:r>
              <w:rPr>
                <w:rFonts w:ascii="Calibri" w:cs="Calibri" w:eastAsia="Calibri" w:hAnsi="Calibri"/>
                <w:sz w:val="21"/>
                <w:szCs w:val="21"/>
                <w:color w:val="auto"/>
                <w:vertAlign w:val="superscript"/>
              </w:rPr>
              <w:t>(1)</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38,786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35,174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111,623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91,915</w:t>
            </w:r>
          </w:p>
        </w:tc>
        <w:tc>
          <w:tcPr>
            <w:tcW w:w="0" w:type="dxa"/>
            <w:vAlign w:val="bottom"/>
          </w:tcPr>
          <w:p>
            <w:pPr>
              <w:spacing w:after="0"/>
              <w:rPr>
                <w:sz w:val="1"/>
                <w:szCs w:val="1"/>
                <w:color w:val="auto"/>
              </w:rPr>
            </w:pPr>
          </w:p>
        </w:tc>
      </w:tr>
      <w:tr>
        <w:trPr>
          <w:trHeight w:val="187"/>
        </w:trPr>
        <w:tc>
          <w:tcPr>
            <w:tcW w:w="3940" w:type="dxa"/>
            <w:vAlign w:val="bottom"/>
          </w:tcPr>
          <w:p>
            <w:pPr>
              <w:ind w:left="220"/>
              <w:spacing w:after="0" w:line="182" w:lineRule="exact"/>
              <w:rPr>
                <w:sz w:val="20"/>
                <w:szCs w:val="20"/>
                <w:color w:val="auto"/>
              </w:rPr>
            </w:pPr>
            <w:r>
              <w:rPr>
                <w:rFonts w:ascii="Calibri" w:cs="Calibri" w:eastAsia="Calibri" w:hAnsi="Calibri"/>
                <w:sz w:val="16"/>
                <w:szCs w:val="16"/>
                <w:color w:val="auto"/>
              </w:rPr>
              <w:t>Total cost of revenue</w:t>
            </w:r>
          </w:p>
        </w:tc>
        <w:tc>
          <w:tcPr>
            <w:tcW w:w="400" w:type="dxa"/>
            <w:vAlign w:val="bottom"/>
          </w:tcPr>
          <w:p>
            <w:pPr>
              <w:spacing w:after="0"/>
              <w:rPr>
                <w:sz w:val="16"/>
                <w:szCs w:val="16"/>
                <w:color w:val="auto"/>
              </w:rPr>
            </w:pPr>
          </w:p>
        </w:tc>
        <w:tc>
          <w:tcPr>
            <w:tcW w:w="1360" w:type="dxa"/>
            <w:vAlign w:val="bottom"/>
          </w:tcPr>
          <w:p>
            <w:pPr>
              <w:jc w:val="right"/>
              <w:spacing w:after="0" w:line="187" w:lineRule="exact"/>
              <w:rPr>
                <w:sz w:val="20"/>
                <w:szCs w:val="20"/>
                <w:color w:val="auto"/>
              </w:rPr>
            </w:pPr>
            <w:r>
              <w:rPr>
                <w:rFonts w:ascii="Calibri" w:cs="Calibri" w:eastAsia="Calibri" w:hAnsi="Calibri"/>
                <w:sz w:val="16"/>
                <w:szCs w:val="16"/>
                <w:color w:val="auto"/>
              </w:rPr>
              <w:t>255,087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87" w:lineRule="exact"/>
              <w:rPr>
                <w:sz w:val="20"/>
                <w:szCs w:val="20"/>
                <w:color w:val="auto"/>
              </w:rPr>
            </w:pPr>
            <w:r>
              <w:rPr>
                <w:rFonts w:ascii="Calibri" w:cs="Calibri" w:eastAsia="Calibri" w:hAnsi="Calibri"/>
                <w:sz w:val="16"/>
                <w:szCs w:val="16"/>
                <w:color w:val="auto"/>
              </w:rPr>
              <w:t>195,004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87" w:lineRule="exact"/>
              <w:rPr>
                <w:sz w:val="20"/>
                <w:szCs w:val="20"/>
                <w:color w:val="auto"/>
              </w:rPr>
            </w:pPr>
            <w:r>
              <w:rPr>
                <w:rFonts w:ascii="Calibri" w:cs="Calibri" w:eastAsia="Calibri" w:hAnsi="Calibri"/>
                <w:sz w:val="16"/>
                <w:szCs w:val="16"/>
                <w:color w:val="auto"/>
              </w:rPr>
              <w:t>717,491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line="187" w:lineRule="exact"/>
              <w:rPr>
                <w:sz w:val="20"/>
                <w:szCs w:val="20"/>
                <w:color w:val="auto"/>
              </w:rPr>
            </w:pPr>
            <w:r>
              <w:rPr>
                <w:rFonts w:ascii="Calibri" w:cs="Calibri" w:eastAsia="Calibri" w:hAnsi="Calibri"/>
                <w:sz w:val="16"/>
                <w:szCs w:val="16"/>
                <w:color w:val="auto"/>
              </w:rPr>
              <w:t>547,151</w:t>
            </w:r>
          </w:p>
        </w:tc>
        <w:tc>
          <w:tcPr>
            <w:tcW w:w="0" w:type="dxa"/>
            <w:vAlign w:val="bottom"/>
          </w:tcPr>
          <w:p>
            <w:pPr>
              <w:spacing w:after="0"/>
              <w:rPr>
                <w:sz w:val="1"/>
                <w:szCs w:val="1"/>
                <w:color w:val="auto"/>
              </w:rPr>
            </w:pPr>
          </w:p>
        </w:tc>
      </w:tr>
      <w:tr>
        <w:trPr>
          <w:trHeight w:val="23"/>
        </w:trPr>
        <w:tc>
          <w:tcPr>
            <w:tcW w:w="3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3940" w:type="dxa"/>
            <w:vAlign w:val="bottom"/>
          </w:tcPr>
          <w:p>
            <w:pPr>
              <w:ind w:left="20"/>
              <w:spacing w:after="0" w:line="193" w:lineRule="exact"/>
              <w:rPr>
                <w:sz w:val="20"/>
                <w:szCs w:val="20"/>
                <w:color w:val="auto"/>
              </w:rPr>
            </w:pPr>
            <w:r>
              <w:rPr>
                <w:rFonts w:ascii="Calibri" w:cs="Calibri" w:eastAsia="Calibri" w:hAnsi="Calibri"/>
                <w:sz w:val="16"/>
                <w:szCs w:val="16"/>
                <w:color w:val="auto"/>
              </w:rPr>
              <w:t>Gross proft</w:t>
            </w:r>
          </w:p>
        </w:tc>
        <w:tc>
          <w:tcPr>
            <w:tcW w:w="40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755,091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591,010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2,177,595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1,663,069</w:t>
            </w:r>
          </w:p>
        </w:tc>
        <w:tc>
          <w:tcPr>
            <w:tcW w:w="0" w:type="dxa"/>
            <w:vAlign w:val="bottom"/>
          </w:tcPr>
          <w:p>
            <w:pPr>
              <w:spacing w:after="0"/>
              <w:rPr>
                <w:sz w:val="1"/>
                <w:szCs w:val="1"/>
                <w:color w:val="auto"/>
              </w:rPr>
            </w:pPr>
          </w:p>
        </w:tc>
      </w:tr>
      <w:tr>
        <w:trPr>
          <w:trHeight w:val="23"/>
        </w:trPr>
        <w:tc>
          <w:tcPr>
            <w:tcW w:w="3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3940" w:type="dxa"/>
            <w:vAlign w:val="bottom"/>
          </w:tcPr>
          <w:p>
            <w:pPr>
              <w:ind w:left="20"/>
              <w:spacing w:after="0" w:line="193" w:lineRule="exact"/>
              <w:rPr>
                <w:sz w:val="20"/>
                <w:szCs w:val="20"/>
                <w:color w:val="auto"/>
              </w:rPr>
            </w:pPr>
            <w:r>
              <w:rPr>
                <w:rFonts w:ascii="Calibri" w:cs="Calibri" w:eastAsia="Calibri" w:hAnsi="Calibri"/>
                <w:sz w:val="16"/>
                <w:szCs w:val="16"/>
                <w:color w:val="auto"/>
              </w:rPr>
              <w:t>Operatng expenses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140"/>
              <w:spacing w:after="0" w:line="216" w:lineRule="exact"/>
              <w:rPr>
                <w:sz w:val="20"/>
                <w:szCs w:val="20"/>
                <w:color w:val="auto"/>
              </w:rPr>
            </w:pPr>
            <w:r>
              <w:rPr>
                <w:rFonts w:ascii="Calibri" w:cs="Calibri" w:eastAsia="Calibri" w:hAnsi="Calibri"/>
                <w:sz w:val="16"/>
                <w:szCs w:val="16"/>
                <w:color w:val="auto"/>
              </w:rPr>
              <w:t xml:space="preserve">Sales and marketng </w:t>
            </w:r>
            <w:r>
              <w:rPr>
                <w:rFonts w:ascii="Calibri" w:cs="Calibri" w:eastAsia="Calibri" w:hAnsi="Calibri"/>
                <w:sz w:val="21"/>
                <w:szCs w:val="21"/>
                <w:color w:val="auto"/>
                <w:vertAlign w:val="superscript"/>
              </w:rPr>
              <w:t>(1)(2)(4)(6)</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408,267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286,186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1,113,852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850,209</w:t>
            </w:r>
          </w:p>
        </w:tc>
        <w:tc>
          <w:tcPr>
            <w:tcW w:w="0" w:type="dxa"/>
            <w:vAlign w:val="bottom"/>
          </w:tcPr>
          <w:p>
            <w:pPr>
              <w:spacing w:after="0"/>
              <w:rPr>
                <w:sz w:val="1"/>
                <w:szCs w:val="1"/>
                <w:color w:val="auto"/>
              </w:rPr>
            </w:pPr>
          </w:p>
        </w:tc>
      </w:tr>
      <w:tr>
        <w:trPr>
          <w:trHeight w:val="216"/>
        </w:trPr>
        <w:tc>
          <w:tcPr>
            <w:tcW w:w="3940" w:type="dxa"/>
            <w:vAlign w:val="bottom"/>
          </w:tcPr>
          <w:p>
            <w:pPr>
              <w:ind w:left="140"/>
              <w:spacing w:after="0" w:line="216" w:lineRule="exact"/>
              <w:rPr>
                <w:sz w:val="20"/>
                <w:szCs w:val="20"/>
                <w:color w:val="auto"/>
              </w:rPr>
            </w:pPr>
            <w:r>
              <w:rPr>
                <w:rFonts w:ascii="Calibri" w:cs="Calibri" w:eastAsia="Calibri" w:hAnsi="Calibri"/>
                <w:sz w:val="16"/>
                <w:szCs w:val="16"/>
                <w:color w:val="auto"/>
              </w:rPr>
              <w:t xml:space="preserve">Research and development </w:t>
            </w:r>
            <w:r>
              <w:rPr>
                <w:rFonts w:ascii="Calibri" w:cs="Calibri" w:eastAsia="Calibri" w:hAnsi="Calibri"/>
                <w:sz w:val="21"/>
                <w:szCs w:val="21"/>
                <w:color w:val="auto"/>
                <w:vertAlign w:val="superscript"/>
              </w:rPr>
              <w:t>(1)(2)(3)(4)(6)</w:t>
            </w:r>
          </w:p>
        </w:tc>
        <w:tc>
          <w:tcPr>
            <w:tcW w:w="400" w:type="dxa"/>
            <w:vAlign w:val="bottom"/>
          </w:tcPr>
          <w:p>
            <w:pPr>
              <w:spacing w:after="0"/>
              <w:rPr>
                <w:sz w:val="18"/>
                <w:szCs w:val="18"/>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275,602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196,072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761,759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554,499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line="216" w:lineRule="exact"/>
              <w:rPr>
                <w:sz w:val="20"/>
                <w:szCs w:val="20"/>
                <w:color w:val="auto"/>
              </w:rPr>
            </w:pPr>
            <w:r>
              <w:rPr>
                <w:rFonts w:ascii="Calibri" w:cs="Calibri" w:eastAsia="Calibri" w:hAnsi="Calibri"/>
                <w:sz w:val="16"/>
                <w:szCs w:val="16"/>
                <w:color w:val="auto"/>
              </w:rPr>
              <w:t xml:space="preserve">General and administratve </w:t>
            </w:r>
            <w:r>
              <w:rPr>
                <w:rFonts w:ascii="Calibri" w:cs="Calibri" w:eastAsia="Calibri" w:hAnsi="Calibri"/>
                <w:sz w:val="21"/>
                <w:szCs w:val="21"/>
                <w:color w:val="auto"/>
                <w:vertAlign w:val="superscript"/>
              </w:rPr>
              <w:t>(1)(2)(3)(4)(5)(6)</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126,945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105,589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337,113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290,027</w:t>
            </w:r>
          </w:p>
        </w:tc>
        <w:tc>
          <w:tcPr>
            <w:tcW w:w="0" w:type="dxa"/>
            <w:vAlign w:val="bottom"/>
          </w:tcPr>
          <w:p>
            <w:pPr>
              <w:spacing w:after="0"/>
              <w:rPr>
                <w:sz w:val="1"/>
                <w:szCs w:val="1"/>
                <w:color w:val="auto"/>
              </w:rPr>
            </w:pPr>
          </w:p>
        </w:tc>
      </w:tr>
      <w:tr>
        <w:trPr>
          <w:trHeight w:val="187"/>
        </w:trPr>
        <w:tc>
          <w:tcPr>
            <w:tcW w:w="3940" w:type="dxa"/>
            <w:vAlign w:val="bottom"/>
          </w:tcPr>
          <w:p>
            <w:pPr>
              <w:ind w:left="220"/>
              <w:spacing w:after="0" w:line="182" w:lineRule="exact"/>
              <w:rPr>
                <w:sz w:val="20"/>
                <w:szCs w:val="20"/>
                <w:color w:val="auto"/>
              </w:rPr>
            </w:pPr>
            <w:r>
              <w:rPr>
                <w:rFonts w:ascii="Calibri" w:cs="Calibri" w:eastAsia="Calibri" w:hAnsi="Calibri"/>
                <w:sz w:val="16"/>
                <w:szCs w:val="16"/>
                <w:color w:val="auto"/>
              </w:rPr>
              <w:t>Total operatng expenses</w:t>
            </w:r>
          </w:p>
        </w:tc>
        <w:tc>
          <w:tcPr>
            <w:tcW w:w="400" w:type="dxa"/>
            <w:vAlign w:val="bottom"/>
          </w:tcPr>
          <w:p>
            <w:pPr>
              <w:spacing w:after="0"/>
              <w:rPr>
                <w:sz w:val="16"/>
                <w:szCs w:val="16"/>
                <w:color w:val="auto"/>
              </w:rPr>
            </w:pPr>
          </w:p>
        </w:tc>
        <w:tc>
          <w:tcPr>
            <w:tcW w:w="1360" w:type="dxa"/>
            <w:vAlign w:val="bottom"/>
          </w:tcPr>
          <w:p>
            <w:pPr>
              <w:jc w:val="right"/>
              <w:spacing w:after="0" w:line="187" w:lineRule="exact"/>
              <w:rPr>
                <w:sz w:val="20"/>
                <w:szCs w:val="20"/>
                <w:color w:val="auto"/>
              </w:rPr>
            </w:pPr>
            <w:r>
              <w:rPr>
                <w:rFonts w:ascii="Calibri" w:cs="Calibri" w:eastAsia="Calibri" w:hAnsi="Calibri"/>
                <w:sz w:val="16"/>
                <w:szCs w:val="16"/>
                <w:color w:val="auto"/>
              </w:rPr>
              <w:t>810,814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87" w:lineRule="exact"/>
              <w:rPr>
                <w:sz w:val="20"/>
                <w:szCs w:val="20"/>
                <w:color w:val="auto"/>
              </w:rPr>
            </w:pPr>
            <w:r>
              <w:rPr>
                <w:rFonts w:ascii="Calibri" w:cs="Calibri" w:eastAsia="Calibri" w:hAnsi="Calibri"/>
                <w:sz w:val="16"/>
                <w:szCs w:val="16"/>
                <w:color w:val="auto"/>
              </w:rPr>
              <w:t>587,847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87" w:lineRule="exact"/>
              <w:rPr>
                <w:sz w:val="20"/>
                <w:szCs w:val="20"/>
                <w:color w:val="auto"/>
              </w:rPr>
            </w:pPr>
            <w:r>
              <w:rPr>
                <w:rFonts w:ascii="Calibri" w:cs="Calibri" w:eastAsia="Calibri" w:hAnsi="Calibri"/>
                <w:sz w:val="16"/>
                <w:szCs w:val="16"/>
                <w:color w:val="auto"/>
              </w:rPr>
              <w:t>2,212,724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line="187" w:lineRule="exact"/>
              <w:rPr>
                <w:sz w:val="20"/>
                <w:szCs w:val="20"/>
                <w:color w:val="auto"/>
              </w:rPr>
            </w:pPr>
            <w:r>
              <w:rPr>
                <w:rFonts w:ascii="Calibri" w:cs="Calibri" w:eastAsia="Calibri" w:hAnsi="Calibri"/>
                <w:sz w:val="16"/>
                <w:szCs w:val="16"/>
                <w:color w:val="auto"/>
              </w:rPr>
              <w:t>1,694,735</w:t>
            </w:r>
          </w:p>
        </w:tc>
        <w:tc>
          <w:tcPr>
            <w:tcW w:w="0" w:type="dxa"/>
            <w:vAlign w:val="bottom"/>
          </w:tcPr>
          <w:p>
            <w:pPr>
              <w:spacing w:after="0"/>
              <w:rPr>
                <w:sz w:val="1"/>
                <w:szCs w:val="1"/>
                <w:color w:val="auto"/>
              </w:rPr>
            </w:pPr>
          </w:p>
        </w:tc>
      </w:tr>
      <w:tr>
        <w:trPr>
          <w:trHeight w:val="23"/>
        </w:trPr>
        <w:tc>
          <w:tcPr>
            <w:tcW w:w="3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940" w:type="dxa"/>
            <w:vAlign w:val="bottom"/>
          </w:tcPr>
          <w:p>
            <w:pPr>
              <w:ind w:left="20"/>
              <w:spacing w:after="0" w:line="193" w:lineRule="exact"/>
              <w:rPr>
                <w:sz w:val="20"/>
                <w:szCs w:val="20"/>
                <w:color w:val="auto"/>
              </w:rPr>
            </w:pPr>
            <w:r>
              <w:rPr>
                <w:rFonts w:ascii="Calibri" w:cs="Calibri" w:eastAsia="Calibri" w:hAnsi="Calibri"/>
                <w:sz w:val="16"/>
                <w:szCs w:val="16"/>
                <w:color w:val="auto"/>
              </w:rPr>
              <w:t>Income (loss) from operatons</w:t>
            </w:r>
          </w:p>
        </w:tc>
        <w:tc>
          <w:tcPr>
            <w:tcW w:w="40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(55,723)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3,163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(35,129)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(31,666)</w:t>
            </w:r>
          </w:p>
        </w:tc>
        <w:tc>
          <w:tcPr>
            <w:tcW w:w="0" w:type="dxa"/>
            <w:vAlign w:val="bottom"/>
          </w:tcPr>
          <w:p>
            <w:pPr>
              <w:spacing w:after="0"/>
              <w:rPr>
                <w:sz w:val="1"/>
                <w:szCs w:val="1"/>
                <w:color w:val="auto"/>
              </w:rPr>
            </w:pPr>
          </w:p>
        </w:tc>
      </w:tr>
      <w:tr>
        <w:trPr>
          <w:trHeight w:val="23"/>
        </w:trPr>
        <w:tc>
          <w:tcPr>
            <w:tcW w:w="3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140"/>
              <w:spacing w:after="0" w:line="216" w:lineRule="exact"/>
              <w:rPr>
                <w:sz w:val="20"/>
                <w:szCs w:val="20"/>
                <w:color w:val="auto"/>
              </w:rPr>
            </w:pPr>
            <w:r>
              <w:rPr>
                <w:rFonts w:ascii="Calibri" w:cs="Calibri" w:eastAsia="Calibri" w:hAnsi="Calibri"/>
                <w:sz w:val="16"/>
                <w:szCs w:val="16"/>
                <w:color w:val="auto"/>
              </w:rPr>
              <w:t>Interest expense</w:t>
            </w:r>
            <w:r>
              <w:rPr>
                <w:rFonts w:ascii="Calibri" w:cs="Calibri" w:eastAsia="Calibri" w:hAnsi="Calibri"/>
                <w:sz w:val="21"/>
                <w:szCs w:val="21"/>
                <w:color w:val="auto"/>
                <w:vertAlign w:val="superscript"/>
              </w:rPr>
              <w:t>(7)</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(6,587)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(6,503)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(19,647)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(19,334)</w:t>
            </w:r>
          </w:p>
        </w:tc>
        <w:tc>
          <w:tcPr>
            <w:tcW w:w="0" w:type="dxa"/>
            <w:vAlign w:val="bottom"/>
          </w:tcPr>
          <w:p>
            <w:pPr>
              <w:spacing w:after="0"/>
              <w:rPr>
                <w:sz w:val="1"/>
                <w:szCs w:val="1"/>
                <w:color w:val="auto"/>
              </w:rPr>
            </w:pPr>
          </w:p>
        </w:tc>
      </w:tr>
      <w:tr>
        <w:trPr>
          <w:trHeight w:val="193"/>
        </w:trPr>
        <w:tc>
          <w:tcPr>
            <w:tcW w:w="3940" w:type="dxa"/>
            <w:vAlign w:val="bottom"/>
          </w:tcPr>
          <w:p>
            <w:pPr>
              <w:ind w:left="140"/>
              <w:spacing w:after="0" w:line="193" w:lineRule="exact"/>
              <w:rPr>
                <w:sz w:val="20"/>
                <w:szCs w:val="20"/>
                <w:color w:val="auto"/>
              </w:rPr>
            </w:pPr>
            <w:r>
              <w:rPr>
                <w:rFonts w:ascii="Calibri" w:cs="Calibri" w:eastAsia="Calibri" w:hAnsi="Calibri"/>
                <w:sz w:val="16"/>
                <w:szCs w:val="16"/>
                <w:color w:val="auto"/>
              </w:rPr>
              <w:t>Interest income</w:t>
            </w:r>
          </w:p>
        </w:tc>
        <w:tc>
          <w:tcPr>
            <w:tcW w:w="40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52,201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40,086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149,577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107,245</w:t>
            </w:r>
          </w:p>
        </w:tc>
        <w:tc>
          <w:tcPr>
            <w:tcW w:w="0" w:type="dxa"/>
            <w:vAlign w:val="bottom"/>
          </w:tcPr>
          <w:p>
            <w:pPr>
              <w:spacing w:after="0"/>
              <w:rPr>
                <w:sz w:val="1"/>
                <w:szCs w:val="1"/>
                <w:color w:val="auto"/>
              </w:rPr>
            </w:pPr>
          </w:p>
        </w:tc>
      </w:tr>
      <w:tr>
        <w:trPr>
          <w:trHeight w:val="23"/>
        </w:trPr>
        <w:tc>
          <w:tcPr>
            <w:tcW w:w="3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140"/>
              <w:spacing w:after="0" w:line="216" w:lineRule="exact"/>
              <w:rPr>
                <w:sz w:val="20"/>
                <w:szCs w:val="20"/>
                <w:color w:val="auto"/>
              </w:rPr>
            </w:pPr>
            <w:r>
              <w:rPr>
                <w:rFonts w:ascii="Calibri" w:cs="Calibri" w:eastAsia="Calibri" w:hAnsi="Calibri"/>
                <w:sz w:val="16"/>
                <w:szCs w:val="16"/>
                <w:color w:val="auto"/>
              </w:rPr>
              <w:t>Other income (expense), net</w:t>
            </w:r>
            <w:r>
              <w:rPr>
                <w:rFonts w:ascii="Calibri" w:cs="Calibri" w:eastAsia="Calibri" w:hAnsi="Calibri"/>
                <w:sz w:val="21"/>
                <w:szCs w:val="21"/>
                <w:color w:val="auto"/>
                <w:vertAlign w:val="superscript"/>
              </w:rPr>
              <w:t>(8)(9)</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(429)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(474)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6,196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(1,978)</w:t>
            </w:r>
          </w:p>
        </w:tc>
        <w:tc>
          <w:tcPr>
            <w:tcW w:w="0" w:type="dxa"/>
            <w:vAlign w:val="bottom"/>
          </w:tcPr>
          <w:p>
            <w:pPr>
              <w:spacing w:after="0"/>
              <w:rPr>
                <w:sz w:val="1"/>
                <w:szCs w:val="1"/>
                <w:color w:val="auto"/>
              </w:rPr>
            </w:pPr>
          </w:p>
        </w:tc>
      </w:tr>
      <w:tr>
        <w:trPr>
          <w:trHeight w:val="187"/>
        </w:trPr>
        <w:tc>
          <w:tcPr>
            <w:tcW w:w="3940" w:type="dxa"/>
            <w:vAlign w:val="bottom"/>
          </w:tcPr>
          <w:p>
            <w:pPr>
              <w:ind w:left="20"/>
              <w:spacing w:after="0" w:line="182" w:lineRule="exact"/>
              <w:rPr>
                <w:sz w:val="20"/>
                <w:szCs w:val="20"/>
                <w:color w:val="auto"/>
              </w:rPr>
            </w:pPr>
            <w:r>
              <w:rPr>
                <w:rFonts w:ascii="Calibri" w:cs="Calibri" w:eastAsia="Calibri" w:hAnsi="Calibri"/>
                <w:sz w:val="16"/>
                <w:szCs w:val="16"/>
                <w:color w:val="auto"/>
              </w:rPr>
              <w:t>Income (loss) before provision for income taxes</w:t>
            </w:r>
          </w:p>
        </w:tc>
        <w:tc>
          <w:tcPr>
            <w:tcW w:w="400" w:type="dxa"/>
            <w:vAlign w:val="bottom"/>
          </w:tcPr>
          <w:p>
            <w:pPr>
              <w:spacing w:after="0"/>
              <w:rPr>
                <w:sz w:val="16"/>
                <w:szCs w:val="16"/>
                <w:color w:val="auto"/>
              </w:rPr>
            </w:pPr>
          </w:p>
        </w:tc>
        <w:tc>
          <w:tcPr>
            <w:tcW w:w="1360" w:type="dxa"/>
            <w:vAlign w:val="bottom"/>
          </w:tcPr>
          <w:p>
            <w:pPr>
              <w:jc w:val="right"/>
              <w:spacing w:after="0" w:line="187" w:lineRule="exact"/>
              <w:rPr>
                <w:sz w:val="20"/>
                <w:szCs w:val="20"/>
                <w:color w:val="auto"/>
              </w:rPr>
            </w:pPr>
            <w:r>
              <w:rPr>
                <w:rFonts w:ascii="Calibri" w:cs="Calibri" w:eastAsia="Calibri" w:hAnsi="Calibri"/>
                <w:sz w:val="16"/>
                <w:szCs w:val="16"/>
                <w:color w:val="auto"/>
              </w:rPr>
              <w:t>(10,538)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87" w:lineRule="exact"/>
              <w:rPr>
                <w:sz w:val="20"/>
                <w:szCs w:val="20"/>
                <w:color w:val="auto"/>
              </w:rPr>
            </w:pPr>
            <w:r>
              <w:rPr>
                <w:rFonts w:ascii="Calibri" w:cs="Calibri" w:eastAsia="Calibri" w:hAnsi="Calibri"/>
                <w:sz w:val="16"/>
                <w:szCs w:val="16"/>
                <w:color w:val="auto"/>
              </w:rPr>
              <w:t>36,272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87" w:lineRule="exact"/>
              <w:rPr>
                <w:sz w:val="20"/>
                <w:szCs w:val="20"/>
                <w:color w:val="auto"/>
              </w:rPr>
            </w:pPr>
            <w:r>
              <w:rPr>
                <w:rFonts w:ascii="Calibri" w:cs="Calibri" w:eastAsia="Calibri" w:hAnsi="Calibri"/>
                <w:sz w:val="16"/>
                <w:szCs w:val="16"/>
                <w:color w:val="auto"/>
              </w:rPr>
              <w:t>100,997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line="187" w:lineRule="exact"/>
              <w:rPr>
                <w:sz w:val="20"/>
                <w:szCs w:val="20"/>
                <w:color w:val="auto"/>
              </w:rPr>
            </w:pPr>
            <w:r>
              <w:rPr>
                <w:rFonts w:ascii="Calibri" w:cs="Calibri" w:eastAsia="Calibri" w:hAnsi="Calibri"/>
                <w:sz w:val="16"/>
                <w:szCs w:val="16"/>
                <w:color w:val="auto"/>
              </w:rPr>
              <w:t>54,267</w:t>
            </w:r>
          </w:p>
        </w:tc>
        <w:tc>
          <w:tcPr>
            <w:tcW w:w="0" w:type="dxa"/>
            <w:vAlign w:val="bottom"/>
          </w:tcPr>
          <w:p>
            <w:pPr>
              <w:spacing w:after="0"/>
              <w:rPr>
                <w:sz w:val="1"/>
                <w:szCs w:val="1"/>
                <w:color w:val="auto"/>
              </w:rPr>
            </w:pPr>
          </w:p>
        </w:tc>
      </w:tr>
      <w:tr>
        <w:trPr>
          <w:trHeight w:val="23"/>
        </w:trPr>
        <w:tc>
          <w:tcPr>
            <w:tcW w:w="3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140"/>
              <w:spacing w:after="0" w:line="216" w:lineRule="exact"/>
              <w:rPr>
                <w:sz w:val="20"/>
                <w:szCs w:val="20"/>
                <w:color w:val="auto"/>
              </w:rPr>
            </w:pPr>
            <w:r>
              <w:rPr>
                <w:rFonts w:ascii="Calibri" w:cs="Calibri" w:eastAsia="Calibri" w:hAnsi="Calibri"/>
                <w:sz w:val="16"/>
                <w:szCs w:val="16"/>
                <w:color w:val="auto"/>
              </w:rPr>
              <w:t>Provision for income taxes</w:t>
            </w:r>
            <w:r>
              <w:rPr>
                <w:rFonts w:ascii="Calibri" w:cs="Calibri" w:eastAsia="Calibri" w:hAnsi="Calibri"/>
                <w:sz w:val="21"/>
                <w:szCs w:val="21"/>
                <w:color w:val="auto"/>
                <w:vertAlign w:val="superscript"/>
              </w:rPr>
              <w:t>(10)</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6,281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9,603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24,862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18,623</w:t>
            </w:r>
          </w:p>
        </w:tc>
        <w:tc>
          <w:tcPr>
            <w:tcW w:w="0" w:type="dxa"/>
            <w:vAlign w:val="bottom"/>
          </w:tcPr>
          <w:p>
            <w:pPr>
              <w:spacing w:after="0"/>
              <w:rPr>
                <w:sz w:val="1"/>
                <w:szCs w:val="1"/>
                <w:color w:val="auto"/>
              </w:rPr>
            </w:pPr>
          </w:p>
        </w:tc>
      </w:tr>
      <w:tr>
        <w:trPr>
          <w:trHeight w:val="187"/>
        </w:trPr>
        <w:tc>
          <w:tcPr>
            <w:tcW w:w="3940" w:type="dxa"/>
            <w:vAlign w:val="bottom"/>
          </w:tcPr>
          <w:p>
            <w:pPr>
              <w:ind w:left="20"/>
              <w:spacing w:after="0" w:line="182" w:lineRule="exact"/>
              <w:rPr>
                <w:sz w:val="20"/>
                <w:szCs w:val="20"/>
                <w:color w:val="auto"/>
              </w:rPr>
            </w:pPr>
            <w:r>
              <w:rPr>
                <w:rFonts w:ascii="Calibri" w:cs="Calibri" w:eastAsia="Calibri" w:hAnsi="Calibri"/>
                <w:sz w:val="16"/>
                <w:szCs w:val="16"/>
                <w:color w:val="auto"/>
              </w:rPr>
              <w:t>Net income (loss)</w:t>
            </w:r>
          </w:p>
        </w:tc>
        <w:tc>
          <w:tcPr>
            <w:tcW w:w="400" w:type="dxa"/>
            <w:vAlign w:val="bottom"/>
          </w:tcPr>
          <w:p>
            <w:pPr>
              <w:spacing w:after="0"/>
              <w:rPr>
                <w:sz w:val="16"/>
                <w:szCs w:val="16"/>
                <w:color w:val="auto"/>
              </w:rPr>
            </w:pPr>
          </w:p>
        </w:tc>
        <w:tc>
          <w:tcPr>
            <w:tcW w:w="1360" w:type="dxa"/>
            <w:vAlign w:val="bottom"/>
          </w:tcPr>
          <w:p>
            <w:pPr>
              <w:jc w:val="right"/>
              <w:spacing w:after="0" w:line="187" w:lineRule="exact"/>
              <w:rPr>
                <w:sz w:val="20"/>
                <w:szCs w:val="20"/>
                <w:color w:val="auto"/>
              </w:rPr>
            </w:pPr>
            <w:r>
              <w:rPr>
                <w:rFonts w:ascii="Calibri" w:cs="Calibri" w:eastAsia="Calibri" w:hAnsi="Calibri"/>
                <w:sz w:val="16"/>
                <w:szCs w:val="16"/>
                <w:color w:val="auto"/>
              </w:rPr>
              <w:t>(16,819)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87" w:lineRule="exact"/>
              <w:rPr>
                <w:sz w:val="20"/>
                <w:szCs w:val="20"/>
                <w:color w:val="auto"/>
              </w:rPr>
            </w:pPr>
            <w:r>
              <w:rPr>
                <w:rFonts w:ascii="Calibri" w:cs="Calibri" w:eastAsia="Calibri" w:hAnsi="Calibri"/>
                <w:sz w:val="16"/>
                <w:szCs w:val="16"/>
                <w:color w:val="auto"/>
              </w:rPr>
              <w:t>26,669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87" w:lineRule="exact"/>
              <w:rPr>
                <w:sz w:val="20"/>
                <w:szCs w:val="20"/>
                <w:color w:val="auto"/>
              </w:rPr>
            </w:pPr>
            <w:r>
              <w:rPr>
                <w:rFonts w:ascii="Calibri" w:cs="Calibri" w:eastAsia="Calibri" w:hAnsi="Calibri"/>
                <w:sz w:val="16"/>
                <w:szCs w:val="16"/>
                <w:color w:val="auto"/>
              </w:rPr>
              <w:t>76,135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line="187" w:lineRule="exact"/>
              <w:rPr>
                <w:sz w:val="20"/>
                <w:szCs w:val="20"/>
                <w:color w:val="auto"/>
              </w:rPr>
            </w:pPr>
            <w:r>
              <w:rPr>
                <w:rFonts w:ascii="Calibri" w:cs="Calibri" w:eastAsia="Calibri" w:hAnsi="Calibri"/>
                <w:sz w:val="16"/>
                <w:szCs w:val="16"/>
                <w:color w:val="auto"/>
              </w:rPr>
              <w:t>35,644</w:t>
            </w: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Net income atributable to non-controlling interest</w:t>
            </w:r>
          </w:p>
        </w:tc>
        <w:tc>
          <w:tcPr>
            <w:tcW w:w="4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3,124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w:t>
            </w:r>
          </w:p>
        </w:tc>
        <w:tc>
          <w:tcPr>
            <w:tcW w:w="0" w:type="dxa"/>
            <w:vAlign w:val="bottom"/>
          </w:tcPr>
          <w:p>
            <w:pPr>
              <w:spacing w:after="0"/>
              <w:rPr>
                <w:sz w:val="1"/>
                <w:szCs w:val="1"/>
                <w:color w:val="auto"/>
              </w:rPr>
            </w:pPr>
          </w:p>
        </w:tc>
      </w:tr>
      <w:tr>
        <w:trPr>
          <w:trHeight w:val="187"/>
        </w:trPr>
        <w:tc>
          <w:tcPr>
            <w:tcW w:w="3940" w:type="dxa"/>
            <w:vAlign w:val="bottom"/>
          </w:tcPr>
          <w:p>
            <w:pPr>
              <w:ind w:left="20"/>
              <w:spacing w:after="0" w:line="182" w:lineRule="exact"/>
              <w:rPr>
                <w:sz w:val="20"/>
                <w:szCs w:val="20"/>
                <w:color w:val="auto"/>
              </w:rPr>
            </w:pPr>
            <w:r>
              <w:rPr>
                <w:rFonts w:ascii="Calibri" w:cs="Calibri" w:eastAsia="Calibri" w:hAnsi="Calibri"/>
                <w:sz w:val="16"/>
                <w:szCs w:val="16"/>
                <w:color w:val="auto"/>
              </w:rPr>
              <w:t>Net income (loss) atributable to CrowdStrike</w:t>
            </w:r>
          </w:p>
        </w:tc>
        <w:tc>
          <w:tcPr>
            <w:tcW w:w="400" w:type="dxa"/>
            <w:vAlign w:val="bottom"/>
            <w:tcBorders>
              <w:top w:val="single" w:sz="8" w:color="auto"/>
            </w:tcBorders>
          </w:tcPr>
          <w:p>
            <w:pPr>
              <w:jc w:val="right"/>
              <w:ind w:right="199"/>
              <w:spacing w:after="0" w:line="187" w:lineRule="exact"/>
              <w:rPr>
                <w:sz w:val="20"/>
                <w:szCs w:val="20"/>
                <w:color w:val="auto"/>
              </w:rPr>
            </w:pPr>
            <w:r>
              <w:rPr>
                <w:rFonts w:ascii="Calibri" w:cs="Calibri" w:eastAsia="Calibri" w:hAnsi="Calibri"/>
                <w:sz w:val="16"/>
                <w:szCs w:val="16"/>
                <w:color w:val="auto"/>
              </w:rPr>
              <w:t>$</w:t>
            </w: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(16,822)</w:t>
            </w:r>
          </w:p>
        </w:tc>
        <w:tc>
          <w:tcPr>
            <w:tcW w:w="100" w:type="dxa"/>
            <w:vAlign w:val="bottom"/>
          </w:tcPr>
          <w:p>
            <w:pPr>
              <w:spacing w:after="0"/>
              <w:rPr>
                <w:sz w:val="16"/>
                <w:szCs w:val="16"/>
                <w:color w:val="auto"/>
              </w:rPr>
            </w:pPr>
          </w:p>
        </w:tc>
        <w:tc>
          <w:tcPr>
            <w:tcW w:w="400" w:type="dxa"/>
            <w:vAlign w:val="bottom"/>
            <w:tcBorders>
              <w:top w:val="single" w:sz="8" w:color="auto"/>
            </w:tcBorders>
          </w:tcPr>
          <w:p>
            <w:pPr>
              <w:jc w:val="right"/>
              <w:ind w:right="21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26,665</w:t>
            </w:r>
          </w:p>
        </w:tc>
        <w:tc>
          <w:tcPr>
            <w:tcW w:w="100" w:type="dxa"/>
            <w:vAlign w:val="bottom"/>
          </w:tcPr>
          <w:p>
            <w:pPr>
              <w:spacing w:after="0"/>
              <w:rPr>
                <w:sz w:val="16"/>
                <w:szCs w:val="16"/>
                <w:color w:val="auto"/>
              </w:rPr>
            </w:pPr>
          </w:p>
        </w:tc>
        <w:tc>
          <w:tcPr>
            <w:tcW w:w="400" w:type="dxa"/>
            <w:vAlign w:val="bottom"/>
            <w:tcBorders>
              <w:top w:val="single" w:sz="8" w:color="auto"/>
            </w:tcBorders>
          </w:tcPr>
          <w:p>
            <w:pPr>
              <w:jc w:val="right"/>
              <w:ind w:right="21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73,011</w:t>
            </w:r>
          </w:p>
        </w:tc>
        <w:tc>
          <w:tcPr>
            <w:tcW w:w="100" w:type="dxa"/>
            <w:vAlign w:val="bottom"/>
          </w:tcPr>
          <w:p>
            <w:pPr>
              <w:spacing w:after="0"/>
              <w:rPr>
                <w:sz w:val="16"/>
                <w:szCs w:val="16"/>
                <w:color w:val="auto"/>
              </w:rPr>
            </w:pPr>
          </w:p>
        </w:tc>
        <w:tc>
          <w:tcPr>
            <w:tcW w:w="400" w:type="dxa"/>
            <w:vAlign w:val="bottom"/>
            <w:tcBorders>
              <w:top w:val="single" w:sz="8" w:color="auto"/>
            </w:tcBorders>
          </w:tcPr>
          <w:p>
            <w:pPr>
              <w:jc w:val="right"/>
              <w:ind w:right="219"/>
              <w:spacing w:after="0" w:line="187" w:lineRule="exact"/>
              <w:rPr>
                <w:sz w:val="20"/>
                <w:szCs w:val="20"/>
                <w:color w:val="auto"/>
              </w:rPr>
            </w:pPr>
            <w:r>
              <w:rPr>
                <w:rFonts w:ascii="Calibri" w:cs="Calibri" w:eastAsia="Calibri" w:hAnsi="Calibri"/>
                <w:sz w:val="16"/>
                <w:szCs w:val="16"/>
                <w:color w:val="auto"/>
                <w:w w:val="97"/>
              </w:rPr>
              <w:t>$</w:t>
            </w: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35,628</w:t>
            </w:r>
          </w:p>
        </w:tc>
        <w:tc>
          <w:tcPr>
            <w:tcW w:w="0" w:type="dxa"/>
            <w:vAlign w:val="bottom"/>
          </w:tcPr>
          <w:p>
            <w:pPr>
              <w:spacing w:after="0"/>
              <w:rPr>
                <w:sz w:val="1"/>
                <w:szCs w:val="1"/>
                <w:color w:val="auto"/>
              </w:rPr>
            </w:pPr>
          </w:p>
        </w:tc>
      </w:tr>
      <w:tr>
        <w:trPr>
          <w:trHeight w:val="23"/>
        </w:trPr>
        <w:tc>
          <w:tcPr>
            <w:tcW w:w="3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940" w:type="dxa"/>
            <w:vAlign w:val="bottom"/>
            <w:shd w:val="clear" w:color="auto" w:fill="CCEEFF"/>
          </w:tcPr>
          <w:p>
            <w:pPr>
              <w:ind w:left="20"/>
              <w:spacing w:after="0" w:line="124" w:lineRule="exact"/>
              <w:rPr>
                <w:sz w:val="20"/>
                <w:szCs w:val="20"/>
                <w:color w:val="auto"/>
              </w:rPr>
            </w:pPr>
            <w:r>
              <w:rPr>
                <w:rFonts w:ascii="Calibri" w:cs="Calibri" w:eastAsia="Calibri" w:hAnsi="Calibri"/>
                <w:sz w:val="13"/>
                <w:szCs w:val="13"/>
                <w:color w:val="auto"/>
              </w:rPr>
              <w:t>Net income (loss) per share atributable to CrowdStrike</w:t>
            </w:r>
          </w:p>
        </w:tc>
        <w:tc>
          <w:tcPr>
            <w:tcW w:w="4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39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common stockholders:</w:t>
            </w:r>
          </w:p>
        </w:tc>
        <w:tc>
          <w:tcPr>
            <w:tcW w:w="4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40"/>
              <w:spacing w:after="0"/>
              <w:rPr>
                <w:sz w:val="20"/>
                <w:szCs w:val="20"/>
                <w:color w:val="auto"/>
              </w:rPr>
            </w:pPr>
            <w:r>
              <w:rPr>
                <w:rFonts w:ascii="Calibri" w:cs="Calibri" w:eastAsia="Calibri" w:hAnsi="Calibri"/>
                <w:sz w:val="16"/>
                <w:szCs w:val="16"/>
                <w:color w:val="auto"/>
              </w:rPr>
              <w:t>Basic</w:t>
            </w:r>
          </w:p>
        </w:tc>
        <w:tc>
          <w:tcPr>
            <w:tcW w:w="400" w:type="dxa"/>
            <w:vAlign w:val="bottom"/>
            <w:tcBorders>
              <w:bottom w:val="single" w:sz="8" w:color="auto"/>
            </w:tcBorders>
          </w:tcPr>
          <w:p>
            <w:pPr>
              <w:jc w:val="right"/>
              <w:ind w:right="199"/>
              <w:spacing w:after="0" w:line="193" w:lineRule="exact"/>
              <w:rPr>
                <w:sz w:val="20"/>
                <w:szCs w:val="20"/>
                <w:color w:val="auto"/>
              </w:rPr>
            </w:pPr>
            <w:r>
              <w:rPr>
                <w:rFonts w:ascii="Calibri" w:cs="Calibri" w:eastAsia="Calibri" w:hAnsi="Calibri"/>
                <w:sz w:val="16"/>
                <w:szCs w:val="16"/>
                <w:color w:val="auto"/>
              </w:rPr>
              <w:t>$</w:t>
            </w:r>
          </w:p>
        </w:tc>
        <w:tc>
          <w:tcPr>
            <w:tcW w:w="13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(0.07)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line="193"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0.11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line="193"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0.30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0.15</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94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6"/>
                <w:szCs w:val="16"/>
                <w:color w:val="auto"/>
              </w:rPr>
              <w:t>Diluted</w:t>
            </w:r>
          </w:p>
        </w:tc>
        <w:tc>
          <w:tcPr>
            <w:tcW w:w="400" w:type="dxa"/>
            <w:vAlign w:val="bottom"/>
            <w:tcBorders>
              <w:bottom w:val="single" w:sz="8" w:color="auto"/>
            </w:tcBorders>
            <w:shd w:val="clear" w:color="auto" w:fill="CCEEFF"/>
          </w:tcPr>
          <w:p>
            <w:pPr>
              <w:jc w:val="right"/>
              <w:ind w:right="199"/>
              <w:spacing w:after="0" w:line="193" w:lineRule="exact"/>
              <w:rPr>
                <w:sz w:val="20"/>
                <w:szCs w:val="20"/>
                <w:color w:val="auto"/>
              </w:rPr>
            </w:pPr>
            <w:r>
              <w:rPr>
                <w:rFonts w:ascii="Calibri" w:cs="Calibri" w:eastAsia="Calibri" w:hAnsi="Calibri"/>
                <w:sz w:val="16"/>
                <w:szCs w:val="16"/>
                <w:color w:val="auto"/>
              </w:rPr>
              <w:t>$</w:t>
            </w: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line="193"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line="193"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0.29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0.15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20"/>
              <w:spacing w:after="0" w:line="145" w:lineRule="exact"/>
              <w:rPr>
                <w:sz w:val="20"/>
                <w:szCs w:val="20"/>
                <w:color w:val="auto"/>
              </w:rPr>
            </w:pPr>
            <w:r>
              <w:rPr>
                <w:rFonts w:ascii="Calibri" w:cs="Calibri" w:eastAsia="Calibri" w:hAnsi="Calibri"/>
                <w:sz w:val="15"/>
                <w:szCs w:val="15"/>
                <w:color w:val="auto"/>
              </w:rPr>
              <w:t>Weighted-average shares used in computng net income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9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20"/>
              <w:spacing w:after="0" w:line="162" w:lineRule="exact"/>
              <w:rPr>
                <w:sz w:val="20"/>
                <w:szCs w:val="20"/>
                <w:color w:val="auto"/>
              </w:rPr>
            </w:pPr>
            <w:r>
              <w:rPr>
                <w:rFonts w:ascii="Calibri" w:cs="Calibri" w:eastAsia="Calibri" w:hAnsi="Calibri"/>
                <w:sz w:val="16"/>
                <w:szCs w:val="16"/>
                <w:color w:val="auto"/>
              </w:rPr>
              <w:t>(loss) per share atributable to CrowdStrike common</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40" w:type="dxa"/>
            <w:vAlign w:val="bottom"/>
          </w:tcPr>
          <w:p>
            <w:pPr>
              <w:ind w:left="20"/>
              <w:spacing w:after="0" w:line="193" w:lineRule="exact"/>
              <w:rPr>
                <w:sz w:val="20"/>
                <w:szCs w:val="20"/>
                <w:color w:val="auto"/>
              </w:rPr>
            </w:pPr>
            <w:r>
              <w:rPr>
                <w:rFonts w:ascii="Calibri" w:cs="Calibri" w:eastAsia="Calibri" w:hAnsi="Calibri"/>
                <w:sz w:val="16"/>
                <w:szCs w:val="16"/>
                <w:color w:val="auto"/>
              </w:rPr>
              <w:t>stockholders: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94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6"/>
                <w:szCs w:val="16"/>
                <w:color w:val="auto"/>
              </w:rPr>
              <w:t>Basic</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245,536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239,297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244,017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237,890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40" w:type="dxa"/>
            <w:vAlign w:val="bottom"/>
          </w:tcPr>
          <w:p>
            <w:pPr>
              <w:ind w:left="140"/>
              <w:spacing w:after="0" w:line="190" w:lineRule="exact"/>
              <w:rPr>
                <w:sz w:val="20"/>
                <w:szCs w:val="20"/>
                <w:color w:val="auto"/>
              </w:rPr>
            </w:pPr>
            <w:r>
              <w:rPr>
                <w:rFonts w:ascii="Calibri" w:cs="Calibri" w:eastAsia="Calibri" w:hAnsi="Calibri"/>
                <w:sz w:val="16"/>
                <w:szCs w:val="16"/>
                <w:color w:val="auto"/>
              </w:rPr>
              <w:t>Diluted</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90" w:lineRule="exact"/>
              <w:rPr>
                <w:sz w:val="20"/>
                <w:szCs w:val="20"/>
                <w:color w:val="auto"/>
              </w:rPr>
            </w:pPr>
            <w:r>
              <w:rPr>
                <w:rFonts w:ascii="Calibri" w:cs="Calibri" w:eastAsia="Calibri" w:hAnsi="Calibri"/>
                <w:sz w:val="16"/>
                <w:szCs w:val="16"/>
                <w:color w:val="auto"/>
              </w:rPr>
              <w:t>245,536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90" w:lineRule="exact"/>
              <w:rPr>
                <w:sz w:val="20"/>
                <w:szCs w:val="20"/>
                <w:color w:val="auto"/>
              </w:rPr>
            </w:pPr>
            <w:r>
              <w:rPr>
                <w:rFonts w:ascii="Calibri" w:cs="Calibri" w:eastAsia="Calibri" w:hAnsi="Calibri"/>
                <w:sz w:val="16"/>
                <w:szCs w:val="16"/>
                <w:color w:val="auto"/>
              </w:rPr>
              <w:t>243,799</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90" w:lineRule="exact"/>
              <w:rPr>
                <w:sz w:val="20"/>
                <w:szCs w:val="20"/>
                <w:color w:val="auto"/>
              </w:rPr>
            </w:pPr>
            <w:r>
              <w:rPr>
                <w:rFonts w:ascii="Calibri" w:cs="Calibri" w:eastAsia="Calibri" w:hAnsi="Calibri"/>
                <w:sz w:val="16"/>
                <w:szCs w:val="16"/>
                <w:color w:val="auto"/>
              </w:rPr>
              <w:t>250,747</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90" w:lineRule="exact"/>
              <w:rPr>
                <w:sz w:val="20"/>
                <w:szCs w:val="20"/>
                <w:color w:val="auto"/>
              </w:rPr>
            </w:pPr>
            <w:r>
              <w:rPr>
                <w:rFonts w:ascii="Calibri" w:cs="Calibri" w:eastAsia="Calibri" w:hAnsi="Calibri"/>
                <w:sz w:val="16"/>
                <w:szCs w:val="16"/>
                <w:color w:val="auto"/>
              </w:rPr>
              <w:t>242,196</w:t>
            </w:r>
          </w:p>
        </w:tc>
        <w:tc>
          <w:tcPr>
            <w:tcW w:w="0" w:type="dxa"/>
            <w:vAlign w:val="bottom"/>
          </w:tcPr>
          <w:p>
            <w:pPr>
              <w:spacing w:after="0"/>
              <w:rPr>
                <w:sz w:val="1"/>
                <w:szCs w:val="1"/>
                <w:color w:val="auto"/>
              </w:rPr>
            </w:pPr>
          </w:p>
        </w:tc>
      </w:tr>
      <w:tr>
        <w:trPr>
          <w:trHeight w:val="21"/>
        </w:trPr>
        <w:tc>
          <w:tcPr>
            <w:tcW w:w="3940" w:type="dxa"/>
            <w:vAlign w:val="bottom"/>
            <w:vMerge w:val="restart"/>
          </w:tcPr>
          <w:p>
            <w:pPr>
              <w:spacing w:after="0"/>
              <w:rPr>
                <w:sz w:val="20"/>
                <w:szCs w:val="20"/>
                <w:color w:val="auto"/>
              </w:rPr>
            </w:pPr>
            <w:r>
              <w:rPr>
                <w:rFonts w:ascii="Calibri" w:cs="Calibri" w:eastAsia="Calibri" w:hAnsi="Calibri"/>
                <w:sz w:val="16"/>
                <w:szCs w:val="16"/>
                <w:color w:val="auto"/>
              </w:rPr>
              <w:t>____________________________</w:t>
            </w: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94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5" w:right="339" w:bottom="1440" w:gutter="0" w:footer="0" w:header="0"/>
        </w:sectPr>
      </w:pPr>
    </w:p>
    <w:bookmarkStart w:id="10" w:name="page11"/>
    <w:bookmarkEnd w:id="10"/>
    <w:p>
      <w:pPr>
        <w:ind w:left="640" w:hanging="632"/>
        <w:spacing w:after="0"/>
        <w:tabs>
          <w:tab w:leader="none" w:pos="640" w:val="left"/>
        </w:tabs>
        <w:numPr>
          <w:ilvl w:val="0"/>
          <w:numId w:val="10"/>
        </w:numPr>
        <w:rPr>
          <w:rFonts w:ascii="Calibri" w:cs="Calibri" w:eastAsia="Calibri" w:hAnsi="Calibri"/>
          <w:sz w:val="16"/>
          <w:szCs w:val="16"/>
          <w:color w:val="auto"/>
        </w:rPr>
      </w:pPr>
      <w:r>
        <w:rPr>
          <w:rFonts w:ascii="Calibri" w:cs="Calibri" w:eastAsia="Calibri" w:hAnsi="Calibri"/>
          <w:sz w:val="16"/>
          <w:szCs w:val="16"/>
          <w:color w:val="auto"/>
        </w:rPr>
        <w:t>Includes stock-based compensaton expense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2960" w:type="dxa"/>
            <w:vAlign w:val="bottom"/>
            <w:gridSpan w:val="4"/>
          </w:tcPr>
          <w:p>
            <w:pPr>
              <w:jc w:val="right"/>
              <w:spacing w:after="0"/>
              <w:rPr>
                <w:sz w:val="20"/>
                <w:szCs w:val="20"/>
                <w:color w:val="auto"/>
              </w:rPr>
            </w:pPr>
            <w:r>
              <w:rPr>
                <w:rFonts w:ascii="Calibri" w:cs="Calibri" w:eastAsia="Calibri" w:hAnsi="Calibri"/>
                <w:sz w:val="16"/>
                <w:szCs w:val="16"/>
                <w:b w:val="1"/>
                <w:bCs w:val="1"/>
                <w:color w:val="auto"/>
              </w:rPr>
              <w:t>Three Months Ended October 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639"/>
              <w:spacing w:after="0"/>
              <w:rPr>
                <w:sz w:val="20"/>
                <w:szCs w:val="20"/>
                <w:color w:val="auto"/>
              </w:rPr>
            </w:pPr>
            <w:r>
              <w:rPr>
                <w:rFonts w:ascii="Calibri" w:cs="Calibri" w:eastAsia="Calibri" w:hAnsi="Calibri"/>
                <w:sz w:val="16"/>
                <w:szCs w:val="16"/>
                <w:b w:val="1"/>
                <w:bCs w:val="1"/>
                <w:color w:val="auto"/>
              </w:rPr>
              <w:t>Nine Months Ended October 31,</w:t>
            </w:r>
          </w:p>
        </w:tc>
      </w:tr>
      <w:tr>
        <w:trPr>
          <w:trHeight w:val="28"/>
        </w:trPr>
        <w:tc>
          <w:tcPr>
            <w:tcW w:w="3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7"/>
        </w:trPr>
        <w:tc>
          <w:tcPr>
            <w:tcW w:w="3960" w:type="dxa"/>
            <w:vAlign w:val="bottom"/>
          </w:tcPr>
          <w:p>
            <w:pPr>
              <w:spacing w:after="0"/>
              <w:rPr>
                <w:sz w:val="16"/>
                <w:szCs w:val="16"/>
                <w:color w:val="auto"/>
              </w:rPr>
            </w:pPr>
          </w:p>
        </w:tc>
        <w:tc>
          <w:tcPr>
            <w:tcW w:w="110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2024</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2023</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2023</w:t>
            </w:r>
          </w:p>
        </w:tc>
      </w:tr>
      <w:tr>
        <w:trPr>
          <w:trHeight w:val="23"/>
        </w:trPr>
        <w:tc>
          <w:tcPr>
            <w:tcW w:w="39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0"/>
        </w:trPr>
        <w:tc>
          <w:tcPr>
            <w:tcW w:w="396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Subscripton cost of revenue</w:t>
            </w:r>
          </w:p>
        </w:tc>
        <w:tc>
          <w:tcPr>
            <w:tcW w:w="1100" w:type="dxa"/>
            <w:vAlign w:val="bottom"/>
            <w:tcBorders>
              <w:bottom w:val="single" w:sz="8" w:color="CCEEFF"/>
            </w:tcBorders>
            <w:shd w:val="clear" w:color="auto" w:fill="CCEEFF"/>
          </w:tcPr>
          <w:p>
            <w:pPr>
              <w:jc w:val="right"/>
              <w:ind w:right="919"/>
              <w:spacing w:after="0" w:line="187" w:lineRule="exact"/>
              <w:rPr>
                <w:sz w:val="20"/>
                <w:szCs w:val="20"/>
                <w:color w:val="auto"/>
              </w:rPr>
            </w:pPr>
            <w:r>
              <w:rPr>
                <w:rFonts w:ascii="Calibri" w:cs="Calibri" w:eastAsia="Calibri" w:hAnsi="Calibri"/>
                <w:sz w:val="16"/>
                <w:szCs w:val="16"/>
                <w:color w:val="auto"/>
                <w:w w:val="97"/>
              </w:rPr>
              <w:t>$</w:t>
            </w:r>
          </w:p>
        </w:tc>
        <w:tc>
          <w:tcPr>
            <w:tcW w:w="6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18,613</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919"/>
              <w:spacing w:after="0" w:line="187" w:lineRule="exact"/>
              <w:rPr>
                <w:sz w:val="20"/>
                <w:szCs w:val="20"/>
                <w:color w:val="auto"/>
              </w:rPr>
            </w:pPr>
            <w:r>
              <w:rPr>
                <w:rFonts w:ascii="Calibri" w:cs="Calibri" w:eastAsia="Calibri" w:hAnsi="Calibri"/>
                <w:sz w:val="16"/>
                <w:szCs w:val="16"/>
                <w:color w:val="auto"/>
                <w:w w:val="97"/>
              </w:rPr>
              <w:t>$</w:t>
            </w:r>
          </w:p>
        </w:tc>
        <w:tc>
          <w:tcPr>
            <w:tcW w:w="6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11,477</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49,261</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30,575</w:t>
            </w:r>
          </w:p>
        </w:tc>
      </w:tr>
      <w:tr>
        <w:trPr>
          <w:trHeight w:val="193"/>
        </w:trPr>
        <w:tc>
          <w:tcPr>
            <w:tcW w:w="3960" w:type="dxa"/>
            <w:vAlign w:val="bottom"/>
          </w:tcPr>
          <w:p>
            <w:pPr>
              <w:ind w:left="20"/>
              <w:spacing w:after="0" w:line="193" w:lineRule="exact"/>
              <w:rPr>
                <w:sz w:val="20"/>
                <w:szCs w:val="20"/>
                <w:color w:val="auto"/>
              </w:rPr>
            </w:pPr>
            <w:r>
              <w:rPr>
                <w:rFonts w:ascii="Calibri" w:cs="Calibri" w:eastAsia="Calibri" w:hAnsi="Calibri"/>
                <w:sz w:val="16"/>
                <w:szCs w:val="16"/>
                <w:color w:val="auto"/>
              </w:rPr>
              <w:t>Professional services cost of revenue</w:t>
            </w:r>
          </w:p>
        </w:tc>
        <w:tc>
          <w:tcPr>
            <w:tcW w:w="110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7,498</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5,645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21,115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16,020</w:t>
            </w:r>
          </w:p>
        </w:tc>
      </w:tr>
      <w:tr>
        <w:trPr>
          <w:trHeight w:val="23"/>
        </w:trPr>
        <w:tc>
          <w:tcPr>
            <w:tcW w:w="3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39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Sales and marketng</w:t>
            </w:r>
          </w:p>
        </w:tc>
        <w:tc>
          <w:tcPr>
            <w:tcW w:w="1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56,251</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42,544</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165,914</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129,725</w:t>
            </w:r>
          </w:p>
        </w:tc>
      </w:tr>
      <w:tr>
        <w:trPr>
          <w:trHeight w:val="193"/>
        </w:trPr>
        <w:tc>
          <w:tcPr>
            <w:tcW w:w="3960" w:type="dxa"/>
            <w:vAlign w:val="bottom"/>
          </w:tcPr>
          <w:p>
            <w:pPr>
              <w:ind w:left="20"/>
              <w:spacing w:after="0" w:line="193" w:lineRule="exact"/>
              <w:rPr>
                <w:sz w:val="20"/>
                <w:szCs w:val="20"/>
                <w:color w:val="auto"/>
              </w:rPr>
            </w:pPr>
            <w:r>
              <w:rPr>
                <w:rFonts w:ascii="Calibri" w:cs="Calibri" w:eastAsia="Calibri" w:hAnsi="Calibri"/>
                <w:sz w:val="16"/>
                <w:szCs w:val="16"/>
                <w:color w:val="auto"/>
              </w:rPr>
              <w:t>Research and development</w:t>
            </w:r>
          </w:p>
        </w:tc>
        <w:tc>
          <w:tcPr>
            <w:tcW w:w="110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81,874</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52,388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224,467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143,754</w:t>
            </w:r>
          </w:p>
        </w:tc>
      </w:tr>
      <w:tr>
        <w:trPr>
          <w:trHeight w:val="23"/>
        </w:trPr>
        <w:tc>
          <w:tcPr>
            <w:tcW w:w="3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39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General and administratve</w:t>
            </w:r>
          </w:p>
        </w:tc>
        <w:tc>
          <w:tcPr>
            <w:tcW w:w="1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44,652</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47,560</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132,133</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135,173</w:t>
            </w:r>
          </w:p>
        </w:tc>
      </w:tr>
      <w:tr>
        <w:trPr>
          <w:trHeight w:val="209"/>
        </w:trPr>
        <w:tc>
          <w:tcPr>
            <w:tcW w:w="3960" w:type="dxa"/>
            <w:vAlign w:val="bottom"/>
          </w:tcPr>
          <w:p>
            <w:pPr>
              <w:ind w:left="140"/>
              <w:spacing w:after="0"/>
              <w:rPr>
                <w:sz w:val="20"/>
                <w:szCs w:val="20"/>
                <w:color w:val="auto"/>
              </w:rPr>
            </w:pPr>
            <w:r>
              <w:rPr>
                <w:rFonts w:ascii="Calibri" w:cs="Calibri" w:eastAsia="Calibri" w:hAnsi="Calibri"/>
                <w:sz w:val="16"/>
                <w:szCs w:val="16"/>
                <w:color w:val="auto"/>
              </w:rPr>
              <w:t>Total stock-based compensaton expense</w:t>
            </w:r>
          </w:p>
        </w:tc>
        <w:tc>
          <w:tcPr>
            <w:tcW w:w="1100" w:type="dxa"/>
            <w:vAlign w:val="bottom"/>
            <w:tcBorders>
              <w:top w:val="single" w:sz="8" w:color="auto"/>
              <w:bottom w:val="single" w:sz="8" w:color="auto"/>
            </w:tcBorders>
          </w:tcPr>
          <w:p>
            <w:pPr>
              <w:jc w:val="right"/>
              <w:ind w:right="919"/>
              <w:spacing w:after="0" w:line="193" w:lineRule="exact"/>
              <w:rPr>
                <w:sz w:val="20"/>
                <w:szCs w:val="20"/>
                <w:color w:val="auto"/>
              </w:rPr>
            </w:pPr>
            <w:r>
              <w:rPr>
                <w:rFonts w:ascii="Calibri" w:cs="Calibri" w:eastAsia="Calibri" w:hAnsi="Calibri"/>
                <w:sz w:val="16"/>
                <w:szCs w:val="16"/>
                <w:color w:val="auto"/>
                <w:w w:val="97"/>
              </w:rPr>
              <w:t>$</w:t>
            </w:r>
          </w:p>
        </w:tc>
        <w:tc>
          <w:tcPr>
            <w:tcW w:w="6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208,888</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19"/>
              <w:spacing w:after="0" w:line="193" w:lineRule="exact"/>
              <w:rPr>
                <w:sz w:val="20"/>
                <w:szCs w:val="20"/>
                <w:color w:val="auto"/>
              </w:rPr>
            </w:pPr>
            <w:r>
              <w:rPr>
                <w:rFonts w:ascii="Calibri" w:cs="Calibri" w:eastAsia="Calibri" w:hAnsi="Calibri"/>
                <w:sz w:val="16"/>
                <w:szCs w:val="16"/>
                <w:color w:val="auto"/>
                <w:w w:val="97"/>
              </w:rPr>
              <w:t>$</w:t>
            </w:r>
          </w:p>
        </w:tc>
        <w:tc>
          <w:tcPr>
            <w:tcW w:w="6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159,614</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592,890</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455,247</w:t>
            </w:r>
          </w:p>
        </w:tc>
      </w:tr>
      <w:tr>
        <w:trPr>
          <w:trHeight w:val="21"/>
        </w:trPr>
        <w:tc>
          <w:tcPr>
            <w:tcW w:w="3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40" w:hanging="632"/>
        <w:spacing w:after="0"/>
        <w:tabs>
          <w:tab w:leader="none" w:pos="640" w:val="left"/>
        </w:tabs>
        <w:numPr>
          <w:ilvl w:val="0"/>
          <w:numId w:val="11"/>
        </w:numPr>
        <w:rPr>
          <w:rFonts w:ascii="Calibri" w:cs="Calibri" w:eastAsia="Calibri" w:hAnsi="Calibri"/>
          <w:sz w:val="16"/>
          <w:szCs w:val="16"/>
          <w:color w:val="auto"/>
        </w:rPr>
      </w:pPr>
      <w:r>
        <w:rPr>
          <w:rFonts w:ascii="Calibri" w:cs="Calibri" w:eastAsia="Calibri" w:hAnsi="Calibri"/>
          <w:sz w:val="16"/>
          <w:szCs w:val="16"/>
          <w:color w:val="auto"/>
        </w:rPr>
        <w:t>Includes amortzaton of acquired intangible assets, including purchased patents,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40" w:type="dxa"/>
            <w:vAlign w:val="bottom"/>
            <w:gridSpan w:val="4"/>
          </w:tcPr>
          <w:p>
            <w:pPr>
              <w:jc w:val="right"/>
              <w:ind w:right="39"/>
              <w:spacing w:after="0"/>
              <w:rPr>
                <w:sz w:val="20"/>
                <w:szCs w:val="20"/>
                <w:color w:val="auto"/>
              </w:rPr>
            </w:pPr>
            <w:r>
              <w:rPr>
                <w:rFonts w:ascii="Calibri" w:cs="Calibri" w:eastAsia="Calibri" w:hAnsi="Calibri"/>
                <w:sz w:val="16"/>
                <w:szCs w:val="16"/>
                <w:b w:val="1"/>
                <w:bCs w:val="1"/>
                <w:color w:val="auto"/>
              </w:rPr>
              <w:t>Three Months Ended October 31,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4"/>
          </w:tcPr>
          <w:p>
            <w:pPr>
              <w:jc w:val="right"/>
              <w:ind w:right="639"/>
              <w:spacing w:after="0"/>
              <w:rPr>
                <w:sz w:val="20"/>
                <w:szCs w:val="20"/>
                <w:color w:val="auto"/>
              </w:rPr>
            </w:pPr>
            <w:r>
              <w:rPr>
                <w:rFonts w:ascii="Calibri" w:cs="Calibri" w:eastAsia="Calibri" w:hAnsi="Calibri"/>
                <w:sz w:val="16"/>
                <w:szCs w:val="16"/>
                <w:b w:val="1"/>
                <w:bCs w:val="1"/>
                <w:color w:val="auto"/>
              </w:rPr>
              <w:t>Nine Months Ended October 31,</w:t>
            </w:r>
          </w:p>
        </w:tc>
      </w:tr>
      <w:tr>
        <w:trPr>
          <w:trHeight w:val="28"/>
        </w:trPr>
        <w:tc>
          <w:tcPr>
            <w:tcW w:w="39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7"/>
        </w:trPr>
        <w:tc>
          <w:tcPr>
            <w:tcW w:w="3960" w:type="dxa"/>
            <w:vAlign w:val="bottom"/>
          </w:tcPr>
          <w:p>
            <w:pPr>
              <w:spacing w:after="0"/>
              <w:rPr>
                <w:sz w:val="16"/>
                <w:szCs w:val="16"/>
                <w:color w:val="auto"/>
              </w:rPr>
            </w:pPr>
          </w:p>
        </w:tc>
        <w:tc>
          <w:tcPr>
            <w:tcW w:w="1180" w:type="dxa"/>
            <w:vAlign w:val="bottom"/>
          </w:tcPr>
          <w:p>
            <w:pPr>
              <w:jc w:val="right"/>
              <w:ind w:right="59"/>
              <w:spacing w:after="0" w:line="187" w:lineRule="exact"/>
              <w:rPr>
                <w:sz w:val="20"/>
                <w:szCs w:val="20"/>
                <w:color w:val="auto"/>
              </w:rPr>
            </w:pPr>
            <w:r>
              <w:rPr>
                <w:rFonts w:ascii="Calibri" w:cs="Calibri" w:eastAsia="Calibri" w:hAnsi="Calibri"/>
                <w:sz w:val="16"/>
                <w:szCs w:val="16"/>
                <w:b w:val="1"/>
                <w:bCs w:val="1"/>
                <w:color w:val="auto"/>
              </w:rPr>
              <w:t>2024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79"/>
              <w:spacing w:after="0" w:line="187" w:lineRule="exact"/>
              <w:rPr>
                <w:sz w:val="20"/>
                <w:szCs w:val="20"/>
                <w:color w:val="auto"/>
              </w:rPr>
            </w:pPr>
            <w:r>
              <w:rPr>
                <w:rFonts w:ascii="Calibri" w:cs="Calibri" w:eastAsia="Calibri" w:hAnsi="Calibri"/>
                <w:sz w:val="16"/>
                <w:szCs w:val="16"/>
                <w:b w:val="1"/>
                <w:bCs w:val="1"/>
                <w:color w:val="auto"/>
              </w:rPr>
              <w:t>2023</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619"/>
              <w:spacing w:after="0" w:line="187"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2023</w:t>
            </w:r>
          </w:p>
        </w:tc>
      </w:tr>
      <w:tr>
        <w:trPr>
          <w:trHeight w:val="23"/>
        </w:trPr>
        <w:tc>
          <w:tcPr>
            <w:tcW w:w="39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9"/>
        </w:trPr>
        <w:tc>
          <w:tcPr>
            <w:tcW w:w="396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Subscripton cost of revenue</w:t>
            </w:r>
          </w:p>
        </w:tc>
        <w:tc>
          <w:tcPr>
            <w:tcW w:w="1180" w:type="dxa"/>
            <w:vAlign w:val="bottom"/>
            <w:tcBorders>
              <w:bottom w:val="single" w:sz="8" w:color="CCEEFF"/>
            </w:tcBorders>
            <w:shd w:val="clear" w:color="auto" w:fill="CCEEFF"/>
          </w:tcPr>
          <w:p>
            <w:pPr>
              <w:jc w:val="right"/>
              <w:ind w:right="999"/>
              <w:spacing w:after="0" w:line="187"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5,389</w:t>
            </w: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99"/>
              <w:spacing w:after="0" w:line="187"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3,580</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1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15,823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10,741</w:t>
            </w:r>
          </w:p>
        </w:tc>
      </w:tr>
      <w:tr>
        <w:trPr>
          <w:trHeight w:val="193"/>
        </w:trPr>
        <w:tc>
          <w:tcPr>
            <w:tcW w:w="3960" w:type="dxa"/>
            <w:vAlign w:val="bottom"/>
          </w:tcPr>
          <w:p>
            <w:pPr>
              <w:ind w:left="20"/>
              <w:spacing w:after="0" w:line="193" w:lineRule="exact"/>
              <w:rPr>
                <w:sz w:val="20"/>
                <w:szCs w:val="20"/>
                <w:color w:val="auto"/>
              </w:rPr>
            </w:pPr>
            <w:r>
              <w:rPr>
                <w:rFonts w:ascii="Calibri" w:cs="Calibri" w:eastAsia="Calibri" w:hAnsi="Calibri"/>
                <w:sz w:val="16"/>
                <w:szCs w:val="16"/>
                <w:color w:val="auto"/>
              </w:rPr>
              <w:t>Sales and marketng</w:t>
            </w:r>
          </w:p>
        </w:tc>
        <w:tc>
          <w:tcPr>
            <w:tcW w:w="118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603</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506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1,808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1,483</w:t>
            </w:r>
          </w:p>
        </w:tc>
      </w:tr>
      <w:tr>
        <w:trPr>
          <w:trHeight w:val="23"/>
        </w:trPr>
        <w:tc>
          <w:tcPr>
            <w:tcW w:w="3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39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Research and development</w:t>
            </w:r>
          </w:p>
        </w:tc>
        <w:tc>
          <w:tcPr>
            <w:tcW w:w="1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468</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468</w:t>
            </w:r>
          </w:p>
        </w:tc>
      </w:tr>
      <w:tr>
        <w:trPr>
          <w:trHeight w:val="193"/>
        </w:trPr>
        <w:tc>
          <w:tcPr>
            <w:tcW w:w="3960" w:type="dxa"/>
            <w:vAlign w:val="bottom"/>
          </w:tcPr>
          <w:p>
            <w:pPr>
              <w:ind w:left="20"/>
              <w:spacing w:after="0" w:line="193" w:lineRule="exact"/>
              <w:rPr>
                <w:sz w:val="20"/>
                <w:szCs w:val="20"/>
                <w:color w:val="auto"/>
              </w:rPr>
            </w:pPr>
            <w:r>
              <w:rPr>
                <w:rFonts w:ascii="Calibri" w:cs="Calibri" w:eastAsia="Calibri" w:hAnsi="Calibri"/>
                <w:sz w:val="16"/>
                <w:szCs w:val="16"/>
                <w:color w:val="auto"/>
              </w:rPr>
              <w:t>General and administratve</w:t>
            </w:r>
          </w:p>
        </w:tc>
        <w:tc>
          <w:tcPr>
            <w:tcW w:w="118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341</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83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1,034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221</w:t>
            </w:r>
          </w:p>
        </w:tc>
      </w:tr>
      <w:tr>
        <w:trPr>
          <w:trHeight w:val="23"/>
        </w:trPr>
        <w:tc>
          <w:tcPr>
            <w:tcW w:w="39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4"/>
        </w:trPr>
        <w:tc>
          <w:tcPr>
            <w:tcW w:w="396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6"/>
                <w:szCs w:val="16"/>
                <w:color w:val="auto"/>
              </w:rPr>
              <w:t>Total amortzaton of acquired intangible assets</w:t>
            </w:r>
          </w:p>
        </w:tc>
        <w:tc>
          <w:tcPr>
            <w:tcW w:w="1180" w:type="dxa"/>
            <w:vAlign w:val="bottom"/>
            <w:tcBorders>
              <w:bottom w:val="single" w:sz="8" w:color="auto"/>
            </w:tcBorders>
            <w:shd w:val="clear" w:color="auto" w:fill="CCEEFF"/>
          </w:tcPr>
          <w:p>
            <w:pPr>
              <w:jc w:val="right"/>
              <w:ind w:right="999"/>
              <w:spacing w:after="0" w:line="193"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6,333</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99"/>
              <w:spacing w:after="0" w:line="193"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4,637</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line="193"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18,665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12,913</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40" w:hanging="632"/>
        <w:spacing w:after="0"/>
        <w:tabs>
          <w:tab w:leader="none" w:pos="640" w:val="left"/>
        </w:tabs>
        <w:numPr>
          <w:ilvl w:val="0"/>
          <w:numId w:val="12"/>
        </w:numPr>
        <w:rPr>
          <w:rFonts w:ascii="Calibri" w:cs="Calibri" w:eastAsia="Calibri" w:hAnsi="Calibri"/>
          <w:sz w:val="16"/>
          <w:szCs w:val="16"/>
          <w:color w:val="auto"/>
        </w:rPr>
      </w:pPr>
      <w:r>
        <w:rPr>
          <w:rFonts w:ascii="Calibri" w:cs="Calibri" w:eastAsia="Calibri" w:hAnsi="Calibri"/>
          <w:sz w:val="16"/>
          <w:szCs w:val="16"/>
          <w:color w:val="auto"/>
        </w:rPr>
        <w:t>Includes acquisiton-related expenses, net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40" w:type="dxa"/>
            <w:vAlign w:val="bottom"/>
            <w:gridSpan w:val="4"/>
          </w:tcPr>
          <w:p>
            <w:pPr>
              <w:jc w:val="right"/>
              <w:ind w:right="39"/>
              <w:spacing w:after="0"/>
              <w:rPr>
                <w:sz w:val="20"/>
                <w:szCs w:val="20"/>
                <w:color w:val="auto"/>
              </w:rPr>
            </w:pPr>
            <w:r>
              <w:rPr>
                <w:rFonts w:ascii="Calibri" w:cs="Calibri" w:eastAsia="Calibri" w:hAnsi="Calibri"/>
                <w:sz w:val="16"/>
                <w:szCs w:val="16"/>
                <w:b w:val="1"/>
                <w:bCs w:val="1"/>
                <w:color w:val="auto"/>
              </w:rPr>
              <w:t>Three Months Ended October 31,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639"/>
              <w:spacing w:after="0"/>
              <w:rPr>
                <w:sz w:val="20"/>
                <w:szCs w:val="20"/>
                <w:color w:val="auto"/>
              </w:rPr>
            </w:pPr>
            <w:r>
              <w:rPr>
                <w:rFonts w:ascii="Calibri" w:cs="Calibri" w:eastAsia="Calibri" w:hAnsi="Calibri"/>
                <w:sz w:val="16"/>
                <w:szCs w:val="16"/>
                <w:b w:val="1"/>
                <w:bCs w:val="1"/>
                <w:color w:val="auto"/>
              </w:rPr>
              <w:t>Nine Months Ended October 31,</w:t>
            </w:r>
          </w:p>
        </w:tc>
      </w:tr>
      <w:tr>
        <w:trPr>
          <w:trHeight w:val="28"/>
        </w:trPr>
        <w:tc>
          <w:tcPr>
            <w:tcW w:w="39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7"/>
        </w:trPr>
        <w:tc>
          <w:tcPr>
            <w:tcW w:w="3960" w:type="dxa"/>
            <w:vAlign w:val="bottom"/>
          </w:tcPr>
          <w:p>
            <w:pPr>
              <w:spacing w:after="0"/>
              <w:rPr>
                <w:sz w:val="16"/>
                <w:szCs w:val="16"/>
                <w:color w:val="auto"/>
              </w:rPr>
            </w:pPr>
          </w:p>
        </w:tc>
        <w:tc>
          <w:tcPr>
            <w:tcW w:w="1180" w:type="dxa"/>
            <w:vAlign w:val="bottom"/>
          </w:tcPr>
          <w:p>
            <w:pPr>
              <w:jc w:val="right"/>
              <w:ind w:right="59"/>
              <w:spacing w:after="0" w:line="187" w:lineRule="exact"/>
              <w:rPr>
                <w:sz w:val="20"/>
                <w:szCs w:val="20"/>
                <w:color w:val="auto"/>
              </w:rPr>
            </w:pPr>
            <w:r>
              <w:rPr>
                <w:rFonts w:ascii="Calibri" w:cs="Calibri" w:eastAsia="Calibri" w:hAnsi="Calibri"/>
                <w:sz w:val="16"/>
                <w:szCs w:val="16"/>
                <w:b w:val="1"/>
                <w:bCs w:val="1"/>
                <w:color w:val="auto"/>
              </w:rPr>
              <w:t>2024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79"/>
              <w:spacing w:after="0" w:line="187" w:lineRule="exact"/>
              <w:rPr>
                <w:sz w:val="20"/>
                <w:szCs w:val="20"/>
                <w:color w:val="auto"/>
              </w:rPr>
            </w:pPr>
            <w:r>
              <w:rPr>
                <w:rFonts w:ascii="Calibri" w:cs="Calibri" w:eastAsia="Calibri" w:hAnsi="Calibri"/>
                <w:sz w:val="16"/>
                <w:szCs w:val="16"/>
                <w:b w:val="1"/>
                <w:bCs w:val="1"/>
                <w:color w:val="auto"/>
              </w:rPr>
              <w:t>2023</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2023</w:t>
            </w:r>
          </w:p>
        </w:tc>
      </w:tr>
      <w:tr>
        <w:trPr>
          <w:trHeight w:val="22"/>
        </w:trPr>
        <w:tc>
          <w:tcPr>
            <w:tcW w:w="39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0"/>
        </w:trPr>
        <w:tc>
          <w:tcPr>
            <w:tcW w:w="396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Research and development</w:t>
            </w:r>
          </w:p>
        </w:tc>
        <w:tc>
          <w:tcPr>
            <w:tcW w:w="1180" w:type="dxa"/>
            <w:vAlign w:val="bottom"/>
            <w:tcBorders>
              <w:bottom w:val="single" w:sz="8" w:color="CCEEFF"/>
            </w:tcBorders>
            <w:shd w:val="clear" w:color="auto" w:fill="CCEEFF"/>
          </w:tcPr>
          <w:p>
            <w:pPr>
              <w:jc w:val="right"/>
              <w:ind w:right="999"/>
              <w:spacing w:after="0" w:line="187"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99"/>
              <w:spacing w:after="0" w:line="187"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379</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477</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750</w:t>
            </w:r>
          </w:p>
        </w:tc>
      </w:tr>
      <w:tr>
        <w:trPr>
          <w:trHeight w:val="193"/>
        </w:trPr>
        <w:tc>
          <w:tcPr>
            <w:tcW w:w="3960" w:type="dxa"/>
            <w:vAlign w:val="bottom"/>
          </w:tcPr>
          <w:p>
            <w:pPr>
              <w:ind w:left="20"/>
              <w:spacing w:after="0" w:line="193" w:lineRule="exact"/>
              <w:rPr>
                <w:sz w:val="20"/>
                <w:szCs w:val="20"/>
                <w:color w:val="auto"/>
              </w:rPr>
            </w:pPr>
            <w:r>
              <w:rPr>
                <w:rFonts w:ascii="Calibri" w:cs="Calibri" w:eastAsia="Calibri" w:hAnsi="Calibri"/>
                <w:sz w:val="16"/>
                <w:szCs w:val="16"/>
                <w:color w:val="auto"/>
              </w:rPr>
              <w:t>General and administratve</w:t>
            </w:r>
          </w:p>
        </w:tc>
        <w:tc>
          <w:tcPr>
            <w:tcW w:w="118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1,393</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3,277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4,075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3,204</w:t>
            </w:r>
          </w:p>
        </w:tc>
      </w:tr>
      <w:tr>
        <w:trPr>
          <w:trHeight w:val="23"/>
        </w:trPr>
        <w:tc>
          <w:tcPr>
            <w:tcW w:w="39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4"/>
        </w:trPr>
        <w:tc>
          <w:tcPr>
            <w:tcW w:w="396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6"/>
                <w:szCs w:val="16"/>
                <w:color w:val="auto"/>
              </w:rPr>
              <w:t>Total acquisiton-related expenses, net</w:t>
            </w:r>
          </w:p>
        </w:tc>
        <w:tc>
          <w:tcPr>
            <w:tcW w:w="1180" w:type="dxa"/>
            <w:vAlign w:val="bottom"/>
            <w:tcBorders>
              <w:bottom w:val="single" w:sz="8" w:color="auto"/>
            </w:tcBorders>
            <w:shd w:val="clear" w:color="auto" w:fill="CCEEFF"/>
          </w:tcPr>
          <w:p>
            <w:pPr>
              <w:jc w:val="right"/>
              <w:ind w:right="999"/>
              <w:spacing w:after="0" w:line="193"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1,393</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99"/>
              <w:spacing w:after="0" w:line="193"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3,656</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4,552</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3,954</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40" w:hanging="632"/>
        <w:spacing w:after="0"/>
        <w:tabs>
          <w:tab w:leader="none" w:pos="640" w:val="left"/>
        </w:tabs>
        <w:numPr>
          <w:ilvl w:val="0"/>
          <w:numId w:val="13"/>
        </w:numPr>
        <w:rPr>
          <w:rFonts w:ascii="Calibri" w:cs="Calibri" w:eastAsia="Calibri" w:hAnsi="Calibri"/>
          <w:sz w:val="16"/>
          <w:szCs w:val="16"/>
          <w:color w:val="auto"/>
        </w:rPr>
      </w:pPr>
      <w:r>
        <w:rPr>
          <w:rFonts w:ascii="Calibri" w:cs="Calibri" w:eastAsia="Calibri" w:hAnsi="Calibri"/>
          <w:sz w:val="16"/>
          <w:szCs w:val="16"/>
          <w:color w:val="auto"/>
        </w:rPr>
        <w:t>Includes mark-to-market adjustments on deferred compensaton liabilites as follows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60" w:type="dxa"/>
            <w:vAlign w:val="bottom"/>
            <w:gridSpan w:val="4"/>
          </w:tcPr>
          <w:p>
            <w:pPr>
              <w:jc w:val="right"/>
              <w:ind w:right="59"/>
              <w:spacing w:after="0"/>
              <w:rPr>
                <w:sz w:val="20"/>
                <w:szCs w:val="20"/>
                <w:color w:val="auto"/>
              </w:rPr>
            </w:pPr>
            <w:r>
              <w:rPr>
                <w:rFonts w:ascii="Calibri" w:cs="Calibri" w:eastAsia="Calibri" w:hAnsi="Calibri"/>
                <w:sz w:val="16"/>
                <w:szCs w:val="16"/>
                <w:b w:val="1"/>
                <w:bCs w:val="1"/>
                <w:color w:val="auto"/>
              </w:rPr>
              <w:t>Three Months Ended October 31,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639"/>
              <w:spacing w:after="0"/>
              <w:rPr>
                <w:sz w:val="20"/>
                <w:szCs w:val="20"/>
                <w:color w:val="auto"/>
              </w:rPr>
            </w:pPr>
            <w:r>
              <w:rPr>
                <w:rFonts w:ascii="Calibri" w:cs="Calibri" w:eastAsia="Calibri" w:hAnsi="Calibri"/>
                <w:sz w:val="16"/>
                <w:szCs w:val="16"/>
                <w:b w:val="1"/>
                <w:bCs w:val="1"/>
                <w:color w:val="auto"/>
              </w:rPr>
              <w:t>Nine Months Ended October 31,</w:t>
            </w:r>
          </w:p>
        </w:tc>
        <w:tc>
          <w:tcPr>
            <w:tcW w:w="0" w:type="dxa"/>
            <w:vAlign w:val="bottom"/>
          </w:tcPr>
          <w:p>
            <w:pPr>
              <w:spacing w:after="0"/>
              <w:rPr>
                <w:sz w:val="1"/>
                <w:szCs w:val="1"/>
                <w:color w:val="auto"/>
              </w:rPr>
            </w:pPr>
          </w:p>
        </w:tc>
      </w:tr>
      <w:tr>
        <w:trPr>
          <w:trHeight w:val="28"/>
        </w:trPr>
        <w:tc>
          <w:tcPr>
            <w:tcW w:w="39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960" w:type="dxa"/>
            <w:vAlign w:val="bottom"/>
          </w:tcPr>
          <w:p>
            <w:pPr>
              <w:spacing w:after="0"/>
              <w:rPr>
                <w:sz w:val="16"/>
                <w:szCs w:val="16"/>
                <w:color w:val="auto"/>
              </w:rPr>
            </w:pPr>
          </w:p>
        </w:tc>
        <w:tc>
          <w:tcPr>
            <w:tcW w:w="1240" w:type="dxa"/>
            <w:vAlign w:val="bottom"/>
          </w:tcPr>
          <w:p>
            <w:pPr>
              <w:jc w:val="right"/>
              <w:ind w:right="119"/>
              <w:spacing w:after="0" w:line="187" w:lineRule="exact"/>
              <w:rPr>
                <w:sz w:val="20"/>
                <w:szCs w:val="20"/>
                <w:color w:val="auto"/>
              </w:rPr>
            </w:pPr>
            <w:r>
              <w:rPr>
                <w:rFonts w:ascii="Calibri" w:cs="Calibri" w:eastAsia="Calibri" w:hAnsi="Calibri"/>
                <w:sz w:val="16"/>
                <w:szCs w:val="16"/>
                <w:b w:val="1"/>
                <w:bCs w:val="1"/>
                <w:color w:val="auto"/>
              </w:rPr>
              <w:t>2024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99"/>
              <w:spacing w:after="0" w:line="187" w:lineRule="exact"/>
              <w:rPr>
                <w:sz w:val="20"/>
                <w:szCs w:val="20"/>
                <w:color w:val="auto"/>
              </w:rPr>
            </w:pPr>
            <w:r>
              <w:rPr>
                <w:rFonts w:ascii="Calibri" w:cs="Calibri" w:eastAsia="Calibri" w:hAnsi="Calibri"/>
                <w:sz w:val="16"/>
                <w:szCs w:val="16"/>
                <w:b w:val="1"/>
                <w:bCs w:val="1"/>
                <w:color w:val="auto"/>
              </w:rPr>
              <w:t>2023</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22"/>
        </w:trPr>
        <w:tc>
          <w:tcPr>
            <w:tcW w:w="3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396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Sales and marketng</w:t>
            </w:r>
          </w:p>
        </w:tc>
        <w:tc>
          <w:tcPr>
            <w:tcW w:w="1240" w:type="dxa"/>
            <w:vAlign w:val="bottom"/>
            <w:tcBorders>
              <w:bottom w:val="single" w:sz="8" w:color="CCEEFF"/>
            </w:tcBorders>
            <w:shd w:val="clear" w:color="auto" w:fill="CCEEFF"/>
          </w:tcPr>
          <w:p>
            <w:pPr>
              <w:jc w:val="right"/>
              <w:ind w:right="1059"/>
              <w:spacing w:after="0" w:line="187" w:lineRule="exact"/>
              <w:rPr>
                <w:sz w:val="20"/>
                <w:szCs w:val="20"/>
                <w:color w:val="auto"/>
              </w:rPr>
            </w:pPr>
            <w:r>
              <w:rPr>
                <w:rFonts w:ascii="Calibri" w:cs="Calibri" w:eastAsia="Calibri" w:hAnsi="Calibri"/>
                <w:sz w:val="16"/>
                <w:szCs w:val="16"/>
                <w:color w:val="auto"/>
                <w:w w:val="97"/>
              </w:rPr>
              <w:t>$</w:t>
            </w:r>
          </w:p>
        </w:tc>
        <w:tc>
          <w:tcPr>
            <w:tcW w:w="5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41</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1019"/>
              <w:spacing w:after="0" w:line="187" w:lineRule="exact"/>
              <w:rPr>
                <w:sz w:val="20"/>
                <w:szCs w:val="20"/>
                <w:color w:val="auto"/>
              </w:rPr>
            </w:pPr>
            <w:r>
              <w:rPr>
                <w:rFonts w:ascii="Calibri" w:cs="Calibri" w:eastAsia="Calibri" w:hAnsi="Calibri"/>
                <w:sz w:val="16"/>
                <w:szCs w:val="16"/>
                <w:color w:val="auto"/>
                <w:w w:val="97"/>
              </w:rPr>
              <w:t>$</w:t>
            </w:r>
          </w:p>
        </w:tc>
        <w:tc>
          <w:tcPr>
            <w:tcW w:w="5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(68)</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184</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(33)</w:t>
            </w:r>
          </w:p>
        </w:tc>
        <w:tc>
          <w:tcPr>
            <w:tcW w:w="0" w:type="dxa"/>
            <w:vAlign w:val="bottom"/>
          </w:tcPr>
          <w:p>
            <w:pPr>
              <w:spacing w:after="0"/>
              <w:rPr>
                <w:sz w:val="1"/>
                <w:szCs w:val="1"/>
                <w:color w:val="auto"/>
              </w:rPr>
            </w:pPr>
          </w:p>
        </w:tc>
      </w:tr>
      <w:tr>
        <w:trPr>
          <w:trHeight w:val="194"/>
        </w:trPr>
        <w:tc>
          <w:tcPr>
            <w:tcW w:w="3960" w:type="dxa"/>
            <w:vAlign w:val="bottom"/>
          </w:tcPr>
          <w:p>
            <w:pPr>
              <w:ind w:left="20"/>
              <w:spacing w:after="0" w:line="193" w:lineRule="exact"/>
              <w:rPr>
                <w:sz w:val="20"/>
                <w:szCs w:val="20"/>
                <w:color w:val="auto"/>
              </w:rPr>
            </w:pPr>
            <w:r>
              <w:rPr>
                <w:rFonts w:ascii="Calibri" w:cs="Calibri" w:eastAsia="Calibri" w:hAnsi="Calibri"/>
                <w:sz w:val="16"/>
                <w:szCs w:val="16"/>
                <w:color w:val="auto"/>
              </w:rPr>
              <w:t>Research and development</w:t>
            </w:r>
          </w:p>
        </w:tc>
        <w:tc>
          <w:tcPr>
            <w:tcW w:w="1240" w:type="dxa"/>
            <w:vAlign w:val="bottom"/>
          </w:tcPr>
          <w:p>
            <w:pPr>
              <w:spacing w:after="0"/>
              <w:rPr>
                <w:sz w:val="16"/>
                <w:szCs w:val="16"/>
                <w:color w:val="auto"/>
              </w:rPr>
            </w:pPr>
          </w:p>
        </w:tc>
        <w:tc>
          <w:tcPr>
            <w:tcW w:w="500" w:type="dxa"/>
            <w:vAlign w:val="bottom"/>
          </w:tcPr>
          <w:p>
            <w:pPr>
              <w:jc w:val="right"/>
              <w:spacing w:after="0" w:line="193" w:lineRule="exact"/>
              <w:rPr>
                <w:sz w:val="20"/>
                <w:szCs w:val="20"/>
                <w:color w:val="auto"/>
              </w:rPr>
            </w:pPr>
            <w:r>
              <w:rPr>
                <w:rFonts w:ascii="Calibri" w:cs="Calibri" w:eastAsia="Calibri" w:hAnsi="Calibri"/>
                <w:sz w:val="16"/>
                <w:szCs w:val="16"/>
                <w:color w:val="auto"/>
              </w:rPr>
              <w:t>56</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jc w:val="right"/>
              <w:spacing w:after="0" w:line="193" w:lineRule="exact"/>
              <w:rPr>
                <w:sz w:val="20"/>
                <w:szCs w:val="20"/>
                <w:color w:val="auto"/>
              </w:rPr>
            </w:pPr>
            <w:r>
              <w:rPr>
                <w:rFonts w:ascii="Calibri" w:cs="Calibri" w:eastAsia="Calibri" w:hAnsi="Calibri"/>
                <w:sz w:val="16"/>
                <w:szCs w:val="16"/>
                <w:color w:val="auto"/>
              </w:rPr>
              <w:t>(34)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202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(20)</w:t>
            </w:r>
          </w:p>
        </w:tc>
        <w:tc>
          <w:tcPr>
            <w:tcW w:w="0" w:type="dxa"/>
            <w:vAlign w:val="bottom"/>
          </w:tcPr>
          <w:p>
            <w:pPr>
              <w:spacing w:after="0"/>
              <w:rPr>
                <w:sz w:val="1"/>
                <w:szCs w:val="1"/>
                <w:color w:val="auto"/>
              </w:rPr>
            </w:pPr>
          </w:p>
        </w:tc>
      </w:tr>
      <w:tr>
        <w:trPr>
          <w:trHeight w:val="22"/>
        </w:trPr>
        <w:tc>
          <w:tcPr>
            <w:tcW w:w="3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General and administratve</w:t>
            </w:r>
          </w:p>
        </w:tc>
        <w:tc>
          <w:tcPr>
            <w:tcW w:w="1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27</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w:t>
            </w:r>
          </w:p>
        </w:tc>
        <w:tc>
          <w:tcPr>
            <w:tcW w:w="0" w:type="dxa"/>
            <w:vAlign w:val="bottom"/>
          </w:tcPr>
          <w:p>
            <w:pPr>
              <w:spacing w:after="0"/>
              <w:rPr>
                <w:sz w:val="1"/>
                <w:szCs w:val="1"/>
                <w:color w:val="auto"/>
              </w:rPr>
            </w:pPr>
          </w:p>
        </w:tc>
      </w:tr>
      <w:tr>
        <w:trPr>
          <w:trHeight w:val="137"/>
        </w:trPr>
        <w:tc>
          <w:tcPr>
            <w:tcW w:w="3960" w:type="dxa"/>
            <w:vAlign w:val="bottom"/>
          </w:tcPr>
          <w:p>
            <w:pPr>
              <w:ind w:left="140"/>
              <w:spacing w:after="0" w:line="137" w:lineRule="exact"/>
              <w:rPr>
                <w:sz w:val="20"/>
                <w:szCs w:val="20"/>
                <w:color w:val="auto"/>
              </w:rPr>
            </w:pPr>
            <w:r>
              <w:rPr>
                <w:rFonts w:ascii="Calibri" w:cs="Calibri" w:eastAsia="Calibri" w:hAnsi="Calibri"/>
                <w:sz w:val="14"/>
                <w:szCs w:val="14"/>
                <w:color w:val="auto"/>
              </w:rPr>
              <w:t>Total mark-to-market adjustments on deferred</w:t>
            </w:r>
          </w:p>
        </w:tc>
        <w:tc>
          <w:tcPr>
            <w:tcW w:w="1240" w:type="dxa"/>
            <w:vAlign w:val="bottom"/>
            <w:tcBorders>
              <w:top w:val="single" w:sz="8" w:color="auto"/>
            </w:tcBorders>
            <w:vMerge w:val="restart"/>
          </w:tcPr>
          <w:p>
            <w:pPr>
              <w:jc w:val="right"/>
              <w:ind w:right="1059"/>
              <w:spacing w:after="0"/>
              <w:rPr>
                <w:sz w:val="20"/>
                <w:szCs w:val="20"/>
                <w:color w:val="auto"/>
              </w:rPr>
            </w:pPr>
            <w:r>
              <w:rPr>
                <w:rFonts w:ascii="Calibri" w:cs="Calibri" w:eastAsia="Calibri" w:hAnsi="Calibri"/>
                <w:sz w:val="16"/>
                <w:szCs w:val="16"/>
                <w:color w:val="auto"/>
                <w:w w:val="97"/>
              </w:rPr>
              <w:t>$</w:t>
            </w:r>
          </w:p>
        </w:tc>
        <w:tc>
          <w:tcPr>
            <w:tcW w:w="5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6"/>
                <w:szCs w:val="16"/>
                <w:color w:val="auto"/>
              </w:rPr>
              <w:t>103</w:t>
            </w:r>
          </w:p>
        </w:tc>
        <w:tc>
          <w:tcPr>
            <w:tcW w:w="120" w:type="dxa"/>
            <w:vAlign w:val="bottom"/>
          </w:tcPr>
          <w:p>
            <w:pPr>
              <w:spacing w:after="0"/>
              <w:rPr>
                <w:sz w:val="11"/>
                <w:szCs w:val="11"/>
                <w:color w:val="auto"/>
              </w:rPr>
            </w:pPr>
          </w:p>
        </w:tc>
        <w:tc>
          <w:tcPr>
            <w:tcW w:w="1200" w:type="dxa"/>
            <w:vAlign w:val="bottom"/>
            <w:tcBorders>
              <w:top w:val="single" w:sz="8" w:color="auto"/>
            </w:tcBorders>
            <w:vMerge w:val="restart"/>
          </w:tcPr>
          <w:p>
            <w:pPr>
              <w:jc w:val="right"/>
              <w:ind w:right="1019"/>
              <w:spacing w:after="0"/>
              <w:rPr>
                <w:sz w:val="20"/>
                <w:szCs w:val="20"/>
                <w:color w:val="auto"/>
              </w:rPr>
            </w:pPr>
            <w:r>
              <w:rPr>
                <w:rFonts w:ascii="Calibri" w:cs="Calibri" w:eastAsia="Calibri" w:hAnsi="Calibri"/>
                <w:sz w:val="16"/>
                <w:szCs w:val="16"/>
                <w:color w:val="auto"/>
                <w:w w:val="97"/>
              </w:rPr>
              <w:t>$</w:t>
            </w:r>
          </w:p>
        </w:tc>
        <w:tc>
          <w:tcPr>
            <w:tcW w:w="54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6"/>
                <w:szCs w:val="16"/>
                <w:color w:val="auto"/>
              </w:rPr>
              <w:t>(117)</w:t>
            </w:r>
          </w:p>
        </w:tc>
        <w:tc>
          <w:tcPr>
            <w:tcW w:w="80" w:type="dxa"/>
            <w:vAlign w:val="bottom"/>
          </w:tcPr>
          <w:p>
            <w:pPr>
              <w:spacing w:after="0"/>
              <w:rPr>
                <w:sz w:val="11"/>
                <w:szCs w:val="11"/>
                <w:color w:val="auto"/>
              </w:rPr>
            </w:pPr>
          </w:p>
        </w:tc>
        <w:tc>
          <w:tcPr>
            <w:tcW w:w="420" w:type="dxa"/>
            <w:vAlign w:val="bottom"/>
            <w:tcBorders>
              <w:top w:val="single" w:sz="8" w:color="auto"/>
            </w:tcBorders>
            <w:vMerge w:val="restart"/>
          </w:tcPr>
          <w:p>
            <w:pPr>
              <w:jc w:val="right"/>
              <w:ind w:right="239"/>
              <w:spacing w:after="0"/>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6"/>
                <w:szCs w:val="16"/>
                <w:color w:val="auto"/>
              </w:rPr>
              <w:t>413</w:t>
            </w:r>
          </w:p>
        </w:tc>
        <w:tc>
          <w:tcPr>
            <w:tcW w:w="80" w:type="dxa"/>
            <w:vAlign w:val="bottom"/>
          </w:tcPr>
          <w:p>
            <w:pPr>
              <w:spacing w:after="0"/>
              <w:rPr>
                <w:sz w:val="11"/>
                <w:szCs w:val="11"/>
                <w:color w:val="auto"/>
              </w:rPr>
            </w:pPr>
          </w:p>
        </w:tc>
        <w:tc>
          <w:tcPr>
            <w:tcW w:w="420" w:type="dxa"/>
            <w:vAlign w:val="bottom"/>
            <w:tcBorders>
              <w:top w:val="single" w:sz="8" w:color="auto"/>
            </w:tcBorders>
            <w:vMerge w:val="restart"/>
          </w:tcPr>
          <w:p>
            <w:pPr>
              <w:jc w:val="right"/>
              <w:ind w:right="239"/>
              <w:spacing w:after="0"/>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6"/>
                <w:szCs w:val="16"/>
                <w:color w:val="auto"/>
              </w:rPr>
              <w:t>(61)</w:t>
            </w:r>
          </w:p>
        </w:tc>
        <w:tc>
          <w:tcPr>
            <w:tcW w:w="0" w:type="dxa"/>
            <w:vAlign w:val="bottom"/>
          </w:tcPr>
          <w:p>
            <w:pPr>
              <w:spacing w:after="0"/>
              <w:rPr>
                <w:sz w:val="1"/>
                <w:szCs w:val="1"/>
                <w:color w:val="auto"/>
              </w:rPr>
            </w:pPr>
          </w:p>
        </w:tc>
      </w:tr>
      <w:tr>
        <w:trPr>
          <w:trHeight w:val="199"/>
        </w:trPr>
        <w:tc>
          <w:tcPr>
            <w:tcW w:w="3960" w:type="dxa"/>
            <w:vAlign w:val="bottom"/>
          </w:tcPr>
          <w:p>
            <w:pPr>
              <w:ind w:left="140"/>
              <w:spacing w:after="0" w:line="193" w:lineRule="exact"/>
              <w:rPr>
                <w:sz w:val="20"/>
                <w:szCs w:val="20"/>
                <w:color w:val="auto"/>
              </w:rPr>
            </w:pPr>
            <w:r>
              <w:rPr>
                <w:rFonts w:ascii="Calibri" w:cs="Calibri" w:eastAsia="Calibri" w:hAnsi="Calibri"/>
                <w:sz w:val="16"/>
                <w:szCs w:val="16"/>
                <w:color w:val="auto"/>
              </w:rPr>
              <w:t>compensaton liabilites</w:t>
            </w:r>
          </w:p>
        </w:tc>
        <w:tc>
          <w:tcPr>
            <w:tcW w:w="12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640" w:hanging="632"/>
        <w:spacing w:after="0"/>
        <w:tabs>
          <w:tab w:leader="none" w:pos="640" w:val="left"/>
        </w:tabs>
        <w:numPr>
          <w:ilvl w:val="0"/>
          <w:numId w:val="14"/>
        </w:numPr>
        <w:rPr>
          <w:rFonts w:ascii="Calibri" w:cs="Calibri" w:eastAsia="Calibri" w:hAnsi="Calibri"/>
          <w:sz w:val="16"/>
          <w:szCs w:val="16"/>
          <w:color w:val="auto"/>
        </w:rPr>
      </w:pPr>
      <w:r>
        <w:rPr>
          <w:rFonts w:ascii="Calibri" w:cs="Calibri" w:eastAsia="Calibri" w:hAnsi="Calibri"/>
          <w:sz w:val="16"/>
          <w:szCs w:val="16"/>
          <w:color w:val="auto"/>
        </w:rPr>
        <w:t>Includes legal reserve and setlement charges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40" w:type="dxa"/>
            <w:vAlign w:val="bottom"/>
            <w:gridSpan w:val="4"/>
          </w:tcPr>
          <w:p>
            <w:pPr>
              <w:jc w:val="right"/>
              <w:ind w:right="39"/>
              <w:spacing w:after="0"/>
              <w:rPr>
                <w:sz w:val="20"/>
                <w:szCs w:val="20"/>
                <w:color w:val="auto"/>
              </w:rPr>
            </w:pPr>
            <w:r>
              <w:rPr>
                <w:rFonts w:ascii="Calibri" w:cs="Calibri" w:eastAsia="Calibri" w:hAnsi="Calibri"/>
                <w:sz w:val="16"/>
                <w:szCs w:val="16"/>
                <w:b w:val="1"/>
                <w:bCs w:val="1"/>
                <w:color w:val="auto"/>
              </w:rPr>
              <w:t>Three Months Ended October 31,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639"/>
              <w:spacing w:after="0"/>
              <w:rPr>
                <w:sz w:val="20"/>
                <w:szCs w:val="20"/>
                <w:color w:val="auto"/>
              </w:rPr>
            </w:pPr>
            <w:r>
              <w:rPr>
                <w:rFonts w:ascii="Calibri" w:cs="Calibri" w:eastAsia="Calibri" w:hAnsi="Calibri"/>
                <w:sz w:val="16"/>
                <w:szCs w:val="16"/>
                <w:b w:val="1"/>
                <w:bCs w:val="1"/>
                <w:color w:val="auto"/>
              </w:rPr>
              <w:t>Nine Months Ended October 31,</w:t>
            </w:r>
          </w:p>
        </w:tc>
      </w:tr>
      <w:tr>
        <w:trPr>
          <w:trHeight w:val="28"/>
        </w:trPr>
        <w:tc>
          <w:tcPr>
            <w:tcW w:w="39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7"/>
        </w:trPr>
        <w:tc>
          <w:tcPr>
            <w:tcW w:w="3960" w:type="dxa"/>
            <w:vAlign w:val="bottom"/>
          </w:tcPr>
          <w:p>
            <w:pPr>
              <w:spacing w:after="0"/>
              <w:rPr>
                <w:sz w:val="16"/>
                <w:szCs w:val="16"/>
                <w:color w:val="auto"/>
              </w:rPr>
            </w:pPr>
          </w:p>
        </w:tc>
        <w:tc>
          <w:tcPr>
            <w:tcW w:w="1280" w:type="dxa"/>
            <w:vAlign w:val="bottom"/>
          </w:tcPr>
          <w:p>
            <w:pPr>
              <w:jc w:val="right"/>
              <w:ind w:right="159"/>
              <w:spacing w:after="0" w:line="187" w:lineRule="exact"/>
              <w:rPr>
                <w:sz w:val="20"/>
                <w:szCs w:val="20"/>
                <w:color w:val="auto"/>
              </w:rPr>
            </w:pPr>
            <w:r>
              <w:rPr>
                <w:rFonts w:ascii="Calibri" w:cs="Calibri" w:eastAsia="Calibri" w:hAnsi="Calibri"/>
                <w:sz w:val="16"/>
                <w:szCs w:val="16"/>
                <w:b w:val="1"/>
                <w:bCs w:val="1"/>
                <w:color w:val="auto"/>
              </w:rPr>
              <w:t>2024</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79"/>
              <w:spacing w:after="0" w:line="187" w:lineRule="exact"/>
              <w:rPr>
                <w:sz w:val="20"/>
                <w:szCs w:val="20"/>
                <w:color w:val="auto"/>
              </w:rPr>
            </w:pPr>
            <w:r>
              <w:rPr>
                <w:rFonts w:ascii="Calibri" w:cs="Calibri" w:eastAsia="Calibri" w:hAnsi="Calibri"/>
                <w:sz w:val="16"/>
                <w:szCs w:val="16"/>
                <w:b w:val="1"/>
                <w:bCs w:val="1"/>
                <w:color w:val="auto"/>
              </w:rPr>
              <w:t>2023</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2023</w:t>
            </w:r>
          </w:p>
        </w:tc>
      </w:tr>
      <w:tr>
        <w:trPr>
          <w:trHeight w:val="23"/>
        </w:trPr>
        <w:tc>
          <w:tcPr>
            <w:tcW w:w="39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9"/>
        </w:trPr>
        <w:tc>
          <w:tcPr>
            <w:tcW w:w="396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General and administratve</w:t>
            </w:r>
          </w:p>
        </w:tc>
        <w:tc>
          <w:tcPr>
            <w:tcW w:w="1280" w:type="dxa"/>
            <w:vAlign w:val="bottom"/>
            <w:tcBorders>
              <w:bottom w:val="single" w:sz="8" w:color="CCEEFF"/>
            </w:tcBorders>
            <w:shd w:val="clear" w:color="auto" w:fill="CCEEFF"/>
          </w:tcPr>
          <w:p>
            <w:pPr>
              <w:jc w:val="right"/>
              <w:ind w:right="1099"/>
              <w:spacing w:after="0" w:line="187" w:lineRule="exact"/>
              <w:rPr>
                <w:sz w:val="20"/>
                <w:szCs w:val="20"/>
                <w:color w:val="auto"/>
              </w:rPr>
            </w:pPr>
            <w:r>
              <w:rPr>
                <w:rFonts w:ascii="Calibri" w:cs="Calibri" w:eastAsia="Calibri" w:hAnsi="Calibri"/>
                <w:sz w:val="16"/>
                <w:szCs w:val="16"/>
                <w:color w:val="auto"/>
                <w:w w:val="97"/>
              </w:rPr>
              <w:t>$</w:t>
            </w:r>
          </w:p>
        </w:tc>
        <w:tc>
          <w:tcPr>
            <w:tcW w:w="460" w:type="dxa"/>
            <w:vAlign w:val="bottom"/>
            <w:tcBorders>
              <w:bottom w:val="single" w:sz="8" w:color="CCEEFF"/>
            </w:tcBorders>
            <w:shd w:val="clear" w:color="auto" w:fill="CCEEFF"/>
          </w:tcPr>
          <w:p>
            <w:pPr>
              <w:ind w:left="260"/>
              <w:spacing w:after="0" w:line="187"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999"/>
              <w:spacing w:after="0" w:line="187"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4,700</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ind w:left="1120"/>
              <w:spacing w:after="0" w:line="187" w:lineRule="exact"/>
              <w:rPr>
                <w:sz w:val="20"/>
                <w:szCs w:val="20"/>
                <w:color w:val="auto"/>
              </w:rPr>
            </w:pPr>
            <w:r>
              <w:rPr>
                <w:rFonts w:ascii="Calibri" w:cs="Calibri" w:eastAsia="Calibri" w:hAnsi="Calibri"/>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6,797</w:t>
            </w:r>
          </w:p>
        </w:tc>
      </w:tr>
      <w:tr>
        <w:trPr>
          <w:trHeight w:val="187"/>
        </w:trPr>
        <w:tc>
          <w:tcPr>
            <w:tcW w:w="3960" w:type="dxa"/>
            <w:vAlign w:val="bottom"/>
          </w:tcPr>
          <w:p>
            <w:pPr>
              <w:ind w:left="140"/>
              <w:spacing w:after="0" w:line="182" w:lineRule="exact"/>
              <w:rPr>
                <w:sz w:val="20"/>
                <w:szCs w:val="20"/>
                <w:color w:val="auto"/>
              </w:rPr>
            </w:pPr>
            <w:r>
              <w:rPr>
                <w:rFonts w:ascii="Calibri" w:cs="Calibri" w:eastAsia="Calibri" w:hAnsi="Calibri"/>
                <w:sz w:val="16"/>
                <w:szCs w:val="16"/>
                <w:color w:val="auto"/>
              </w:rPr>
              <w:t>Total legal reserve and setlement charges</w:t>
            </w:r>
          </w:p>
        </w:tc>
        <w:tc>
          <w:tcPr>
            <w:tcW w:w="1280" w:type="dxa"/>
            <w:vAlign w:val="bottom"/>
            <w:tcBorders>
              <w:top w:val="single" w:sz="8" w:color="auto"/>
            </w:tcBorders>
          </w:tcPr>
          <w:p>
            <w:pPr>
              <w:jc w:val="right"/>
              <w:ind w:right="1099"/>
              <w:spacing w:after="0" w:line="187" w:lineRule="exact"/>
              <w:rPr>
                <w:sz w:val="20"/>
                <w:szCs w:val="20"/>
                <w:color w:val="auto"/>
              </w:rPr>
            </w:pPr>
            <w:r>
              <w:rPr>
                <w:rFonts w:ascii="Calibri" w:cs="Calibri" w:eastAsia="Calibri" w:hAnsi="Calibri"/>
                <w:sz w:val="16"/>
                <w:szCs w:val="16"/>
                <w:color w:val="auto"/>
                <w:w w:val="97"/>
              </w:rPr>
              <w:t>$</w:t>
            </w:r>
          </w:p>
        </w:tc>
        <w:tc>
          <w:tcPr>
            <w:tcW w:w="460" w:type="dxa"/>
            <w:vAlign w:val="bottom"/>
            <w:tcBorders>
              <w:top w:val="single" w:sz="8" w:color="auto"/>
            </w:tcBorders>
          </w:tcPr>
          <w:p>
            <w:pPr>
              <w:ind w:left="260"/>
              <w:spacing w:after="0" w:line="187"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1180" w:type="dxa"/>
            <w:vAlign w:val="bottom"/>
            <w:tcBorders>
              <w:top w:val="single" w:sz="8" w:color="auto"/>
            </w:tcBorders>
          </w:tcPr>
          <w:p>
            <w:pPr>
              <w:jc w:val="right"/>
              <w:ind w:right="999"/>
              <w:spacing w:after="0" w:line="187" w:lineRule="exact"/>
              <w:rPr>
                <w:sz w:val="20"/>
                <w:szCs w:val="20"/>
                <w:color w:val="auto"/>
              </w:rPr>
            </w:pPr>
            <w:r>
              <w:rPr>
                <w:rFonts w:ascii="Calibri" w:cs="Calibri" w:eastAsia="Calibri" w:hAnsi="Calibri"/>
                <w:sz w:val="16"/>
                <w:szCs w:val="16"/>
                <w:color w:val="auto"/>
                <w:w w:val="97"/>
              </w:rPr>
              <w:t>$</w:t>
            </w:r>
          </w:p>
        </w:tc>
        <w:tc>
          <w:tcPr>
            <w:tcW w:w="5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4,700</w:t>
            </w:r>
          </w:p>
        </w:tc>
        <w:tc>
          <w:tcPr>
            <w:tcW w:w="80" w:type="dxa"/>
            <w:vAlign w:val="bottom"/>
          </w:tcPr>
          <w:p>
            <w:pPr>
              <w:spacing w:after="0"/>
              <w:rPr>
                <w:sz w:val="16"/>
                <w:szCs w:val="16"/>
                <w:color w:val="auto"/>
              </w:rPr>
            </w:pPr>
          </w:p>
        </w:tc>
        <w:tc>
          <w:tcPr>
            <w:tcW w:w="420" w:type="dxa"/>
            <w:vAlign w:val="bottom"/>
            <w:tcBorders>
              <w:top w:val="single" w:sz="8" w:color="auto"/>
            </w:tcBorders>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tcBorders>
          </w:tcPr>
          <w:p>
            <w:pPr>
              <w:ind w:left="1120"/>
              <w:spacing w:after="0" w:line="187" w:lineRule="exact"/>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6"/>
                <w:szCs w:val="16"/>
                <w:color w:val="auto"/>
              </w:rPr>
            </w:pPr>
          </w:p>
        </w:tc>
        <w:tc>
          <w:tcPr>
            <w:tcW w:w="420" w:type="dxa"/>
            <w:vAlign w:val="bottom"/>
            <w:tcBorders>
              <w:top w:val="single" w:sz="8" w:color="auto"/>
            </w:tcBorders>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6,797</w:t>
            </w:r>
          </w:p>
        </w:tc>
      </w:tr>
      <w:tr>
        <w:trPr>
          <w:trHeight w:val="23"/>
        </w:trPr>
        <w:tc>
          <w:tcPr>
            <w:tcW w:w="3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321" w:right="339" w:bottom="1440" w:gutter="0" w:footer="0" w:header="0"/>
        </w:sectPr>
      </w:pPr>
    </w:p>
    <w:bookmarkStart w:id="11" w:name="page12"/>
    <w:bookmarkEnd w:id="11"/>
    <w:p>
      <w:pPr>
        <w:ind w:firstLine="8"/>
        <w:spacing w:after="0" w:line="235" w:lineRule="auto"/>
        <w:tabs>
          <w:tab w:leader="none" w:pos="639" w:val="left"/>
        </w:tabs>
        <w:numPr>
          <w:ilvl w:val="0"/>
          <w:numId w:val="15"/>
        </w:numPr>
        <w:rPr>
          <w:rFonts w:ascii="Calibri" w:cs="Calibri" w:eastAsia="Calibri" w:hAnsi="Calibri"/>
          <w:sz w:val="16"/>
          <w:szCs w:val="16"/>
          <w:color w:val="auto"/>
        </w:rPr>
      </w:pPr>
      <w:r>
        <w:rPr>
          <w:rFonts w:ascii="Calibri" w:cs="Calibri" w:eastAsia="Calibri" w:hAnsi="Calibri"/>
          <w:sz w:val="16"/>
          <w:szCs w:val="16"/>
          <w:color w:val="auto"/>
        </w:rPr>
        <w:t>Includes July 19 Incident related costs, net such as legal fees, remediaton costs, sensor testng costs, and insurance receivables among others, as follows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140" w:type="dxa"/>
            <w:vAlign w:val="bottom"/>
            <w:gridSpan w:val="4"/>
          </w:tcPr>
          <w:p>
            <w:pPr>
              <w:jc w:val="right"/>
              <w:ind w:right="139"/>
              <w:spacing w:after="0"/>
              <w:rPr>
                <w:sz w:val="20"/>
                <w:szCs w:val="20"/>
                <w:color w:val="auto"/>
              </w:rPr>
            </w:pPr>
            <w:r>
              <w:rPr>
                <w:rFonts w:ascii="Calibri" w:cs="Calibri" w:eastAsia="Calibri" w:hAnsi="Calibri"/>
                <w:sz w:val="16"/>
                <w:szCs w:val="16"/>
                <w:b w:val="1"/>
                <w:bCs w:val="1"/>
                <w:color w:val="auto"/>
              </w:rPr>
              <w:t>Three Months Ended October 31,</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639"/>
              <w:spacing w:after="0"/>
              <w:rPr>
                <w:sz w:val="20"/>
                <w:szCs w:val="20"/>
                <w:color w:val="auto"/>
              </w:rPr>
            </w:pPr>
            <w:r>
              <w:rPr>
                <w:rFonts w:ascii="Calibri" w:cs="Calibri" w:eastAsia="Calibri" w:hAnsi="Calibri"/>
                <w:sz w:val="16"/>
                <w:szCs w:val="16"/>
                <w:b w:val="1"/>
                <w:bCs w:val="1"/>
                <w:color w:val="auto"/>
              </w:rPr>
              <w:t>Nine Months Ended October 31,</w:t>
            </w:r>
          </w:p>
        </w:tc>
      </w:tr>
      <w:tr>
        <w:trPr>
          <w:trHeight w:val="28"/>
        </w:trPr>
        <w:tc>
          <w:tcPr>
            <w:tcW w:w="39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7"/>
        </w:trPr>
        <w:tc>
          <w:tcPr>
            <w:tcW w:w="3960" w:type="dxa"/>
            <w:vAlign w:val="bottom"/>
          </w:tcPr>
          <w:p>
            <w:pPr>
              <w:spacing w:after="0"/>
              <w:rPr>
                <w:sz w:val="16"/>
                <w:szCs w:val="16"/>
                <w:color w:val="auto"/>
              </w:rPr>
            </w:pPr>
          </w:p>
        </w:tc>
        <w:tc>
          <w:tcPr>
            <w:tcW w:w="1140" w:type="dxa"/>
            <w:vAlign w:val="bottom"/>
          </w:tcPr>
          <w:p>
            <w:pPr>
              <w:jc w:val="right"/>
              <w:ind w:right="19"/>
              <w:spacing w:after="0" w:line="187" w:lineRule="exact"/>
              <w:rPr>
                <w:sz w:val="20"/>
                <w:szCs w:val="20"/>
                <w:color w:val="auto"/>
              </w:rPr>
            </w:pPr>
            <w:r>
              <w:rPr>
                <w:rFonts w:ascii="Calibri" w:cs="Calibri" w:eastAsia="Calibri" w:hAnsi="Calibri"/>
                <w:sz w:val="16"/>
                <w:szCs w:val="16"/>
                <w:b w:val="1"/>
                <w:bCs w:val="1"/>
                <w:color w:val="auto"/>
              </w:rPr>
              <w:t>2024</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179"/>
              <w:spacing w:after="0" w:line="187" w:lineRule="exact"/>
              <w:rPr>
                <w:sz w:val="20"/>
                <w:szCs w:val="20"/>
                <w:color w:val="auto"/>
              </w:rPr>
            </w:pPr>
            <w:r>
              <w:rPr>
                <w:rFonts w:ascii="Calibri" w:cs="Calibri" w:eastAsia="Calibri" w:hAnsi="Calibri"/>
                <w:sz w:val="16"/>
                <w:szCs w:val="16"/>
                <w:b w:val="1"/>
                <w:bCs w:val="1"/>
                <w:color w:val="auto"/>
              </w:rPr>
              <w:t>2023</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2023</w:t>
            </w:r>
          </w:p>
        </w:tc>
      </w:tr>
      <w:tr>
        <w:trPr>
          <w:trHeight w:val="23"/>
        </w:trPr>
        <w:tc>
          <w:tcPr>
            <w:tcW w:w="39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9"/>
        </w:trPr>
        <w:tc>
          <w:tcPr>
            <w:tcW w:w="396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Sales and marketng</w:t>
            </w:r>
          </w:p>
        </w:tc>
        <w:tc>
          <w:tcPr>
            <w:tcW w:w="1140" w:type="dxa"/>
            <w:vAlign w:val="bottom"/>
            <w:tcBorders>
              <w:bottom w:val="single" w:sz="8" w:color="CCEEFF"/>
            </w:tcBorders>
            <w:shd w:val="clear" w:color="auto" w:fill="CCEEFF"/>
          </w:tcPr>
          <w:p>
            <w:pPr>
              <w:jc w:val="right"/>
              <w:ind w:right="959"/>
              <w:spacing w:after="0" w:line="187" w:lineRule="exact"/>
              <w:rPr>
                <w:sz w:val="20"/>
                <w:szCs w:val="20"/>
                <w:color w:val="auto"/>
              </w:rPr>
            </w:pPr>
            <w:r>
              <w:rPr>
                <w:rFonts w:ascii="Calibri" w:cs="Calibri" w:eastAsia="Calibri" w:hAnsi="Calibri"/>
                <w:sz w:val="16"/>
                <w:szCs w:val="16"/>
                <w:color w:val="auto"/>
                <w:w w:val="97"/>
              </w:rPr>
              <w:t>$</w:t>
            </w:r>
          </w:p>
        </w:tc>
        <w:tc>
          <w:tcPr>
            <w:tcW w:w="6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15,089</w:t>
            </w: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099"/>
              <w:spacing w:after="0" w:line="187" w:lineRule="exact"/>
              <w:rPr>
                <w:sz w:val="20"/>
                <w:szCs w:val="20"/>
                <w:color w:val="auto"/>
              </w:rPr>
            </w:pPr>
            <w:r>
              <w:rPr>
                <w:rFonts w:ascii="Calibri" w:cs="Calibri" w:eastAsia="Calibri" w:hAnsi="Calibri"/>
                <w:sz w:val="16"/>
                <w:szCs w:val="16"/>
                <w:color w:val="auto"/>
                <w:w w:val="97"/>
              </w:rPr>
              <w:t>$</w:t>
            </w:r>
          </w:p>
        </w:tc>
        <w:tc>
          <w:tcPr>
            <w:tcW w:w="460" w:type="dxa"/>
            <w:vAlign w:val="bottom"/>
            <w:tcBorders>
              <w:bottom w:val="single" w:sz="8" w:color="CCEEFF"/>
            </w:tcBorders>
            <w:shd w:val="clear" w:color="auto" w:fill="CCEEFF"/>
          </w:tcPr>
          <w:p>
            <w:pPr>
              <w:ind w:left="240"/>
              <w:spacing w:after="0" w:line="187" w:lineRule="exact"/>
              <w:rPr>
                <w:sz w:val="20"/>
                <w:szCs w:val="20"/>
                <w:color w:val="auto"/>
              </w:rPr>
            </w:pPr>
            <w:r>
              <w:rPr>
                <w:rFonts w:ascii="Calibri" w:cs="Calibri" w:eastAsia="Calibri" w:hAnsi="Calibri"/>
                <w:sz w:val="16"/>
                <w:szCs w:val="16"/>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18,182</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ind w:left="1140"/>
              <w:spacing w:after="0" w:line="187" w:lineRule="exact"/>
              <w:rPr>
                <w:sz w:val="20"/>
                <w:szCs w:val="20"/>
                <w:color w:val="auto"/>
              </w:rPr>
            </w:pPr>
            <w:r>
              <w:rPr>
                <w:rFonts w:ascii="Calibri" w:cs="Calibri" w:eastAsia="Calibri" w:hAnsi="Calibri"/>
                <w:sz w:val="16"/>
                <w:szCs w:val="16"/>
                <w:color w:val="auto"/>
              </w:rPr>
              <w:t>—</w:t>
            </w:r>
          </w:p>
        </w:tc>
      </w:tr>
      <w:tr>
        <w:trPr>
          <w:trHeight w:val="193"/>
        </w:trPr>
        <w:tc>
          <w:tcPr>
            <w:tcW w:w="3960" w:type="dxa"/>
            <w:vAlign w:val="bottom"/>
          </w:tcPr>
          <w:p>
            <w:pPr>
              <w:ind w:left="20"/>
              <w:spacing w:after="0" w:line="193" w:lineRule="exact"/>
              <w:rPr>
                <w:sz w:val="20"/>
                <w:szCs w:val="20"/>
                <w:color w:val="auto"/>
              </w:rPr>
            </w:pPr>
            <w:r>
              <w:rPr>
                <w:rFonts w:ascii="Calibri" w:cs="Calibri" w:eastAsia="Calibri" w:hAnsi="Calibri"/>
                <w:sz w:val="16"/>
                <w:szCs w:val="16"/>
                <w:color w:val="auto"/>
              </w:rPr>
              <w:t>Research and development</w:t>
            </w:r>
          </w:p>
        </w:tc>
        <w:tc>
          <w:tcPr>
            <w:tcW w:w="1140" w:type="dxa"/>
            <w:vAlign w:val="bottom"/>
          </w:tcPr>
          <w:p>
            <w:pPr>
              <w:spacing w:after="0"/>
              <w:rPr>
                <w:sz w:val="16"/>
                <w:szCs w:val="16"/>
                <w:color w:val="auto"/>
              </w:rPr>
            </w:pPr>
          </w:p>
        </w:tc>
        <w:tc>
          <w:tcPr>
            <w:tcW w:w="600" w:type="dxa"/>
            <w:vAlign w:val="bottom"/>
          </w:tcPr>
          <w:p>
            <w:pPr>
              <w:jc w:val="right"/>
              <w:spacing w:after="0" w:line="193" w:lineRule="exact"/>
              <w:rPr>
                <w:sz w:val="20"/>
                <w:szCs w:val="20"/>
                <w:color w:val="auto"/>
              </w:rPr>
            </w:pPr>
            <w:r>
              <w:rPr>
                <w:rFonts w:ascii="Calibri" w:cs="Calibri" w:eastAsia="Calibri" w:hAnsi="Calibri"/>
                <w:sz w:val="16"/>
                <w:szCs w:val="16"/>
                <w:color w:val="auto"/>
              </w:rPr>
              <w:t>3,549</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40" w:type="dxa"/>
            <w:vAlign w:val="bottom"/>
            <w:gridSpan w:val="2"/>
          </w:tcPr>
          <w:p>
            <w:pPr>
              <w:ind w:left="240"/>
              <w:spacing w:after="0" w:line="193" w:lineRule="exact"/>
              <w:rPr>
                <w:sz w:val="20"/>
                <w:szCs w:val="20"/>
                <w:color w:val="auto"/>
              </w:rPr>
            </w:pPr>
            <w:r>
              <w:rPr>
                <w:rFonts w:ascii="Calibri" w:cs="Calibri" w:eastAsia="Calibri" w:hAnsi="Calibri"/>
                <w:sz w:val="16"/>
                <w:szCs w:val="16"/>
                <w:color w:val="auto"/>
              </w:rPr>
              <w:t>—</w:t>
            </w:r>
          </w:p>
        </w:tc>
        <w:tc>
          <w:tcPr>
            <w:tcW w:w="42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4,550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ind w:left="1140"/>
              <w:spacing w:after="0" w:line="193" w:lineRule="exact"/>
              <w:rPr>
                <w:sz w:val="20"/>
                <w:szCs w:val="20"/>
                <w:color w:val="auto"/>
              </w:rPr>
            </w:pPr>
            <w:r>
              <w:rPr>
                <w:rFonts w:ascii="Calibri" w:cs="Calibri" w:eastAsia="Calibri" w:hAnsi="Calibri"/>
                <w:sz w:val="16"/>
                <w:szCs w:val="16"/>
                <w:color w:val="auto"/>
              </w:rPr>
              <w:t>—</w:t>
            </w:r>
          </w:p>
        </w:tc>
      </w:tr>
      <w:tr>
        <w:trPr>
          <w:trHeight w:val="23"/>
        </w:trPr>
        <w:tc>
          <w:tcPr>
            <w:tcW w:w="3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39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General and administratve</w:t>
            </w:r>
          </w:p>
        </w:tc>
        <w:tc>
          <w:tcPr>
            <w:tcW w:w="1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15,284</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ind w:left="240"/>
              <w:spacing w:after="0" w:line="193" w:lineRule="exact"/>
              <w:rPr>
                <w:sz w:val="20"/>
                <w:szCs w:val="20"/>
                <w:color w:val="auto"/>
              </w:rPr>
            </w:pPr>
            <w:r>
              <w:rPr>
                <w:rFonts w:ascii="Calibri" w:cs="Calibri" w:eastAsia="Calibri" w:hAnsi="Calibri"/>
                <w:sz w:val="16"/>
                <w:szCs w:val="16"/>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16,322</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ind w:left="1140"/>
              <w:spacing w:after="0" w:line="193" w:lineRule="exact"/>
              <w:rPr>
                <w:sz w:val="20"/>
                <w:szCs w:val="20"/>
                <w:color w:val="auto"/>
              </w:rPr>
            </w:pPr>
            <w:r>
              <w:rPr>
                <w:rFonts w:ascii="Calibri" w:cs="Calibri" w:eastAsia="Calibri" w:hAnsi="Calibri"/>
                <w:sz w:val="16"/>
                <w:szCs w:val="16"/>
                <w:color w:val="auto"/>
              </w:rPr>
              <w:t>—</w:t>
            </w:r>
          </w:p>
        </w:tc>
      </w:tr>
      <w:tr>
        <w:trPr>
          <w:trHeight w:val="209"/>
        </w:trPr>
        <w:tc>
          <w:tcPr>
            <w:tcW w:w="3960" w:type="dxa"/>
            <w:vAlign w:val="bottom"/>
          </w:tcPr>
          <w:p>
            <w:pPr>
              <w:ind w:left="140"/>
              <w:spacing w:after="0"/>
              <w:rPr>
                <w:sz w:val="20"/>
                <w:szCs w:val="20"/>
                <w:color w:val="auto"/>
              </w:rPr>
            </w:pPr>
            <w:r>
              <w:rPr>
                <w:rFonts w:ascii="Calibri" w:cs="Calibri" w:eastAsia="Calibri" w:hAnsi="Calibri"/>
                <w:sz w:val="16"/>
                <w:szCs w:val="16"/>
                <w:color w:val="auto"/>
              </w:rPr>
              <w:t>Total July 19 Incident related costs, net</w:t>
            </w:r>
          </w:p>
        </w:tc>
        <w:tc>
          <w:tcPr>
            <w:tcW w:w="1140" w:type="dxa"/>
            <w:vAlign w:val="bottom"/>
            <w:tcBorders>
              <w:top w:val="single" w:sz="8" w:color="auto"/>
              <w:bottom w:val="single" w:sz="8" w:color="auto"/>
            </w:tcBorders>
          </w:tcPr>
          <w:p>
            <w:pPr>
              <w:jc w:val="right"/>
              <w:ind w:right="959"/>
              <w:spacing w:after="0" w:line="193" w:lineRule="exact"/>
              <w:rPr>
                <w:sz w:val="20"/>
                <w:szCs w:val="20"/>
                <w:color w:val="auto"/>
              </w:rPr>
            </w:pPr>
            <w:r>
              <w:rPr>
                <w:rFonts w:ascii="Calibri" w:cs="Calibri" w:eastAsia="Calibri" w:hAnsi="Calibri"/>
                <w:sz w:val="16"/>
                <w:szCs w:val="16"/>
                <w:color w:val="auto"/>
                <w:w w:val="97"/>
              </w:rPr>
              <w:t>$</w:t>
            </w:r>
          </w:p>
        </w:tc>
        <w:tc>
          <w:tcPr>
            <w:tcW w:w="60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33,922</w:t>
            </w:r>
          </w:p>
        </w:tc>
        <w:tc>
          <w:tcPr>
            <w:tcW w:w="1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1099"/>
              <w:spacing w:after="0" w:line="193" w:lineRule="exact"/>
              <w:rPr>
                <w:sz w:val="20"/>
                <w:szCs w:val="20"/>
                <w:color w:val="auto"/>
              </w:rPr>
            </w:pPr>
            <w:r>
              <w:rPr>
                <w:rFonts w:ascii="Calibri" w:cs="Calibri" w:eastAsia="Calibri" w:hAnsi="Calibri"/>
                <w:sz w:val="16"/>
                <w:szCs w:val="16"/>
                <w:color w:val="auto"/>
                <w:w w:val="97"/>
              </w:rPr>
              <w:t>$</w:t>
            </w:r>
          </w:p>
        </w:tc>
        <w:tc>
          <w:tcPr>
            <w:tcW w:w="460" w:type="dxa"/>
            <w:vAlign w:val="bottom"/>
            <w:tcBorders>
              <w:top w:val="single" w:sz="8" w:color="auto"/>
              <w:bottom w:val="single" w:sz="8" w:color="auto"/>
            </w:tcBorders>
          </w:tcPr>
          <w:p>
            <w:pPr>
              <w:ind w:left="240"/>
              <w:spacing w:after="0" w:line="193" w:lineRule="exact"/>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39,054</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bottom w:val="single" w:sz="8" w:color="auto"/>
            </w:tcBorders>
          </w:tcPr>
          <w:p>
            <w:pPr>
              <w:ind w:left="1140"/>
              <w:spacing w:after="0" w:line="193" w:lineRule="exact"/>
              <w:rPr>
                <w:sz w:val="20"/>
                <w:szCs w:val="20"/>
                <w:color w:val="auto"/>
              </w:rPr>
            </w:pPr>
            <w:r>
              <w:rPr>
                <w:rFonts w:ascii="Calibri" w:cs="Calibri" w:eastAsia="Calibri" w:hAnsi="Calibri"/>
                <w:sz w:val="16"/>
                <w:szCs w:val="16"/>
                <w:color w:val="auto"/>
              </w:rPr>
              <w:t>—</w:t>
            </w:r>
          </w:p>
        </w:tc>
      </w:tr>
      <w:tr>
        <w:trPr>
          <w:trHeight w:val="21"/>
        </w:trPr>
        <w:tc>
          <w:tcPr>
            <w:tcW w:w="3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640" w:hanging="632"/>
        <w:spacing w:after="0"/>
        <w:tabs>
          <w:tab w:leader="none" w:pos="640" w:val="left"/>
        </w:tabs>
        <w:numPr>
          <w:ilvl w:val="0"/>
          <w:numId w:val="16"/>
        </w:numPr>
        <w:rPr>
          <w:rFonts w:ascii="Calibri" w:cs="Calibri" w:eastAsia="Calibri" w:hAnsi="Calibri"/>
          <w:sz w:val="16"/>
          <w:szCs w:val="16"/>
          <w:color w:val="auto"/>
        </w:rPr>
      </w:pPr>
      <w:r>
        <w:rPr>
          <w:rFonts w:ascii="Calibri" w:cs="Calibri" w:eastAsia="Calibri" w:hAnsi="Calibri"/>
          <w:sz w:val="16"/>
          <w:szCs w:val="16"/>
          <w:color w:val="auto"/>
        </w:rPr>
        <w:t>Includes amortzaton of debt issuance costs and discount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100" w:type="dxa"/>
            <w:vAlign w:val="bottom"/>
            <w:gridSpan w:val="4"/>
          </w:tcPr>
          <w:p>
            <w:pPr>
              <w:jc w:val="right"/>
              <w:ind w:right="99"/>
              <w:spacing w:after="0"/>
              <w:rPr>
                <w:sz w:val="20"/>
                <w:szCs w:val="20"/>
                <w:color w:val="auto"/>
              </w:rPr>
            </w:pPr>
            <w:r>
              <w:rPr>
                <w:rFonts w:ascii="Calibri" w:cs="Calibri" w:eastAsia="Calibri" w:hAnsi="Calibri"/>
                <w:sz w:val="16"/>
                <w:szCs w:val="16"/>
                <w:b w:val="1"/>
                <w:bCs w:val="1"/>
                <w:color w:val="auto"/>
              </w:rPr>
              <w:t>Three Months Ended October 31,</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639"/>
              <w:spacing w:after="0"/>
              <w:rPr>
                <w:sz w:val="20"/>
                <w:szCs w:val="20"/>
                <w:color w:val="auto"/>
              </w:rPr>
            </w:pPr>
            <w:r>
              <w:rPr>
                <w:rFonts w:ascii="Calibri" w:cs="Calibri" w:eastAsia="Calibri" w:hAnsi="Calibri"/>
                <w:sz w:val="16"/>
                <w:szCs w:val="16"/>
                <w:b w:val="1"/>
                <w:bCs w:val="1"/>
                <w:color w:val="auto"/>
              </w:rPr>
              <w:t>Nine Months Ended October 31,</w:t>
            </w:r>
          </w:p>
        </w:tc>
      </w:tr>
      <w:tr>
        <w:trPr>
          <w:trHeight w:val="28"/>
        </w:trPr>
        <w:tc>
          <w:tcPr>
            <w:tcW w:w="39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7"/>
        </w:trPr>
        <w:tc>
          <w:tcPr>
            <w:tcW w:w="3960" w:type="dxa"/>
            <w:vAlign w:val="bottom"/>
          </w:tcPr>
          <w:p>
            <w:pPr>
              <w:spacing w:after="0"/>
              <w:rPr>
                <w:sz w:val="16"/>
                <w:szCs w:val="16"/>
                <w:color w:val="auto"/>
              </w:rPr>
            </w:pPr>
          </w:p>
        </w:tc>
        <w:tc>
          <w:tcPr>
            <w:tcW w:w="1240" w:type="dxa"/>
            <w:vAlign w:val="bottom"/>
          </w:tcPr>
          <w:p>
            <w:pPr>
              <w:jc w:val="right"/>
              <w:ind w:right="119"/>
              <w:spacing w:after="0" w:line="187" w:lineRule="exact"/>
              <w:rPr>
                <w:sz w:val="20"/>
                <w:szCs w:val="20"/>
                <w:color w:val="auto"/>
              </w:rPr>
            </w:pPr>
            <w:r>
              <w:rPr>
                <w:rFonts w:ascii="Calibri" w:cs="Calibri" w:eastAsia="Calibri" w:hAnsi="Calibri"/>
                <w:sz w:val="16"/>
                <w:szCs w:val="16"/>
                <w:b w:val="1"/>
                <w:bCs w:val="1"/>
                <w:color w:val="auto"/>
              </w:rPr>
              <w:t>2024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139"/>
              <w:spacing w:after="0" w:line="187" w:lineRule="exact"/>
              <w:rPr>
                <w:sz w:val="20"/>
                <w:szCs w:val="20"/>
                <w:color w:val="auto"/>
              </w:rPr>
            </w:pPr>
            <w:r>
              <w:rPr>
                <w:rFonts w:ascii="Calibri" w:cs="Calibri" w:eastAsia="Calibri" w:hAnsi="Calibri"/>
                <w:sz w:val="16"/>
                <w:szCs w:val="16"/>
                <w:b w:val="1"/>
                <w:bCs w:val="1"/>
                <w:color w:val="auto"/>
              </w:rPr>
              <w:t>2023</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2023</w:t>
            </w:r>
          </w:p>
        </w:tc>
      </w:tr>
      <w:tr>
        <w:trPr>
          <w:trHeight w:val="23"/>
        </w:trPr>
        <w:tc>
          <w:tcPr>
            <w:tcW w:w="3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9"/>
        </w:trPr>
        <w:tc>
          <w:tcPr>
            <w:tcW w:w="396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Interest expense</w:t>
            </w:r>
          </w:p>
        </w:tc>
        <w:tc>
          <w:tcPr>
            <w:tcW w:w="1240" w:type="dxa"/>
            <w:vAlign w:val="bottom"/>
            <w:tcBorders>
              <w:bottom w:val="single" w:sz="8" w:color="CCEEFF"/>
            </w:tcBorders>
            <w:shd w:val="clear" w:color="auto" w:fill="CCEEFF"/>
          </w:tcPr>
          <w:p>
            <w:pPr>
              <w:jc w:val="right"/>
              <w:ind w:right="1059"/>
              <w:spacing w:after="0" w:line="187" w:lineRule="exact"/>
              <w:rPr>
                <w:sz w:val="20"/>
                <w:szCs w:val="20"/>
                <w:color w:val="auto"/>
              </w:rPr>
            </w:pPr>
            <w:r>
              <w:rPr>
                <w:rFonts w:ascii="Calibri" w:cs="Calibri" w:eastAsia="Calibri" w:hAnsi="Calibri"/>
                <w:sz w:val="16"/>
                <w:szCs w:val="16"/>
                <w:color w:val="auto"/>
                <w:w w:val="97"/>
              </w:rPr>
              <w:t>$</w:t>
            </w:r>
          </w:p>
        </w:tc>
        <w:tc>
          <w:tcPr>
            <w:tcW w:w="5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547</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059"/>
              <w:spacing w:after="0" w:line="187" w:lineRule="exact"/>
              <w:rPr>
                <w:sz w:val="20"/>
                <w:szCs w:val="20"/>
                <w:color w:val="auto"/>
              </w:rPr>
            </w:pPr>
            <w:r>
              <w:rPr>
                <w:rFonts w:ascii="Calibri" w:cs="Calibri" w:eastAsia="Calibri" w:hAnsi="Calibri"/>
                <w:sz w:val="16"/>
                <w:szCs w:val="16"/>
                <w:color w:val="auto"/>
                <w:w w:val="97"/>
              </w:rPr>
              <w:t>$</w:t>
            </w:r>
          </w:p>
        </w:tc>
        <w:tc>
          <w:tcPr>
            <w:tcW w:w="5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547</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1,640</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1,640</w:t>
            </w:r>
          </w:p>
        </w:tc>
      </w:tr>
      <w:tr>
        <w:trPr>
          <w:trHeight w:val="209"/>
        </w:trPr>
        <w:tc>
          <w:tcPr>
            <w:tcW w:w="3960" w:type="dxa"/>
            <w:vAlign w:val="bottom"/>
          </w:tcPr>
          <w:p>
            <w:pPr>
              <w:ind w:left="140"/>
              <w:spacing w:after="0"/>
              <w:rPr>
                <w:sz w:val="20"/>
                <w:szCs w:val="20"/>
                <w:color w:val="auto"/>
              </w:rPr>
            </w:pPr>
            <w:r>
              <w:rPr>
                <w:rFonts w:ascii="Calibri" w:cs="Calibri" w:eastAsia="Calibri" w:hAnsi="Calibri"/>
                <w:sz w:val="16"/>
                <w:szCs w:val="16"/>
                <w:color w:val="auto"/>
              </w:rPr>
              <w:t>Total amortzaton of debt issuance costs and discount</w:t>
            </w:r>
          </w:p>
        </w:tc>
        <w:tc>
          <w:tcPr>
            <w:tcW w:w="1240" w:type="dxa"/>
            <w:vAlign w:val="bottom"/>
            <w:tcBorders>
              <w:top w:val="single" w:sz="8" w:color="auto"/>
              <w:bottom w:val="single" w:sz="8" w:color="auto"/>
            </w:tcBorders>
          </w:tcPr>
          <w:p>
            <w:pPr>
              <w:jc w:val="right"/>
              <w:ind w:right="1059"/>
              <w:spacing w:after="0" w:line="193" w:lineRule="exact"/>
              <w:rPr>
                <w:sz w:val="20"/>
                <w:szCs w:val="20"/>
                <w:color w:val="auto"/>
              </w:rPr>
            </w:pPr>
            <w:r>
              <w:rPr>
                <w:rFonts w:ascii="Calibri" w:cs="Calibri" w:eastAsia="Calibri" w:hAnsi="Calibri"/>
                <w:sz w:val="16"/>
                <w:szCs w:val="16"/>
                <w:color w:val="auto"/>
                <w:w w:val="97"/>
              </w:rPr>
              <w:t>$</w:t>
            </w:r>
          </w:p>
        </w:tc>
        <w:tc>
          <w:tcPr>
            <w:tcW w:w="50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547</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1059"/>
              <w:spacing w:after="0" w:line="193" w:lineRule="exact"/>
              <w:rPr>
                <w:sz w:val="20"/>
                <w:szCs w:val="20"/>
                <w:color w:val="auto"/>
              </w:rPr>
            </w:pPr>
            <w:r>
              <w:rPr>
                <w:rFonts w:ascii="Calibri" w:cs="Calibri" w:eastAsia="Calibri" w:hAnsi="Calibri"/>
                <w:sz w:val="16"/>
                <w:szCs w:val="16"/>
                <w:color w:val="auto"/>
                <w:w w:val="97"/>
              </w:rPr>
              <w:t>$</w:t>
            </w:r>
          </w:p>
        </w:tc>
        <w:tc>
          <w:tcPr>
            <w:tcW w:w="50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547</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1,640</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1,640</w:t>
            </w:r>
          </w:p>
        </w:tc>
      </w:tr>
      <w:tr>
        <w:trPr>
          <w:trHeight w:val="21"/>
        </w:trPr>
        <w:tc>
          <w:tcPr>
            <w:tcW w:w="3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640" w:hanging="632"/>
        <w:spacing w:after="0"/>
        <w:tabs>
          <w:tab w:leader="none" w:pos="640" w:val="left"/>
        </w:tabs>
        <w:numPr>
          <w:ilvl w:val="0"/>
          <w:numId w:val="17"/>
        </w:numPr>
        <w:rPr>
          <w:rFonts w:ascii="Calibri" w:cs="Calibri" w:eastAsia="Calibri" w:hAnsi="Calibri"/>
          <w:sz w:val="16"/>
          <w:szCs w:val="16"/>
          <w:color w:val="auto"/>
        </w:rPr>
      </w:pPr>
      <w:r>
        <w:rPr>
          <w:rFonts w:ascii="Calibri" w:cs="Calibri" w:eastAsia="Calibri" w:hAnsi="Calibri"/>
          <w:sz w:val="16"/>
          <w:szCs w:val="16"/>
          <w:color w:val="auto"/>
        </w:rPr>
        <w:t>Includes gains and other income from strategic investments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180" w:type="dxa"/>
            <w:vAlign w:val="bottom"/>
            <w:gridSpan w:val="4"/>
          </w:tcPr>
          <w:p>
            <w:pPr>
              <w:jc w:val="right"/>
              <w:ind w:right="179"/>
              <w:spacing w:after="0"/>
              <w:rPr>
                <w:sz w:val="20"/>
                <w:szCs w:val="20"/>
                <w:color w:val="auto"/>
              </w:rPr>
            </w:pPr>
            <w:r>
              <w:rPr>
                <w:rFonts w:ascii="Calibri" w:cs="Calibri" w:eastAsia="Calibri" w:hAnsi="Calibri"/>
                <w:sz w:val="16"/>
                <w:szCs w:val="16"/>
                <w:b w:val="1"/>
                <w:bCs w:val="1"/>
                <w:color w:val="auto"/>
              </w:rPr>
              <w:t>Three Months Ended October 31,</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639"/>
              <w:spacing w:after="0"/>
              <w:rPr>
                <w:sz w:val="20"/>
                <w:szCs w:val="20"/>
                <w:color w:val="auto"/>
              </w:rPr>
            </w:pPr>
            <w:r>
              <w:rPr>
                <w:rFonts w:ascii="Calibri" w:cs="Calibri" w:eastAsia="Calibri" w:hAnsi="Calibri"/>
                <w:sz w:val="16"/>
                <w:szCs w:val="16"/>
                <w:b w:val="1"/>
                <w:bCs w:val="1"/>
                <w:color w:val="auto"/>
              </w:rPr>
              <w:t>Nine Months Ended October 31,</w:t>
            </w:r>
          </w:p>
        </w:tc>
      </w:tr>
      <w:tr>
        <w:trPr>
          <w:trHeight w:val="28"/>
        </w:trPr>
        <w:tc>
          <w:tcPr>
            <w:tcW w:w="3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7"/>
        </w:trPr>
        <w:tc>
          <w:tcPr>
            <w:tcW w:w="3960" w:type="dxa"/>
            <w:vAlign w:val="bottom"/>
          </w:tcPr>
          <w:p>
            <w:pPr>
              <w:spacing w:after="0"/>
              <w:rPr>
                <w:sz w:val="16"/>
                <w:szCs w:val="16"/>
                <w:color w:val="auto"/>
              </w:rPr>
            </w:pPr>
          </w:p>
        </w:tc>
        <w:tc>
          <w:tcPr>
            <w:tcW w:w="1320" w:type="dxa"/>
            <w:vAlign w:val="bottom"/>
          </w:tcPr>
          <w:p>
            <w:pPr>
              <w:jc w:val="right"/>
              <w:ind w:right="199"/>
              <w:spacing w:after="0" w:line="187" w:lineRule="exact"/>
              <w:rPr>
                <w:sz w:val="20"/>
                <w:szCs w:val="20"/>
                <w:color w:val="auto"/>
              </w:rPr>
            </w:pPr>
            <w:r>
              <w:rPr>
                <w:rFonts w:ascii="Calibri" w:cs="Calibri" w:eastAsia="Calibri" w:hAnsi="Calibri"/>
                <w:sz w:val="16"/>
                <w:szCs w:val="16"/>
                <w:b w:val="1"/>
                <w:bCs w:val="1"/>
                <w:color w:val="auto"/>
              </w:rPr>
              <w:t>2024</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219"/>
              <w:spacing w:after="0" w:line="187" w:lineRule="exact"/>
              <w:rPr>
                <w:sz w:val="20"/>
                <w:szCs w:val="20"/>
                <w:color w:val="auto"/>
              </w:rPr>
            </w:pPr>
            <w:r>
              <w:rPr>
                <w:rFonts w:ascii="Calibri" w:cs="Calibri" w:eastAsia="Calibri" w:hAnsi="Calibri"/>
                <w:sz w:val="16"/>
                <w:szCs w:val="16"/>
                <w:b w:val="1"/>
                <w:bCs w:val="1"/>
                <w:color w:val="auto"/>
              </w:rPr>
              <w:t>2023</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2023</w:t>
            </w:r>
          </w:p>
        </w:tc>
      </w:tr>
      <w:tr>
        <w:trPr>
          <w:trHeight w:val="23"/>
        </w:trPr>
        <w:tc>
          <w:tcPr>
            <w:tcW w:w="39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9"/>
        </w:trPr>
        <w:tc>
          <w:tcPr>
            <w:tcW w:w="396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Other income, net</w:t>
            </w:r>
          </w:p>
        </w:tc>
        <w:tc>
          <w:tcPr>
            <w:tcW w:w="1320" w:type="dxa"/>
            <w:vAlign w:val="bottom"/>
            <w:tcBorders>
              <w:bottom w:val="single" w:sz="8" w:color="CCEEFF"/>
            </w:tcBorders>
            <w:shd w:val="clear" w:color="auto" w:fill="CCEEFF"/>
          </w:tcPr>
          <w:p>
            <w:pPr>
              <w:jc w:val="right"/>
              <w:ind w:right="1139"/>
              <w:spacing w:after="0" w:line="187" w:lineRule="exact"/>
              <w:rPr>
                <w:sz w:val="20"/>
                <w:szCs w:val="20"/>
                <w:color w:val="auto"/>
              </w:rPr>
            </w:pPr>
            <w:r>
              <w:rPr>
                <w:rFonts w:ascii="Calibri" w:cs="Calibri" w:eastAsia="Calibri" w:hAnsi="Calibri"/>
                <w:sz w:val="16"/>
                <w:szCs w:val="16"/>
                <w:color w:val="auto"/>
                <w:w w:val="97"/>
              </w:rPr>
              <w:t>$</w:t>
            </w:r>
          </w:p>
        </w:tc>
        <w:tc>
          <w:tcPr>
            <w:tcW w:w="4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139"/>
              <w:spacing w:after="0" w:line="187" w:lineRule="exact"/>
              <w:rPr>
                <w:sz w:val="20"/>
                <w:szCs w:val="20"/>
                <w:color w:val="auto"/>
              </w:rPr>
            </w:pPr>
            <w:r>
              <w:rPr>
                <w:rFonts w:ascii="Calibri" w:cs="Calibri" w:eastAsia="Calibri" w:hAnsi="Calibri"/>
                <w:sz w:val="16"/>
                <w:szCs w:val="16"/>
                <w:color w:val="auto"/>
                <w:w w:val="97"/>
              </w:rPr>
              <w:t>$</w:t>
            </w:r>
          </w:p>
        </w:tc>
        <w:tc>
          <w:tcPr>
            <w:tcW w:w="4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6,248</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31</w:t>
            </w:r>
          </w:p>
        </w:tc>
      </w:tr>
      <w:tr>
        <w:trPr>
          <w:trHeight w:val="187"/>
        </w:trPr>
        <w:tc>
          <w:tcPr>
            <w:tcW w:w="3960" w:type="dxa"/>
            <w:vAlign w:val="bottom"/>
          </w:tcPr>
          <w:p>
            <w:pPr>
              <w:ind w:left="140"/>
              <w:spacing w:after="0" w:line="182" w:lineRule="exact"/>
              <w:rPr>
                <w:sz w:val="20"/>
                <w:szCs w:val="20"/>
                <w:color w:val="auto"/>
              </w:rPr>
            </w:pPr>
            <w:r>
              <w:rPr>
                <w:rFonts w:ascii="Calibri" w:cs="Calibri" w:eastAsia="Calibri" w:hAnsi="Calibri"/>
                <w:sz w:val="16"/>
                <w:szCs w:val="16"/>
                <w:color w:val="auto"/>
              </w:rPr>
              <w:t>Total gains and other income from strategic investments</w:t>
            </w:r>
          </w:p>
        </w:tc>
        <w:tc>
          <w:tcPr>
            <w:tcW w:w="1320" w:type="dxa"/>
            <w:vAlign w:val="bottom"/>
            <w:tcBorders>
              <w:top w:val="single" w:sz="8" w:color="auto"/>
            </w:tcBorders>
          </w:tcPr>
          <w:p>
            <w:pPr>
              <w:jc w:val="right"/>
              <w:ind w:right="1139"/>
              <w:spacing w:after="0" w:line="187" w:lineRule="exact"/>
              <w:rPr>
                <w:sz w:val="20"/>
                <w:szCs w:val="20"/>
                <w:color w:val="auto"/>
              </w:rPr>
            </w:pPr>
            <w:r>
              <w:rPr>
                <w:rFonts w:ascii="Calibri" w:cs="Calibri" w:eastAsia="Calibri" w:hAnsi="Calibri"/>
                <w:sz w:val="16"/>
                <w:szCs w:val="16"/>
                <w:color w:val="auto"/>
                <w:w w:val="97"/>
              </w:rPr>
              <w:t>$</w:t>
            </w:r>
          </w:p>
        </w:tc>
        <w:tc>
          <w:tcPr>
            <w:tcW w:w="4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w:t>
            </w:r>
          </w:p>
        </w:tc>
        <w:tc>
          <w:tcPr>
            <w:tcW w:w="120" w:type="dxa"/>
            <w:vAlign w:val="bottom"/>
          </w:tcPr>
          <w:p>
            <w:pPr>
              <w:spacing w:after="0"/>
              <w:rPr>
                <w:sz w:val="16"/>
                <w:szCs w:val="16"/>
                <w:color w:val="auto"/>
              </w:rPr>
            </w:pPr>
          </w:p>
        </w:tc>
        <w:tc>
          <w:tcPr>
            <w:tcW w:w="1320" w:type="dxa"/>
            <w:vAlign w:val="bottom"/>
            <w:tcBorders>
              <w:top w:val="single" w:sz="8" w:color="auto"/>
            </w:tcBorders>
          </w:tcPr>
          <w:p>
            <w:pPr>
              <w:jc w:val="right"/>
              <w:ind w:right="1139"/>
              <w:spacing w:after="0" w:line="187" w:lineRule="exact"/>
              <w:rPr>
                <w:sz w:val="20"/>
                <w:szCs w:val="20"/>
                <w:color w:val="auto"/>
              </w:rPr>
            </w:pPr>
            <w:r>
              <w:rPr>
                <w:rFonts w:ascii="Calibri" w:cs="Calibri" w:eastAsia="Calibri" w:hAnsi="Calibri"/>
                <w:sz w:val="16"/>
                <w:szCs w:val="16"/>
                <w:color w:val="auto"/>
                <w:w w:val="97"/>
              </w:rPr>
              <w:t>$</w:t>
            </w:r>
          </w:p>
        </w:tc>
        <w:tc>
          <w:tcPr>
            <w:tcW w:w="4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w:t>
            </w:r>
          </w:p>
        </w:tc>
        <w:tc>
          <w:tcPr>
            <w:tcW w:w="80" w:type="dxa"/>
            <w:vAlign w:val="bottom"/>
          </w:tcPr>
          <w:p>
            <w:pPr>
              <w:spacing w:after="0"/>
              <w:rPr>
                <w:sz w:val="16"/>
                <w:szCs w:val="16"/>
                <w:color w:val="auto"/>
              </w:rPr>
            </w:pPr>
          </w:p>
        </w:tc>
        <w:tc>
          <w:tcPr>
            <w:tcW w:w="420" w:type="dxa"/>
            <w:vAlign w:val="bottom"/>
            <w:tcBorders>
              <w:top w:val="single" w:sz="8" w:color="auto"/>
            </w:tcBorders>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6,248</w:t>
            </w:r>
          </w:p>
        </w:tc>
        <w:tc>
          <w:tcPr>
            <w:tcW w:w="80" w:type="dxa"/>
            <w:vAlign w:val="bottom"/>
          </w:tcPr>
          <w:p>
            <w:pPr>
              <w:spacing w:after="0"/>
              <w:rPr>
                <w:sz w:val="16"/>
                <w:szCs w:val="16"/>
                <w:color w:val="auto"/>
              </w:rPr>
            </w:pPr>
          </w:p>
        </w:tc>
        <w:tc>
          <w:tcPr>
            <w:tcW w:w="420" w:type="dxa"/>
            <w:vAlign w:val="bottom"/>
            <w:tcBorders>
              <w:top w:val="single" w:sz="8" w:color="auto"/>
            </w:tcBorders>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31</w:t>
            </w:r>
          </w:p>
        </w:tc>
      </w:tr>
      <w:tr>
        <w:trPr>
          <w:trHeight w:val="23"/>
        </w:trPr>
        <w:tc>
          <w:tcPr>
            <w:tcW w:w="39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40" w:hanging="632"/>
        <w:spacing w:after="0"/>
        <w:tabs>
          <w:tab w:leader="none" w:pos="640" w:val="left"/>
        </w:tabs>
        <w:numPr>
          <w:ilvl w:val="0"/>
          <w:numId w:val="18"/>
        </w:numPr>
        <w:rPr>
          <w:rFonts w:ascii="Calibri" w:cs="Calibri" w:eastAsia="Calibri" w:hAnsi="Calibri"/>
          <w:sz w:val="16"/>
          <w:szCs w:val="16"/>
          <w:color w:val="auto"/>
        </w:rPr>
      </w:pPr>
      <w:r>
        <w:rPr>
          <w:rFonts w:ascii="Calibri" w:cs="Calibri" w:eastAsia="Calibri" w:hAnsi="Calibri"/>
          <w:sz w:val="16"/>
          <w:szCs w:val="16"/>
          <w:color w:val="auto"/>
        </w:rPr>
        <w:t>Includes gains (losses) on deferred compensaton assets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60" w:type="dxa"/>
            <w:vAlign w:val="bottom"/>
            <w:gridSpan w:val="4"/>
          </w:tcPr>
          <w:p>
            <w:pPr>
              <w:jc w:val="right"/>
              <w:ind w:right="59"/>
              <w:spacing w:after="0"/>
              <w:rPr>
                <w:sz w:val="20"/>
                <w:szCs w:val="20"/>
                <w:color w:val="auto"/>
              </w:rPr>
            </w:pPr>
            <w:r>
              <w:rPr>
                <w:rFonts w:ascii="Calibri" w:cs="Calibri" w:eastAsia="Calibri" w:hAnsi="Calibri"/>
                <w:sz w:val="16"/>
                <w:szCs w:val="16"/>
                <w:b w:val="1"/>
                <w:bCs w:val="1"/>
                <w:color w:val="auto"/>
              </w:rPr>
              <w:t>Three Months Ended October 31,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639"/>
              <w:spacing w:after="0"/>
              <w:rPr>
                <w:sz w:val="20"/>
                <w:szCs w:val="20"/>
                <w:color w:val="auto"/>
              </w:rPr>
            </w:pPr>
            <w:r>
              <w:rPr>
                <w:rFonts w:ascii="Calibri" w:cs="Calibri" w:eastAsia="Calibri" w:hAnsi="Calibri"/>
                <w:sz w:val="16"/>
                <w:szCs w:val="16"/>
                <w:b w:val="1"/>
                <w:bCs w:val="1"/>
                <w:color w:val="auto"/>
              </w:rPr>
              <w:t>Nine Months Ended October 31,</w:t>
            </w:r>
          </w:p>
        </w:tc>
      </w:tr>
      <w:tr>
        <w:trPr>
          <w:trHeight w:val="28"/>
        </w:trPr>
        <w:tc>
          <w:tcPr>
            <w:tcW w:w="39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7"/>
        </w:trPr>
        <w:tc>
          <w:tcPr>
            <w:tcW w:w="3960" w:type="dxa"/>
            <w:vAlign w:val="bottom"/>
          </w:tcPr>
          <w:p>
            <w:pPr>
              <w:spacing w:after="0"/>
              <w:rPr>
                <w:sz w:val="16"/>
                <w:szCs w:val="16"/>
                <w:color w:val="auto"/>
              </w:rPr>
            </w:pPr>
          </w:p>
        </w:tc>
        <w:tc>
          <w:tcPr>
            <w:tcW w:w="1240" w:type="dxa"/>
            <w:vAlign w:val="bottom"/>
          </w:tcPr>
          <w:p>
            <w:pPr>
              <w:jc w:val="right"/>
              <w:ind w:right="119"/>
              <w:spacing w:after="0" w:line="187" w:lineRule="exact"/>
              <w:rPr>
                <w:sz w:val="20"/>
                <w:szCs w:val="20"/>
                <w:color w:val="auto"/>
              </w:rPr>
            </w:pPr>
            <w:r>
              <w:rPr>
                <w:rFonts w:ascii="Calibri" w:cs="Calibri" w:eastAsia="Calibri" w:hAnsi="Calibri"/>
                <w:sz w:val="16"/>
                <w:szCs w:val="16"/>
                <w:b w:val="1"/>
                <w:bCs w:val="1"/>
                <w:color w:val="auto"/>
              </w:rPr>
              <w:t>2024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99"/>
              <w:spacing w:after="0" w:line="187" w:lineRule="exact"/>
              <w:rPr>
                <w:sz w:val="20"/>
                <w:szCs w:val="20"/>
                <w:color w:val="auto"/>
              </w:rPr>
            </w:pPr>
            <w:r>
              <w:rPr>
                <w:rFonts w:ascii="Calibri" w:cs="Calibri" w:eastAsia="Calibri" w:hAnsi="Calibri"/>
                <w:sz w:val="16"/>
                <w:szCs w:val="16"/>
                <w:b w:val="1"/>
                <w:bCs w:val="1"/>
                <w:color w:val="auto"/>
              </w:rPr>
              <w:t>2023</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2023</w:t>
            </w:r>
          </w:p>
        </w:tc>
      </w:tr>
      <w:tr>
        <w:trPr>
          <w:trHeight w:val="23"/>
        </w:trPr>
        <w:tc>
          <w:tcPr>
            <w:tcW w:w="3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396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Other income (expenses), net</w:t>
            </w:r>
          </w:p>
        </w:tc>
        <w:tc>
          <w:tcPr>
            <w:tcW w:w="1240" w:type="dxa"/>
            <w:vAlign w:val="bottom"/>
            <w:tcBorders>
              <w:bottom w:val="single" w:sz="8" w:color="CCEEFF"/>
            </w:tcBorders>
            <w:shd w:val="clear" w:color="auto" w:fill="CCEEFF"/>
          </w:tcPr>
          <w:p>
            <w:pPr>
              <w:jc w:val="right"/>
              <w:ind w:right="1059"/>
              <w:spacing w:after="0" w:line="187" w:lineRule="exact"/>
              <w:rPr>
                <w:sz w:val="20"/>
                <w:szCs w:val="20"/>
                <w:color w:val="auto"/>
              </w:rPr>
            </w:pPr>
            <w:r>
              <w:rPr>
                <w:rFonts w:ascii="Calibri" w:cs="Calibri" w:eastAsia="Calibri" w:hAnsi="Calibri"/>
                <w:sz w:val="16"/>
                <w:szCs w:val="16"/>
                <w:color w:val="auto"/>
                <w:w w:val="97"/>
              </w:rPr>
              <w:t>$</w:t>
            </w:r>
          </w:p>
        </w:tc>
        <w:tc>
          <w:tcPr>
            <w:tcW w:w="5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103</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019"/>
              <w:spacing w:after="0" w:line="187" w:lineRule="exact"/>
              <w:rPr>
                <w:sz w:val="20"/>
                <w:szCs w:val="20"/>
                <w:color w:val="auto"/>
              </w:rPr>
            </w:pPr>
            <w:r>
              <w:rPr>
                <w:rFonts w:ascii="Calibri" w:cs="Calibri" w:eastAsia="Calibri" w:hAnsi="Calibri"/>
                <w:sz w:val="16"/>
                <w:szCs w:val="16"/>
                <w:color w:val="auto"/>
                <w:w w:val="97"/>
              </w:rPr>
              <w:t>$</w:t>
            </w:r>
          </w:p>
        </w:tc>
        <w:tc>
          <w:tcPr>
            <w:tcW w:w="5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(117)</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413</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(61)</w:t>
            </w:r>
          </w:p>
        </w:tc>
      </w:tr>
      <w:tr>
        <w:trPr>
          <w:trHeight w:val="187"/>
        </w:trPr>
        <w:tc>
          <w:tcPr>
            <w:tcW w:w="3960" w:type="dxa"/>
            <w:vAlign w:val="bottom"/>
          </w:tcPr>
          <w:p>
            <w:pPr>
              <w:ind w:left="140"/>
              <w:spacing w:after="0" w:line="182" w:lineRule="exact"/>
              <w:rPr>
                <w:sz w:val="20"/>
                <w:szCs w:val="20"/>
                <w:color w:val="auto"/>
              </w:rPr>
            </w:pPr>
            <w:r>
              <w:rPr>
                <w:rFonts w:ascii="Calibri" w:cs="Calibri" w:eastAsia="Calibri" w:hAnsi="Calibri"/>
                <w:sz w:val="16"/>
                <w:szCs w:val="16"/>
                <w:color w:val="auto"/>
              </w:rPr>
              <w:t>Total gains (losses) on deferred compensaton assets</w:t>
            </w:r>
          </w:p>
        </w:tc>
        <w:tc>
          <w:tcPr>
            <w:tcW w:w="1240" w:type="dxa"/>
            <w:vAlign w:val="bottom"/>
            <w:tcBorders>
              <w:top w:val="single" w:sz="8" w:color="auto"/>
            </w:tcBorders>
          </w:tcPr>
          <w:p>
            <w:pPr>
              <w:jc w:val="right"/>
              <w:ind w:right="1059"/>
              <w:spacing w:after="0" w:line="187" w:lineRule="exact"/>
              <w:rPr>
                <w:sz w:val="20"/>
                <w:szCs w:val="20"/>
                <w:color w:val="auto"/>
              </w:rPr>
            </w:pPr>
            <w:r>
              <w:rPr>
                <w:rFonts w:ascii="Calibri" w:cs="Calibri" w:eastAsia="Calibri" w:hAnsi="Calibri"/>
                <w:sz w:val="16"/>
                <w:szCs w:val="16"/>
                <w:color w:val="auto"/>
                <w:w w:val="97"/>
              </w:rPr>
              <w:t>$</w:t>
            </w:r>
          </w:p>
        </w:tc>
        <w:tc>
          <w:tcPr>
            <w:tcW w:w="5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103</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right"/>
              <w:ind w:right="1019"/>
              <w:spacing w:after="0" w:line="187" w:lineRule="exact"/>
              <w:rPr>
                <w:sz w:val="20"/>
                <w:szCs w:val="20"/>
                <w:color w:val="auto"/>
              </w:rPr>
            </w:pPr>
            <w:r>
              <w:rPr>
                <w:rFonts w:ascii="Calibri" w:cs="Calibri" w:eastAsia="Calibri" w:hAnsi="Calibri"/>
                <w:sz w:val="16"/>
                <w:szCs w:val="16"/>
                <w:color w:val="auto"/>
                <w:w w:val="97"/>
              </w:rPr>
              <w:t>$</w:t>
            </w:r>
          </w:p>
        </w:tc>
        <w:tc>
          <w:tcPr>
            <w:tcW w:w="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(117)</w:t>
            </w:r>
          </w:p>
        </w:tc>
        <w:tc>
          <w:tcPr>
            <w:tcW w:w="80" w:type="dxa"/>
            <w:vAlign w:val="bottom"/>
          </w:tcPr>
          <w:p>
            <w:pPr>
              <w:spacing w:after="0"/>
              <w:rPr>
                <w:sz w:val="16"/>
                <w:szCs w:val="16"/>
                <w:color w:val="auto"/>
              </w:rPr>
            </w:pPr>
          </w:p>
        </w:tc>
        <w:tc>
          <w:tcPr>
            <w:tcW w:w="420" w:type="dxa"/>
            <w:vAlign w:val="bottom"/>
            <w:tcBorders>
              <w:top w:val="single" w:sz="8" w:color="auto"/>
            </w:tcBorders>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413</w:t>
            </w:r>
          </w:p>
        </w:tc>
        <w:tc>
          <w:tcPr>
            <w:tcW w:w="80" w:type="dxa"/>
            <w:vAlign w:val="bottom"/>
          </w:tcPr>
          <w:p>
            <w:pPr>
              <w:spacing w:after="0"/>
              <w:rPr>
                <w:sz w:val="16"/>
                <w:szCs w:val="16"/>
                <w:color w:val="auto"/>
              </w:rPr>
            </w:pPr>
          </w:p>
        </w:tc>
        <w:tc>
          <w:tcPr>
            <w:tcW w:w="420" w:type="dxa"/>
            <w:vAlign w:val="bottom"/>
            <w:tcBorders>
              <w:top w:val="single" w:sz="8" w:color="auto"/>
            </w:tcBorders>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(61)</w:t>
            </w:r>
          </w:p>
        </w:tc>
      </w:tr>
      <w:tr>
        <w:trPr>
          <w:trHeight w:val="23"/>
        </w:trPr>
        <w:tc>
          <w:tcPr>
            <w:tcW w:w="3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40" w:hanging="632"/>
        <w:spacing w:after="0"/>
        <w:tabs>
          <w:tab w:leader="none" w:pos="640" w:val="left"/>
        </w:tabs>
        <w:numPr>
          <w:ilvl w:val="0"/>
          <w:numId w:val="19"/>
        </w:numPr>
        <w:rPr>
          <w:rFonts w:ascii="Calibri" w:cs="Calibri" w:eastAsia="Calibri" w:hAnsi="Calibri"/>
          <w:sz w:val="16"/>
          <w:szCs w:val="16"/>
          <w:color w:val="auto"/>
        </w:rPr>
      </w:pPr>
      <w:r>
        <w:rPr>
          <w:rFonts w:ascii="Calibri" w:cs="Calibri" w:eastAsia="Calibri" w:hAnsi="Calibri"/>
          <w:sz w:val="16"/>
          <w:szCs w:val="16"/>
          <w:color w:val="auto"/>
        </w:rPr>
        <w:t>Includes beneft for income taxes related to acquisitons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60" w:type="dxa"/>
            <w:vAlign w:val="bottom"/>
            <w:gridSpan w:val="4"/>
          </w:tcPr>
          <w:p>
            <w:pPr>
              <w:jc w:val="right"/>
              <w:ind w:right="59"/>
              <w:spacing w:after="0"/>
              <w:rPr>
                <w:sz w:val="20"/>
                <w:szCs w:val="20"/>
                <w:color w:val="auto"/>
              </w:rPr>
            </w:pPr>
            <w:r>
              <w:rPr>
                <w:rFonts w:ascii="Calibri" w:cs="Calibri" w:eastAsia="Calibri" w:hAnsi="Calibri"/>
                <w:sz w:val="16"/>
                <w:szCs w:val="16"/>
                <w:b w:val="1"/>
                <w:bCs w:val="1"/>
                <w:color w:val="auto"/>
              </w:rPr>
              <w:t>Three Months Ended October 31,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639"/>
              <w:spacing w:after="0"/>
              <w:rPr>
                <w:sz w:val="20"/>
                <w:szCs w:val="20"/>
                <w:color w:val="auto"/>
              </w:rPr>
            </w:pPr>
            <w:r>
              <w:rPr>
                <w:rFonts w:ascii="Calibri" w:cs="Calibri" w:eastAsia="Calibri" w:hAnsi="Calibri"/>
                <w:sz w:val="16"/>
                <w:szCs w:val="16"/>
                <w:b w:val="1"/>
                <w:bCs w:val="1"/>
                <w:color w:val="auto"/>
              </w:rPr>
              <w:t>Nine Months Ended October 31,</w:t>
            </w:r>
          </w:p>
        </w:tc>
      </w:tr>
      <w:tr>
        <w:trPr>
          <w:trHeight w:val="28"/>
        </w:trPr>
        <w:tc>
          <w:tcPr>
            <w:tcW w:w="39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7"/>
        </w:trPr>
        <w:tc>
          <w:tcPr>
            <w:tcW w:w="3960" w:type="dxa"/>
            <w:vAlign w:val="bottom"/>
          </w:tcPr>
          <w:p>
            <w:pPr>
              <w:spacing w:after="0"/>
              <w:rPr>
                <w:sz w:val="16"/>
                <w:szCs w:val="16"/>
                <w:color w:val="auto"/>
              </w:rPr>
            </w:pPr>
          </w:p>
        </w:tc>
        <w:tc>
          <w:tcPr>
            <w:tcW w:w="1280" w:type="dxa"/>
            <w:vAlign w:val="bottom"/>
          </w:tcPr>
          <w:p>
            <w:pPr>
              <w:jc w:val="right"/>
              <w:ind w:right="159"/>
              <w:spacing w:after="0" w:line="187" w:lineRule="exact"/>
              <w:rPr>
                <w:sz w:val="20"/>
                <w:szCs w:val="20"/>
                <w:color w:val="auto"/>
              </w:rPr>
            </w:pPr>
            <w:r>
              <w:rPr>
                <w:rFonts w:ascii="Calibri" w:cs="Calibri" w:eastAsia="Calibri" w:hAnsi="Calibri"/>
                <w:sz w:val="16"/>
                <w:szCs w:val="16"/>
                <w:b w:val="1"/>
                <w:bCs w:val="1"/>
                <w:color w:val="auto"/>
              </w:rPr>
              <w:t>2024</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99"/>
              <w:spacing w:after="0" w:line="187" w:lineRule="exact"/>
              <w:rPr>
                <w:sz w:val="20"/>
                <w:szCs w:val="20"/>
                <w:color w:val="auto"/>
              </w:rPr>
            </w:pPr>
            <w:r>
              <w:rPr>
                <w:rFonts w:ascii="Calibri" w:cs="Calibri" w:eastAsia="Calibri" w:hAnsi="Calibri"/>
                <w:sz w:val="16"/>
                <w:szCs w:val="16"/>
                <w:b w:val="1"/>
                <w:bCs w:val="1"/>
                <w:color w:val="auto"/>
              </w:rPr>
              <w:t>2023</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2023</w:t>
            </w:r>
          </w:p>
        </w:tc>
      </w:tr>
      <w:tr>
        <w:trPr>
          <w:trHeight w:val="23"/>
        </w:trPr>
        <w:tc>
          <w:tcPr>
            <w:tcW w:w="39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9"/>
        </w:trPr>
        <w:tc>
          <w:tcPr>
            <w:tcW w:w="396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Beneft for income taxes</w:t>
            </w:r>
          </w:p>
        </w:tc>
        <w:tc>
          <w:tcPr>
            <w:tcW w:w="1280" w:type="dxa"/>
            <w:vAlign w:val="bottom"/>
            <w:tcBorders>
              <w:bottom w:val="single" w:sz="8" w:color="CCEEFF"/>
            </w:tcBorders>
            <w:shd w:val="clear" w:color="auto" w:fill="CCEEFF"/>
          </w:tcPr>
          <w:p>
            <w:pPr>
              <w:jc w:val="right"/>
              <w:ind w:right="1099"/>
              <w:spacing w:after="0" w:line="187" w:lineRule="exact"/>
              <w:rPr>
                <w:sz w:val="20"/>
                <w:szCs w:val="20"/>
                <w:color w:val="auto"/>
              </w:rPr>
            </w:pPr>
            <w:r>
              <w:rPr>
                <w:rFonts w:ascii="Calibri" w:cs="Calibri" w:eastAsia="Calibri" w:hAnsi="Calibri"/>
                <w:sz w:val="16"/>
                <w:szCs w:val="16"/>
                <w:color w:val="auto"/>
                <w:w w:val="97"/>
              </w:rPr>
              <w:t>$</w:t>
            </w:r>
          </w:p>
        </w:tc>
        <w:tc>
          <w:tcPr>
            <w:tcW w:w="460" w:type="dxa"/>
            <w:vAlign w:val="bottom"/>
            <w:tcBorders>
              <w:bottom w:val="single" w:sz="8" w:color="CCEEFF"/>
            </w:tcBorders>
            <w:shd w:val="clear" w:color="auto" w:fill="CCEEFF"/>
          </w:tcPr>
          <w:p>
            <w:pPr>
              <w:ind w:left="260"/>
              <w:spacing w:after="0" w:line="187"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019"/>
              <w:spacing w:after="0" w:line="187" w:lineRule="exact"/>
              <w:rPr>
                <w:sz w:val="20"/>
                <w:szCs w:val="20"/>
                <w:color w:val="auto"/>
              </w:rPr>
            </w:pPr>
            <w:r>
              <w:rPr>
                <w:rFonts w:ascii="Calibri" w:cs="Calibri" w:eastAsia="Calibri" w:hAnsi="Calibri"/>
                <w:sz w:val="16"/>
                <w:szCs w:val="16"/>
                <w:color w:val="auto"/>
                <w:w w:val="97"/>
              </w:rPr>
              <w:t>$</w:t>
            </w:r>
          </w:p>
        </w:tc>
        <w:tc>
          <w:tcPr>
            <w:tcW w:w="5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(615)</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ind w:left="1120"/>
              <w:spacing w:after="0" w:line="187" w:lineRule="exact"/>
              <w:rPr>
                <w:sz w:val="20"/>
                <w:szCs w:val="20"/>
                <w:color w:val="auto"/>
              </w:rPr>
            </w:pPr>
            <w:r>
              <w:rPr>
                <w:rFonts w:ascii="Calibri" w:cs="Calibri" w:eastAsia="Calibri" w:hAnsi="Calibri"/>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(615)</w:t>
            </w:r>
          </w:p>
        </w:tc>
      </w:tr>
      <w:tr>
        <w:trPr>
          <w:trHeight w:val="187"/>
        </w:trPr>
        <w:tc>
          <w:tcPr>
            <w:tcW w:w="3960" w:type="dxa"/>
            <w:vAlign w:val="bottom"/>
          </w:tcPr>
          <w:p>
            <w:pPr>
              <w:ind w:left="140"/>
              <w:spacing w:after="0" w:line="182" w:lineRule="exact"/>
              <w:rPr>
                <w:sz w:val="20"/>
                <w:szCs w:val="20"/>
                <w:color w:val="auto"/>
              </w:rPr>
            </w:pPr>
            <w:r>
              <w:rPr>
                <w:rFonts w:ascii="Calibri" w:cs="Calibri" w:eastAsia="Calibri" w:hAnsi="Calibri"/>
                <w:sz w:val="16"/>
                <w:szCs w:val="16"/>
                <w:color w:val="auto"/>
              </w:rPr>
              <w:t>Total beneft for income taxes</w:t>
            </w:r>
          </w:p>
        </w:tc>
        <w:tc>
          <w:tcPr>
            <w:tcW w:w="1280" w:type="dxa"/>
            <w:vAlign w:val="bottom"/>
            <w:tcBorders>
              <w:top w:val="single" w:sz="8" w:color="auto"/>
            </w:tcBorders>
          </w:tcPr>
          <w:p>
            <w:pPr>
              <w:jc w:val="right"/>
              <w:ind w:right="1099"/>
              <w:spacing w:after="0" w:line="187" w:lineRule="exact"/>
              <w:rPr>
                <w:sz w:val="20"/>
                <w:szCs w:val="20"/>
                <w:color w:val="auto"/>
              </w:rPr>
            </w:pPr>
            <w:r>
              <w:rPr>
                <w:rFonts w:ascii="Calibri" w:cs="Calibri" w:eastAsia="Calibri" w:hAnsi="Calibri"/>
                <w:sz w:val="16"/>
                <w:szCs w:val="16"/>
                <w:color w:val="auto"/>
                <w:w w:val="97"/>
              </w:rPr>
              <w:t>$</w:t>
            </w:r>
          </w:p>
        </w:tc>
        <w:tc>
          <w:tcPr>
            <w:tcW w:w="460" w:type="dxa"/>
            <w:vAlign w:val="bottom"/>
            <w:tcBorders>
              <w:top w:val="single" w:sz="8" w:color="auto"/>
            </w:tcBorders>
          </w:tcPr>
          <w:p>
            <w:pPr>
              <w:ind w:left="260"/>
              <w:spacing w:after="0" w:line="187"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right"/>
              <w:ind w:right="1019"/>
              <w:spacing w:after="0" w:line="187" w:lineRule="exact"/>
              <w:rPr>
                <w:sz w:val="20"/>
                <w:szCs w:val="20"/>
                <w:color w:val="auto"/>
              </w:rPr>
            </w:pPr>
            <w:r>
              <w:rPr>
                <w:rFonts w:ascii="Calibri" w:cs="Calibri" w:eastAsia="Calibri" w:hAnsi="Calibri"/>
                <w:sz w:val="16"/>
                <w:szCs w:val="16"/>
                <w:color w:val="auto"/>
                <w:w w:val="97"/>
              </w:rPr>
              <w:t>$</w:t>
            </w:r>
          </w:p>
        </w:tc>
        <w:tc>
          <w:tcPr>
            <w:tcW w:w="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(615)</w:t>
            </w:r>
          </w:p>
        </w:tc>
        <w:tc>
          <w:tcPr>
            <w:tcW w:w="80" w:type="dxa"/>
            <w:vAlign w:val="bottom"/>
          </w:tcPr>
          <w:p>
            <w:pPr>
              <w:spacing w:after="0"/>
              <w:rPr>
                <w:sz w:val="16"/>
                <w:szCs w:val="16"/>
                <w:color w:val="auto"/>
              </w:rPr>
            </w:pPr>
          </w:p>
        </w:tc>
        <w:tc>
          <w:tcPr>
            <w:tcW w:w="420" w:type="dxa"/>
            <w:vAlign w:val="bottom"/>
            <w:tcBorders>
              <w:top w:val="single" w:sz="8" w:color="auto"/>
            </w:tcBorders>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tcBorders>
          </w:tcPr>
          <w:p>
            <w:pPr>
              <w:ind w:left="1120"/>
              <w:spacing w:after="0" w:line="187" w:lineRule="exact"/>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6"/>
                <w:szCs w:val="16"/>
                <w:color w:val="auto"/>
              </w:rPr>
            </w:pPr>
          </w:p>
        </w:tc>
        <w:tc>
          <w:tcPr>
            <w:tcW w:w="420" w:type="dxa"/>
            <w:vAlign w:val="bottom"/>
            <w:tcBorders>
              <w:top w:val="single" w:sz="8" w:color="auto"/>
            </w:tcBorders>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(615)</w:t>
            </w:r>
          </w:p>
        </w:tc>
      </w:tr>
      <w:tr>
        <w:trPr>
          <w:trHeight w:val="23"/>
        </w:trPr>
        <w:tc>
          <w:tcPr>
            <w:tcW w:w="3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323" w:right="339" w:bottom="1440" w:gutter="0" w:footer="0" w:header="0"/>
        </w:sectPr>
      </w:pPr>
    </w:p>
    <w:bookmarkStart w:id="12" w:name="page13"/>
    <w:bookmarkEnd w:id="12"/>
    <w:p>
      <w:pPr>
        <w:jc w:val="center"/>
        <w:spacing w:after="0"/>
        <w:rPr>
          <w:sz w:val="20"/>
          <w:szCs w:val="20"/>
          <w:color w:val="auto"/>
        </w:rPr>
      </w:pPr>
      <w:r>
        <w:rPr>
          <w:rFonts w:ascii="Calibri" w:cs="Calibri" w:eastAsia="Calibri" w:hAnsi="Calibri"/>
          <w:sz w:val="18"/>
          <w:szCs w:val="18"/>
          <w:b w:val="1"/>
          <w:bCs w:val="1"/>
          <w:color w:val="auto"/>
        </w:rPr>
        <w:t>CROWDSTRIKE HOLDINGS, INC.</w:t>
      </w:r>
    </w:p>
    <w:p>
      <w:pPr>
        <w:jc w:val="center"/>
        <w:spacing w:after="0" w:line="235" w:lineRule="auto"/>
        <w:rPr>
          <w:sz w:val="20"/>
          <w:szCs w:val="20"/>
          <w:color w:val="auto"/>
        </w:rPr>
      </w:pPr>
      <w:r>
        <w:rPr>
          <w:rFonts w:ascii="Calibri" w:cs="Calibri" w:eastAsia="Calibri" w:hAnsi="Calibri"/>
          <w:sz w:val="18"/>
          <w:szCs w:val="18"/>
          <w:b w:val="1"/>
          <w:bCs w:val="1"/>
          <w:color w:val="auto"/>
        </w:rPr>
        <w:t>Condensed Consolidated Balance Sheets</w:t>
      </w:r>
    </w:p>
    <w:p>
      <w:pPr>
        <w:jc w:val="center"/>
        <w:spacing w:after="0" w:line="236" w:lineRule="auto"/>
        <w:rPr>
          <w:sz w:val="20"/>
          <w:szCs w:val="20"/>
          <w:color w:val="auto"/>
        </w:rPr>
      </w:pPr>
      <w:r>
        <w:rPr>
          <w:rFonts w:ascii="Calibri" w:cs="Calibri" w:eastAsia="Calibri" w:hAnsi="Calibri"/>
          <w:sz w:val="18"/>
          <w:szCs w:val="18"/>
          <w:color w:val="auto"/>
        </w:rPr>
        <w:t>(in thousands)</w:t>
      </w:r>
    </w:p>
    <w:p>
      <w:pPr>
        <w:jc w:val="center"/>
        <w:spacing w:after="0" w:line="236" w:lineRule="auto"/>
        <w:rPr>
          <w:sz w:val="20"/>
          <w:szCs w:val="20"/>
          <w:color w:val="auto"/>
        </w:rPr>
      </w:pPr>
      <w:r>
        <w:rPr>
          <w:rFonts w:ascii="Calibri" w:cs="Calibri" w:eastAsia="Calibri" w:hAnsi="Calibri"/>
          <w:sz w:val="18"/>
          <w:szCs w:val="18"/>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Calibri" w:cs="Calibri" w:eastAsia="Calibri" w:hAnsi="Calibri"/>
                <w:sz w:val="16"/>
                <w:szCs w:val="16"/>
                <w:b w:val="1"/>
                <w:bCs w:val="1"/>
                <w:color w:val="auto"/>
              </w:rPr>
              <w:t>October 31, 2024</w:t>
            </w:r>
          </w:p>
        </w:tc>
        <w:tc>
          <w:tcPr>
            <w:tcW w:w="200" w:type="dxa"/>
            <w:vAlign w:val="bottom"/>
          </w:tcPr>
          <w:p>
            <w:pPr>
              <w:spacing w:after="0"/>
              <w:rPr>
                <w:sz w:val="16"/>
                <w:szCs w:val="16"/>
                <w:color w:val="auto"/>
              </w:rPr>
            </w:pPr>
          </w:p>
        </w:tc>
        <w:tc>
          <w:tcPr>
            <w:tcW w:w="1540" w:type="dxa"/>
            <w:vAlign w:val="bottom"/>
          </w:tcPr>
          <w:p>
            <w:pPr>
              <w:jc w:val="right"/>
              <w:ind w:right="219"/>
              <w:spacing w:after="0"/>
              <w:rPr>
                <w:sz w:val="20"/>
                <w:szCs w:val="20"/>
                <w:color w:val="auto"/>
              </w:rPr>
            </w:pPr>
            <w:r>
              <w:rPr>
                <w:rFonts w:ascii="Calibri" w:cs="Calibri" w:eastAsia="Calibri" w:hAnsi="Calibri"/>
                <w:sz w:val="16"/>
                <w:szCs w:val="16"/>
                <w:b w:val="1"/>
                <w:bCs w:val="1"/>
                <w:color w:val="auto"/>
              </w:rPr>
              <w:t>January 31, 2024</w:t>
            </w:r>
          </w:p>
        </w:tc>
      </w:tr>
      <w:tr>
        <w:trPr>
          <w:trHeight w:val="28"/>
        </w:trPr>
        <w:tc>
          <w:tcPr>
            <w:tcW w:w="7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76"/>
        </w:trPr>
        <w:tc>
          <w:tcPr>
            <w:tcW w:w="764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b w:val="1"/>
                <w:bCs w:val="1"/>
                <w:color w:val="auto"/>
              </w:rPr>
              <w:t>Assets</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r>
      <w:tr>
        <w:trPr>
          <w:trHeight w:val="193"/>
        </w:trPr>
        <w:tc>
          <w:tcPr>
            <w:tcW w:w="76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
        </w:trPr>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4,260,324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3,375,069</w:t>
            </w:r>
          </w:p>
        </w:tc>
      </w:tr>
      <w:tr>
        <w:trPr>
          <w:trHeight w:val="193"/>
        </w:trPr>
        <w:tc>
          <w:tcPr>
            <w:tcW w:w="7640" w:type="dxa"/>
            <w:vAlign w:val="bottom"/>
          </w:tcPr>
          <w:p>
            <w:pPr>
              <w:ind w:left="140"/>
              <w:spacing w:after="0" w:line="193" w:lineRule="exact"/>
              <w:rPr>
                <w:sz w:val="20"/>
                <w:szCs w:val="20"/>
                <w:color w:val="auto"/>
              </w:rPr>
            </w:pPr>
            <w:r>
              <w:rPr>
                <w:rFonts w:ascii="Calibri" w:cs="Calibri" w:eastAsia="Calibri" w:hAnsi="Calibri"/>
                <w:sz w:val="16"/>
                <w:szCs w:val="16"/>
                <w:color w:val="auto"/>
              </w:rPr>
              <w:t>Short-term investments</w:t>
            </w:r>
          </w:p>
        </w:tc>
        <w:tc>
          <w:tcPr>
            <w:tcW w:w="200" w:type="dxa"/>
            <w:vAlign w:val="bottom"/>
          </w:tcPr>
          <w:p>
            <w:pPr>
              <w:spacing w:after="0"/>
              <w:rPr>
                <w:sz w:val="16"/>
                <w:szCs w:val="16"/>
                <w:color w:val="auto"/>
              </w:rPr>
            </w:pPr>
          </w:p>
        </w:tc>
        <w:tc>
          <w:tcPr>
            <w:tcW w:w="16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99,591</w:t>
            </w:r>
          </w:p>
        </w:tc>
      </w:tr>
      <w:tr>
        <w:trPr>
          <w:trHeight w:val="23"/>
        </w:trPr>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Accounts receivable, net of allowance for credit losses</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813,922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853,105</w:t>
            </w:r>
          </w:p>
        </w:tc>
      </w:tr>
      <w:tr>
        <w:trPr>
          <w:trHeight w:val="193"/>
        </w:trPr>
        <w:tc>
          <w:tcPr>
            <w:tcW w:w="7640" w:type="dxa"/>
            <w:vAlign w:val="bottom"/>
          </w:tcPr>
          <w:p>
            <w:pPr>
              <w:ind w:left="140"/>
              <w:spacing w:after="0" w:line="193" w:lineRule="exact"/>
              <w:rPr>
                <w:sz w:val="20"/>
                <w:szCs w:val="20"/>
                <w:color w:val="auto"/>
              </w:rPr>
            </w:pPr>
            <w:r>
              <w:rPr>
                <w:rFonts w:ascii="Calibri" w:cs="Calibri" w:eastAsia="Calibri" w:hAnsi="Calibri"/>
                <w:sz w:val="16"/>
                <w:szCs w:val="16"/>
                <w:color w:val="auto"/>
              </w:rPr>
              <w:t>Deferred contract acquisiton costs, current</w:t>
            </w:r>
          </w:p>
        </w:tc>
        <w:tc>
          <w:tcPr>
            <w:tcW w:w="200" w:type="dxa"/>
            <w:vAlign w:val="bottom"/>
          </w:tcPr>
          <w:p>
            <w:pPr>
              <w:spacing w:after="0"/>
              <w:rPr>
                <w:sz w:val="16"/>
                <w:szCs w:val="16"/>
                <w:color w:val="auto"/>
              </w:rPr>
            </w:pPr>
          </w:p>
        </w:tc>
        <w:tc>
          <w:tcPr>
            <w:tcW w:w="1560" w:type="dxa"/>
            <w:vAlign w:val="bottom"/>
          </w:tcPr>
          <w:p>
            <w:pPr>
              <w:jc w:val="right"/>
              <w:spacing w:after="0" w:line="193" w:lineRule="exact"/>
              <w:rPr>
                <w:sz w:val="20"/>
                <w:szCs w:val="20"/>
                <w:color w:val="auto"/>
              </w:rPr>
            </w:pPr>
            <w:r>
              <w:rPr>
                <w:rFonts w:ascii="Calibri" w:cs="Calibri" w:eastAsia="Calibri" w:hAnsi="Calibri"/>
                <w:sz w:val="16"/>
                <w:szCs w:val="16"/>
                <w:color w:val="auto"/>
              </w:rPr>
              <w:t>294,229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246,370</w:t>
            </w:r>
          </w:p>
        </w:tc>
      </w:tr>
      <w:tr>
        <w:trPr>
          <w:trHeight w:val="23"/>
        </w:trPr>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6"/>
        </w:trPr>
        <w:tc>
          <w:tcPr>
            <w:tcW w:w="764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203,852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183,172</w:t>
            </w:r>
          </w:p>
        </w:tc>
      </w:tr>
      <w:tr>
        <w:trPr>
          <w:trHeight w:val="187"/>
        </w:trPr>
        <w:tc>
          <w:tcPr>
            <w:tcW w:w="7640" w:type="dxa"/>
            <w:vAlign w:val="bottom"/>
          </w:tcPr>
          <w:p>
            <w:pPr>
              <w:ind w:left="220"/>
              <w:spacing w:after="0" w:line="182" w:lineRule="exact"/>
              <w:rPr>
                <w:sz w:val="20"/>
                <w:szCs w:val="20"/>
                <w:color w:val="auto"/>
              </w:rPr>
            </w:pPr>
            <w:r>
              <w:rPr>
                <w:rFonts w:ascii="Calibri" w:cs="Calibri" w:eastAsia="Calibri" w:hAnsi="Calibri"/>
                <w:sz w:val="16"/>
                <w:szCs w:val="16"/>
                <w:color w:val="auto"/>
              </w:rPr>
              <w:t>Total current assets</w:t>
            </w:r>
          </w:p>
        </w:tc>
        <w:tc>
          <w:tcPr>
            <w:tcW w:w="2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5,572,327</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4,757,307</w:t>
            </w:r>
          </w:p>
        </w:tc>
      </w:tr>
      <w:tr>
        <w:trPr>
          <w:trHeight w:val="23"/>
        </w:trPr>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Strategic investments</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68,246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56,244</w:t>
            </w:r>
          </w:p>
        </w:tc>
      </w:tr>
      <w:tr>
        <w:trPr>
          <w:trHeight w:val="193"/>
        </w:trPr>
        <w:tc>
          <w:tcPr>
            <w:tcW w:w="7640" w:type="dxa"/>
            <w:vAlign w:val="bottom"/>
          </w:tcPr>
          <w:p>
            <w:pPr>
              <w:ind w:left="20"/>
              <w:spacing w:after="0" w:line="193" w:lineRule="exact"/>
              <w:rPr>
                <w:sz w:val="20"/>
                <w:szCs w:val="20"/>
                <w:color w:val="auto"/>
              </w:rPr>
            </w:pPr>
            <w:r>
              <w:rPr>
                <w:rFonts w:ascii="Calibri" w:cs="Calibri" w:eastAsia="Calibri" w:hAnsi="Calibri"/>
                <w:sz w:val="16"/>
                <w:szCs w:val="16"/>
                <w:color w:val="auto"/>
              </w:rPr>
              <w:t>Property and equipment, net</w:t>
            </w:r>
          </w:p>
        </w:tc>
        <w:tc>
          <w:tcPr>
            <w:tcW w:w="200" w:type="dxa"/>
            <w:vAlign w:val="bottom"/>
          </w:tcPr>
          <w:p>
            <w:pPr>
              <w:spacing w:after="0"/>
              <w:rPr>
                <w:sz w:val="16"/>
                <w:szCs w:val="16"/>
                <w:color w:val="auto"/>
              </w:rPr>
            </w:pPr>
          </w:p>
        </w:tc>
        <w:tc>
          <w:tcPr>
            <w:tcW w:w="1560" w:type="dxa"/>
            <w:vAlign w:val="bottom"/>
          </w:tcPr>
          <w:p>
            <w:pPr>
              <w:jc w:val="right"/>
              <w:spacing w:after="0" w:line="193" w:lineRule="exact"/>
              <w:rPr>
                <w:sz w:val="20"/>
                <w:szCs w:val="20"/>
                <w:color w:val="auto"/>
              </w:rPr>
            </w:pPr>
            <w:r>
              <w:rPr>
                <w:rFonts w:ascii="Calibri" w:cs="Calibri" w:eastAsia="Calibri" w:hAnsi="Calibri"/>
                <w:sz w:val="16"/>
                <w:szCs w:val="16"/>
                <w:color w:val="auto"/>
              </w:rPr>
              <w:t>746,567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620,172</w:t>
            </w:r>
          </w:p>
        </w:tc>
      </w:tr>
      <w:tr>
        <w:trPr>
          <w:trHeight w:val="23"/>
        </w:trPr>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Operatng lease right-of-use assets</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46,289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48,211</w:t>
            </w:r>
          </w:p>
        </w:tc>
      </w:tr>
      <w:tr>
        <w:trPr>
          <w:trHeight w:val="193"/>
        </w:trPr>
        <w:tc>
          <w:tcPr>
            <w:tcW w:w="7640" w:type="dxa"/>
            <w:vAlign w:val="bottom"/>
          </w:tcPr>
          <w:p>
            <w:pPr>
              <w:ind w:left="20"/>
              <w:spacing w:after="0" w:line="193" w:lineRule="exact"/>
              <w:rPr>
                <w:sz w:val="20"/>
                <w:szCs w:val="20"/>
                <w:color w:val="auto"/>
              </w:rPr>
            </w:pPr>
            <w:r>
              <w:rPr>
                <w:rFonts w:ascii="Calibri" w:cs="Calibri" w:eastAsia="Calibri" w:hAnsi="Calibri"/>
                <w:sz w:val="16"/>
                <w:szCs w:val="16"/>
                <w:color w:val="auto"/>
              </w:rPr>
              <w:t>Deferred contract acquisiton costs, noncurrent</w:t>
            </w:r>
          </w:p>
        </w:tc>
        <w:tc>
          <w:tcPr>
            <w:tcW w:w="200" w:type="dxa"/>
            <w:vAlign w:val="bottom"/>
          </w:tcPr>
          <w:p>
            <w:pPr>
              <w:spacing w:after="0"/>
              <w:rPr>
                <w:sz w:val="16"/>
                <w:szCs w:val="16"/>
                <w:color w:val="auto"/>
              </w:rPr>
            </w:pPr>
          </w:p>
        </w:tc>
        <w:tc>
          <w:tcPr>
            <w:tcW w:w="1560" w:type="dxa"/>
            <w:vAlign w:val="bottom"/>
          </w:tcPr>
          <w:p>
            <w:pPr>
              <w:jc w:val="right"/>
              <w:spacing w:after="0" w:line="193" w:lineRule="exact"/>
              <w:rPr>
                <w:sz w:val="20"/>
                <w:szCs w:val="20"/>
                <w:color w:val="auto"/>
              </w:rPr>
            </w:pPr>
            <w:r>
              <w:rPr>
                <w:rFonts w:ascii="Calibri" w:cs="Calibri" w:eastAsia="Calibri" w:hAnsi="Calibri"/>
                <w:sz w:val="16"/>
                <w:szCs w:val="16"/>
                <w:color w:val="auto"/>
              </w:rPr>
              <w:t>421,773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335,933</w:t>
            </w:r>
          </w:p>
        </w:tc>
      </w:tr>
      <w:tr>
        <w:trPr>
          <w:trHeight w:val="23"/>
        </w:trPr>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Goodwill</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722,016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638,041</w:t>
            </w:r>
          </w:p>
        </w:tc>
      </w:tr>
      <w:tr>
        <w:trPr>
          <w:trHeight w:val="193"/>
        </w:trPr>
        <w:tc>
          <w:tcPr>
            <w:tcW w:w="7640" w:type="dxa"/>
            <w:vAlign w:val="bottom"/>
          </w:tcPr>
          <w:p>
            <w:pPr>
              <w:ind w:left="20"/>
              <w:spacing w:after="0" w:line="193" w:lineRule="exact"/>
              <w:rPr>
                <w:sz w:val="20"/>
                <w:szCs w:val="20"/>
                <w:color w:val="auto"/>
              </w:rPr>
            </w:pPr>
            <w:r>
              <w:rPr>
                <w:rFonts w:ascii="Calibri" w:cs="Calibri" w:eastAsia="Calibri" w:hAnsi="Calibri"/>
                <w:sz w:val="16"/>
                <w:szCs w:val="16"/>
                <w:color w:val="auto"/>
              </w:rPr>
              <w:t>Intangible assets, net</w:t>
            </w:r>
          </w:p>
        </w:tc>
        <w:tc>
          <w:tcPr>
            <w:tcW w:w="200" w:type="dxa"/>
            <w:vAlign w:val="bottom"/>
          </w:tcPr>
          <w:p>
            <w:pPr>
              <w:spacing w:after="0"/>
              <w:rPr>
                <w:sz w:val="16"/>
                <w:szCs w:val="16"/>
                <w:color w:val="auto"/>
              </w:rPr>
            </w:pPr>
          </w:p>
        </w:tc>
        <w:tc>
          <w:tcPr>
            <w:tcW w:w="1560" w:type="dxa"/>
            <w:vAlign w:val="bottom"/>
          </w:tcPr>
          <w:p>
            <w:pPr>
              <w:jc w:val="right"/>
              <w:spacing w:after="0" w:line="193" w:lineRule="exact"/>
              <w:rPr>
                <w:sz w:val="20"/>
                <w:szCs w:val="20"/>
                <w:color w:val="auto"/>
              </w:rPr>
            </w:pPr>
            <w:r>
              <w:rPr>
                <w:rFonts w:ascii="Calibri" w:cs="Calibri" w:eastAsia="Calibri" w:hAnsi="Calibri"/>
                <w:sz w:val="16"/>
                <w:szCs w:val="16"/>
                <w:color w:val="auto"/>
              </w:rPr>
              <w:t>109,354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114,518</w:t>
            </w:r>
          </w:p>
        </w:tc>
      </w:tr>
      <w:tr>
        <w:trPr>
          <w:trHeight w:val="23"/>
        </w:trPr>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6"/>
        </w:trPr>
        <w:tc>
          <w:tcPr>
            <w:tcW w:w="76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Other long-term assets</w:t>
            </w:r>
          </w:p>
        </w:tc>
        <w:tc>
          <w:tcPr>
            <w:tcW w:w="2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96,386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76,094</w:t>
            </w:r>
          </w:p>
        </w:tc>
      </w:tr>
      <w:tr>
        <w:trPr>
          <w:trHeight w:val="209"/>
        </w:trPr>
        <w:tc>
          <w:tcPr>
            <w:tcW w:w="7640" w:type="dxa"/>
            <w:vAlign w:val="bottom"/>
          </w:tcPr>
          <w:p>
            <w:pPr>
              <w:ind w:left="220"/>
              <w:spacing w:after="0"/>
              <w:rPr>
                <w:sz w:val="20"/>
                <w:szCs w:val="20"/>
                <w:color w:val="auto"/>
              </w:rPr>
            </w:pPr>
            <w:r>
              <w:rPr>
                <w:rFonts w:ascii="Calibri" w:cs="Calibri" w:eastAsia="Calibri" w:hAnsi="Calibri"/>
                <w:sz w:val="16"/>
                <w:szCs w:val="16"/>
                <w:color w:val="auto"/>
              </w:rPr>
              <w:t>Total assets</w:t>
            </w:r>
          </w:p>
        </w:tc>
        <w:tc>
          <w:tcPr>
            <w:tcW w:w="200" w:type="dxa"/>
            <w:vAlign w:val="bottom"/>
            <w:tcBorders>
              <w:top w:val="single" w:sz="8" w:color="auto"/>
              <w:bottom w:val="single" w:sz="8" w:color="auto"/>
            </w:tcBorders>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5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7,782,958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5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6,646,520</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63"/>
        </w:trPr>
        <w:tc>
          <w:tcPr>
            <w:tcW w:w="7640" w:type="dxa"/>
            <w:vAlign w:val="bottom"/>
            <w:tcBorders>
              <w:bottom w:val="single" w:sz="8" w:color="CCEEFF"/>
            </w:tcBorders>
            <w:shd w:val="clear" w:color="auto" w:fill="CCEEFF"/>
          </w:tcPr>
          <w:p>
            <w:pPr>
              <w:ind w:left="20"/>
              <w:spacing w:after="0" w:line="161" w:lineRule="exact"/>
              <w:rPr>
                <w:sz w:val="20"/>
                <w:szCs w:val="20"/>
                <w:color w:val="auto"/>
              </w:rPr>
            </w:pPr>
            <w:r>
              <w:rPr>
                <w:rFonts w:ascii="Calibri" w:cs="Calibri" w:eastAsia="Calibri" w:hAnsi="Calibri"/>
                <w:sz w:val="16"/>
                <w:szCs w:val="16"/>
                <w:b w:val="1"/>
                <w:bCs w:val="1"/>
                <w:color w:val="auto"/>
              </w:rPr>
              <w:t>Liabilites and Stockholders’ Equity</w:t>
            </w:r>
          </w:p>
        </w:tc>
        <w:tc>
          <w:tcPr>
            <w:tcW w:w="2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r>
      <w:tr>
        <w:trPr>
          <w:trHeight w:val="193"/>
        </w:trPr>
        <w:tc>
          <w:tcPr>
            <w:tcW w:w="76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liabilites: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
        </w:trPr>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Accounts payable</w:t>
            </w:r>
          </w:p>
        </w:tc>
        <w:tc>
          <w:tcPr>
            <w:tcW w:w="20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79,214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28,180</w:t>
            </w:r>
          </w:p>
        </w:tc>
      </w:tr>
      <w:tr>
        <w:trPr>
          <w:trHeight w:val="193"/>
        </w:trPr>
        <w:tc>
          <w:tcPr>
            <w:tcW w:w="7640" w:type="dxa"/>
            <w:vAlign w:val="bottom"/>
          </w:tcPr>
          <w:p>
            <w:pPr>
              <w:ind w:left="140"/>
              <w:spacing w:after="0" w:line="193" w:lineRule="exact"/>
              <w:rPr>
                <w:sz w:val="20"/>
                <w:szCs w:val="20"/>
                <w:color w:val="auto"/>
              </w:rPr>
            </w:pPr>
            <w:r>
              <w:rPr>
                <w:rFonts w:ascii="Calibri" w:cs="Calibri" w:eastAsia="Calibri" w:hAnsi="Calibri"/>
                <w:sz w:val="16"/>
                <w:szCs w:val="16"/>
                <w:color w:val="auto"/>
              </w:rPr>
              <w:t>Accrued expenses</w:t>
            </w:r>
          </w:p>
        </w:tc>
        <w:tc>
          <w:tcPr>
            <w:tcW w:w="200" w:type="dxa"/>
            <w:vAlign w:val="bottom"/>
          </w:tcPr>
          <w:p>
            <w:pPr>
              <w:spacing w:after="0"/>
              <w:rPr>
                <w:sz w:val="16"/>
                <w:szCs w:val="16"/>
                <w:color w:val="auto"/>
              </w:rPr>
            </w:pPr>
          </w:p>
        </w:tc>
        <w:tc>
          <w:tcPr>
            <w:tcW w:w="1560" w:type="dxa"/>
            <w:vAlign w:val="bottom"/>
          </w:tcPr>
          <w:p>
            <w:pPr>
              <w:jc w:val="right"/>
              <w:spacing w:after="0" w:line="193" w:lineRule="exact"/>
              <w:rPr>
                <w:sz w:val="20"/>
                <w:szCs w:val="20"/>
                <w:color w:val="auto"/>
              </w:rPr>
            </w:pPr>
            <w:r>
              <w:rPr>
                <w:rFonts w:ascii="Calibri" w:cs="Calibri" w:eastAsia="Calibri" w:hAnsi="Calibri"/>
                <w:sz w:val="16"/>
                <w:szCs w:val="16"/>
                <w:color w:val="auto"/>
              </w:rPr>
              <w:t>176,598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125,896</w:t>
            </w:r>
          </w:p>
        </w:tc>
      </w:tr>
      <w:tr>
        <w:trPr>
          <w:trHeight w:val="23"/>
        </w:trPr>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Accrued payroll and benefts</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324,889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234,624</w:t>
            </w:r>
          </w:p>
        </w:tc>
      </w:tr>
      <w:tr>
        <w:trPr>
          <w:trHeight w:val="193"/>
        </w:trPr>
        <w:tc>
          <w:tcPr>
            <w:tcW w:w="7640" w:type="dxa"/>
            <w:vAlign w:val="bottom"/>
          </w:tcPr>
          <w:p>
            <w:pPr>
              <w:ind w:left="140"/>
              <w:spacing w:after="0" w:line="193" w:lineRule="exact"/>
              <w:rPr>
                <w:sz w:val="20"/>
                <w:szCs w:val="20"/>
                <w:color w:val="auto"/>
              </w:rPr>
            </w:pPr>
            <w:r>
              <w:rPr>
                <w:rFonts w:ascii="Calibri" w:cs="Calibri" w:eastAsia="Calibri" w:hAnsi="Calibri"/>
                <w:sz w:val="16"/>
                <w:szCs w:val="16"/>
                <w:color w:val="auto"/>
              </w:rPr>
              <w:t>Operatng lease liabilites, current</w:t>
            </w:r>
          </w:p>
        </w:tc>
        <w:tc>
          <w:tcPr>
            <w:tcW w:w="200" w:type="dxa"/>
            <w:vAlign w:val="bottom"/>
          </w:tcPr>
          <w:p>
            <w:pPr>
              <w:spacing w:after="0"/>
              <w:rPr>
                <w:sz w:val="16"/>
                <w:szCs w:val="16"/>
                <w:color w:val="auto"/>
              </w:rPr>
            </w:pPr>
          </w:p>
        </w:tc>
        <w:tc>
          <w:tcPr>
            <w:tcW w:w="1560" w:type="dxa"/>
            <w:vAlign w:val="bottom"/>
          </w:tcPr>
          <w:p>
            <w:pPr>
              <w:jc w:val="right"/>
              <w:spacing w:after="0" w:line="193" w:lineRule="exact"/>
              <w:rPr>
                <w:sz w:val="20"/>
                <w:szCs w:val="20"/>
                <w:color w:val="auto"/>
              </w:rPr>
            </w:pPr>
            <w:r>
              <w:rPr>
                <w:rFonts w:ascii="Calibri" w:cs="Calibri" w:eastAsia="Calibri" w:hAnsi="Calibri"/>
                <w:sz w:val="16"/>
                <w:szCs w:val="16"/>
                <w:color w:val="auto"/>
              </w:rPr>
              <w:t>15,658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14,150</w:t>
            </w:r>
          </w:p>
        </w:tc>
      </w:tr>
      <w:tr>
        <w:trPr>
          <w:trHeight w:val="23"/>
        </w:trPr>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Deferred revenue</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2,363,258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2,270,757</w:t>
            </w:r>
          </w:p>
        </w:tc>
      </w:tr>
      <w:tr>
        <w:trPr>
          <w:trHeight w:val="194"/>
        </w:trPr>
        <w:tc>
          <w:tcPr>
            <w:tcW w:w="7640" w:type="dxa"/>
            <w:vAlign w:val="bottom"/>
          </w:tcPr>
          <w:p>
            <w:pPr>
              <w:ind w:left="140"/>
              <w:spacing w:after="0" w:line="193" w:lineRule="exact"/>
              <w:rPr>
                <w:sz w:val="20"/>
                <w:szCs w:val="20"/>
                <w:color w:val="auto"/>
              </w:rPr>
            </w:pPr>
            <w:r>
              <w:rPr>
                <w:rFonts w:ascii="Calibri" w:cs="Calibri" w:eastAsia="Calibri" w:hAnsi="Calibri"/>
                <w:sz w:val="16"/>
                <w:szCs w:val="16"/>
                <w:color w:val="auto"/>
              </w:rPr>
              <w:t>Other current liabilites</w:t>
            </w:r>
          </w:p>
        </w:tc>
        <w:tc>
          <w:tcPr>
            <w:tcW w:w="200" w:type="dxa"/>
            <w:vAlign w:val="bottom"/>
          </w:tcPr>
          <w:p>
            <w:pPr>
              <w:spacing w:after="0"/>
              <w:rPr>
                <w:sz w:val="16"/>
                <w:szCs w:val="16"/>
                <w:color w:val="auto"/>
              </w:rPr>
            </w:pPr>
          </w:p>
        </w:tc>
        <w:tc>
          <w:tcPr>
            <w:tcW w:w="1560" w:type="dxa"/>
            <w:vAlign w:val="bottom"/>
          </w:tcPr>
          <w:p>
            <w:pPr>
              <w:jc w:val="right"/>
              <w:spacing w:after="0" w:line="193" w:lineRule="exact"/>
              <w:rPr>
                <w:sz w:val="20"/>
                <w:szCs w:val="20"/>
                <w:color w:val="auto"/>
              </w:rPr>
            </w:pPr>
            <w:r>
              <w:rPr>
                <w:rFonts w:ascii="Calibri" w:cs="Calibri" w:eastAsia="Calibri" w:hAnsi="Calibri"/>
                <w:sz w:val="16"/>
                <w:szCs w:val="16"/>
                <w:color w:val="auto"/>
              </w:rPr>
              <w:t>40,763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23,672</w:t>
            </w:r>
          </w:p>
        </w:tc>
      </w:tr>
      <w:tr>
        <w:trPr>
          <w:trHeight w:val="23"/>
        </w:trPr>
        <w:tc>
          <w:tcPr>
            <w:tcW w:w="7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0"/>
        </w:trPr>
        <w:tc>
          <w:tcPr>
            <w:tcW w:w="7640" w:type="dxa"/>
            <w:vAlign w:val="bottom"/>
            <w:tcBorders>
              <w:bottom w:val="single" w:sz="8" w:color="CCEEFF"/>
            </w:tcBorders>
            <w:shd w:val="clear" w:color="auto" w:fill="CCEEFF"/>
          </w:tcPr>
          <w:p>
            <w:pPr>
              <w:ind w:left="220"/>
              <w:spacing w:after="0" w:line="182" w:lineRule="exact"/>
              <w:rPr>
                <w:sz w:val="20"/>
                <w:szCs w:val="20"/>
                <w:color w:val="auto"/>
              </w:rPr>
            </w:pPr>
            <w:r>
              <w:rPr>
                <w:rFonts w:ascii="Calibri" w:cs="Calibri" w:eastAsia="Calibri" w:hAnsi="Calibri"/>
                <w:sz w:val="16"/>
                <w:szCs w:val="16"/>
                <w:color w:val="auto"/>
              </w:rPr>
              <w:t>Total current liabilites</w:t>
            </w:r>
          </w:p>
        </w:tc>
        <w:tc>
          <w:tcPr>
            <w:tcW w:w="2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3,000,380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2,697,279</w:t>
            </w:r>
          </w:p>
        </w:tc>
      </w:tr>
      <w:tr>
        <w:trPr>
          <w:trHeight w:val="194"/>
        </w:trPr>
        <w:tc>
          <w:tcPr>
            <w:tcW w:w="764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debt</w:t>
            </w:r>
          </w:p>
        </w:tc>
        <w:tc>
          <w:tcPr>
            <w:tcW w:w="200" w:type="dxa"/>
            <w:vAlign w:val="bottom"/>
          </w:tcPr>
          <w:p>
            <w:pPr>
              <w:spacing w:after="0"/>
              <w:rPr>
                <w:sz w:val="16"/>
                <w:szCs w:val="16"/>
                <w:color w:val="auto"/>
              </w:rPr>
            </w:pPr>
          </w:p>
        </w:tc>
        <w:tc>
          <w:tcPr>
            <w:tcW w:w="1560" w:type="dxa"/>
            <w:vAlign w:val="bottom"/>
          </w:tcPr>
          <w:p>
            <w:pPr>
              <w:jc w:val="right"/>
              <w:spacing w:after="0" w:line="193" w:lineRule="exact"/>
              <w:rPr>
                <w:sz w:val="20"/>
                <w:szCs w:val="20"/>
                <w:color w:val="auto"/>
              </w:rPr>
            </w:pPr>
            <w:r>
              <w:rPr>
                <w:rFonts w:ascii="Calibri" w:cs="Calibri" w:eastAsia="Calibri" w:hAnsi="Calibri"/>
                <w:sz w:val="16"/>
                <w:szCs w:val="16"/>
                <w:color w:val="auto"/>
              </w:rPr>
              <w:t>743,610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742,494</w:t>
            </w:r>
          </w:p>
        </w:tc>
      </w:tr>
      <w:tr>
        <w:trPr>
          <w:trHeight w:val="22"/>
        </w:trPr>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Deferred revenue, noncurrent</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833,260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783,342</w:t>
            </w:r>
          </w:p>
        </w:tc>
      </w:tr>
      <w:tr>
        <w:trPr>
          <w:trHeight w:val="194"/>
        </w:trPr>
        <w:tc>
          <w:tcPr>
            <w:tcW w:w="7640" w:type="dxa"/>
            <w:vAlign w:val="bottom"/>
          </w:tcPr>
          <w:p>
            <w:pPr>
              <w:ind w:left="20"/>
              <w:spacing w:after="0" w:line="193" w:lineRule="exact"/>
              <w:rPr>
                <w:sz w:val="20"/>
                <w:szCs w:val="20"/>
                <w:color w:val="auto"/>
              </w:rPr>
            </w:pPr>
            <w:r>
              <w:rPr>
                <w:rFonts w:ascii="Calibri" w:cs="Calibri" w:eastAsia="Calibri" w:hAnsi="Calibri"/>
                <w:sz w:val="16"/>
                <w:szCs w:val="16"/>
                <w:color w:val="auto"/>
              </w:rPr>
              <w:t>Operatng lease liabilites, noncurrent</w:t>
            </w:r>
          </w:p>
        </w:tc>
        <w:tc>
          <w:tcPr>
            <w:tcW w:w="200" w:type="dxa"/>
            <w:vAlign w:val="bottom"/>
          </w:tcPr>
          <w:p>
            <w:pPr>
              <w:spacing w:after="0"/>
              <w:rPr>
                <w:sz w:val="16"/>
                <w:szCs w:val="16"/>
                <w:color w:val="auto"/>
              </w:rPr>
            </w:pPr>
          </w:p>
        </w:tc>
        <w:tc>
          <w:tcPr>
            <w:tcW w:w="1560" w:type="dxa"/>
            <w:vAlign w:val="bottom"/>
          </w:tcPr>
          <w:p>
            <w:pPr>
              <w:jc w:val="right"/>
              <w:spacing w:after="0" w:line="193" w:lineRule="exact"/>
              <w:rPr>
                <w:sz w:val="20"/>
                <w:szCs w:val="20"/>
                <w:color w:val="auto"/>
              </w:rPr>
            </w:pPr>
            <w:r>
              <w:rPr>
                <w:rFonts w:ascii="Calibri" w:cs="Calibri" w:eastAsia="Calibri" w:hAnsi="Calibri"/>
                <w:sz w:val="16"/>
                <w:szCs w:val="16"/>
                <w:color w:val="auto"/>
              </w:rPr>
              <w:t>32,683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36,230</w:t>
            </w:r>
          </w:p>
        </w:tc>
      </w:tr>
      <w:tr>
        <w:trPr>
          <w:trHeight w:val="23"/>
        </w:trPr>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6"/>
        </w:trPr>
        <w:tc>
          <w:tcPr>
            <w:tcW w:w="76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Other liabilites, noncurrent</w:t>
            </w:r>
          </w:p>
        </w:tc>
        <w:tc>
          <w:tcPr>
            <w:tcW w:w="2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77,414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50,086</w:t>
            </w:r>
          </w:p>
        </w:tc>
      </w:tr>
      <w:tr>
        <w:trPr>
          <w:trHeight w:val="187"/>
        </w:trPr>
        <w:tc>
          <w:tcPr>
            <w:tcW w:w="7640" w:type="dxa"/>
            <w:vAlign w:val="bottom"/>
          </w:tcPr>
          <w:p>
            <w:pPr>
              <w:ind w:left="220"/>
              <w:spacing w:after="0" w:line="182" w:lineRule="exact"/>
              <w:rPr>
                <w:sz w:val="20"/>
                <w:szCs w:val="20"/>
                <w:color w:val="auto"/>
              </w:rPr>
            </w:pPr>
            <w:r>
              <w:rPr>
                <w:rFonts w:ascii="Calibri" w:cs="Calibri" w:eastAsia="Calibri" w:hAnsi="Calibri"/>
                <w:sz w:val="16"/>
                <w:szCs w:val="16"/>
                <w:color w:val="auto"/>
              </w:rPr>
              <w:t>Total liabilites</w:t>
            </w:r>
          </w:p>
        </w:tc>
        <w:tc>
          <w:tcPr>
            <w:tcW w:w="2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4,687,347</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4,309,431</w:t>
            </w:r>
          </w:p>
        </w:tc>
      </w:tr>
      <w:tr>
        <w:trPr>
          <w:trHeight w:val="23"/>
        </w:trPr>
        <w:tc>
          <w:tcPr>
            <w:tcW w:w="7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76"/>
        </w:trPr>
        <w:tc>
          <w:tcPr>
            <w:tcW w:w="764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Commitments and contngencies</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r>
      <w:tr>
        <w:trPr>
          <w:trHeight w:val="194"/>
        </w:trPr>
        <w:tc>
          <w:tcPr>
            <w:tcW w:w="764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Stockholders’ Equity</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
        </w:trPr>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Common stock, Class A and Class B</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121</w:t>
            </w:r>
          </w:p>
        </w:tc>
      </w:tr>
      <w:tr>
        <w:trPr>
          <w:trHeight w:val="193"/>
        </w:trPr>
        <w:tc>
          <w:tcPr>
            <w:tcW w:w="7640" w:type="dxa"/>
            <w:vAlign w:val="bottom"/>
          </w:tcPr>
          <w:p>
            <w:pPr>
              <w:ind w:left="140"/>
              <w:spacing w:after="0" w:line="193" w:lineRule="exact"/>
              <w:rPr>
                <w:sz w:val="20"/>
                <w:szCs w:val="20"/>
                <w:color w:val="auto"/>
              </w:rPr>
            </w:pPr>
            <w:r>
              <w:rPr>
                <w:rFonts w:ascii="Calibri" w:cs="Calibri" w:eastAsia="Calibri" w:hAnsi="Calibri"/>
                <w:sz w:val="16"/>
                <w:szCs w:val="16"/>
                <w:color w:val="auto"/>
              </w:rPr>
              <w:t>Additonal paid-in capital</w:t>
            </w:r>
          </w:p>
        </w:tc>
        <w:tc>
          <w:tcPr>
            <w:tcW w:w="200" w:type="dxa"/>
            <w:vAlign w:val="bottom"/>
          </w:tcPr>
          <w:p>
            <w:pPr>
              <w:spacing w:after="0"/>
              <w:rPr>
                <w:sz w:val="16"/>
                <w:szCs w:val="16"/>
                <w:color w:val="auto"/>
              </w:rPr>
            </w:pPr>
          </w:p>
        </w:tc>
        <w:tc>
          <w:tcPr>
            <w:tcW w:w="1560" w:type="dxa"/>
            <w:vAlign w:val="bottom"/>
          </w:tcPr>
          <w:p>
            <w:pPr>
              <w:jc w:val="right"/>
              <w:spacing w:after="0" w:line="193" w:lineRule="exact"/>
              <w:rPr>
                <w:sz w:val="20"/>
                <w:szCs w:val="20"/>
                <w:color w:val="auto"/>
              </w:rPr>
            </w:pPr>
            <w:r>
              <w:rPr>
                <w:rFonts w:ascii="Calibri" w:cs="Calibri" w:eastAsia="Calibri" w:hAnsi="Calibri"/>
                <w:sz w:val="16"/>
                <w:szCs w:val="16"/>
                <w:color w:val="auto"/>
              </w:rPr>
              <w:t>4,045,660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3,364,328</w:t>
            </w:r>
          </w:p>
        </w:tc>
      </w:tr>
      <w:tr>
        <w:trPr>
          <w:trHeight w:val="23"/>
        </w:trPr>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64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Accumulated defcit</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(985,825)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(1,058,836)</w:t>
            </w:r>
          </w:p>
        </w:tc>
      </w:tr>
      <w:tr>
        <w:trPr>
          <w:trHeight w:val="194"/>
        </w:trPr>
        <w:tc>
          <w:tcPr>
            <w:tcW w:w="7640" w:type="dxa"/>
            <w:vAlign w:val="bottom"/>
          </w:tcPr>
          <w:p>
            <w:pPr>
              <w:ind w:left="140"/>
              <w:spacing w:after="0" w:line="193" w:lineRule="exact"/>
              <w:rPr>
                <w:sz w:val="20"/>
                <w:szCs w:val="20"/>
                <w:color w:val="auto"/>
              </w:rPr>
            </w:pPr>
            <w:r>
              <w:rPr>
                <w:rFonts w:ascii="Calibri" w:cs="Calibri" w:eastAsia="Calibri" w:hAnsi="Calibri"/>
                <w:sz w:val="16"/>
                <w:szCs w:val="16"/>
                <w:color w:val="auto"/>
              </w:rPr>
              <w:t>Accumulated other comprehensive loss</w:t>
            </w:r>
          </w:p>
        </w:tc>
        <w:tc>
          <w:tcPr>
            <w:tcW w:w="200" w:type="dxa"/>
            <w:vAlign w:val="bottom"/>
          </w:tcPr>
          <w:p>
            <w:pPr>
              <w:spacing w:after="0"/>
              <w:rPr>
                <w:sz w:val="16"/>
                <w:szCs w:val="16"/>
                <w:color w:val="auto"/>
              </w:rPr>
            </w:pPr>
          </w:p>
        </w:tc>
        <w:tc>
          <w:tcPr>
            <w:tcW w:w="1560" w:type="dxa"/>
            <w:vAlign w:val="bottom"/>
          </w:tcPr>
          <w:p>
            <w:pPr>
              <w:jc w:val="right"/>
              <w:spacing w:after="0" w:line="193" w:lineRule="exact"/>
              <w:rPr>
                <w:sz w:val="20"/>
                <w:szCs w:val="20"/>
                <w:color w:val="auto"/>
              </w:rPr>
            </w:pPr>
            <w:r>
              <w:rPr>
                <w:rFonts w:ascii="Calibri" w:cs="Calibri" w:eastAsia="Calibri" w:hAnsi="Calibri"/>
                <w:sz w:val="16"/>
                <w:szCs w:val="16"/>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(1,663)</w:t>
            </w:r>
          </w:p>
        </w:tc>
      </w:tr>
      <w:tr>
        <w:trPr>
          <w:trHeight w:val="22"/>
        </w:trPr>
        <w:tc>
          <w:tcPr>
            <w:tcW w:w="7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0"/>
        </w:trPr>
        <w:tc>
          <w:tcPr>
            <w:tcW w:w="7640" w:type="dxa"/>
            <w:vAlign w:val="bottom"/>
            <w:tcBorders>
              <w:bottom w:val="single" w:sz="8" w:color="CCEEFF"/>
            </w:tcBorders>
            <w:shd w:val="clear" w:color="auto" w:fill="CCEEFF"/>
          </w:tcPr>
          <w:p>
            <w:pPr>
              <w:ind w:left="220"/>
              <w:spacing w:after="0" w:line="182" w:lineRule="exact"/>
              <w:rPr>
                <w:sz w:val="20"/>
                <w:szCs w:val="20"/>
                <w:color w:val="auto"/>
              </w:rPr>
            </w:pPr>
            <w:r>
              <w:rPr>
                <w:rFonts w:ascii="Calibri" w:cs="Calibri" w:eastAsia="Calibri" w:hAnsi="Calibri"/>
                <w:sz w:val="16"/>
                <w:szCs w:val="16"/>
                <w:color w:val="auto"/>
              </w:rPr>
              <w:t>Total CrowdStrike Holdings, Inc. stockholders’ equity</w:t>
            </w:r>
          </w:p>
        </w:tc>
        <w:tc>
          <w:tcPr>
            <w:tcW w:w="2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3,057,933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2,303,950</w:t>
            </w:r>
          </w:p>
        </w:tc>
      </w:tr>
      <w:tr>
        <w:trPr>
          <w:trHeight w:val="193"/>
        </w:trPr>
        <w:tc>
          <w:tcPr>
            <w:tcW w:w="7640" w:type="dxa"/>
            <w:vAlign w:val="bottom"/>
          </w:tcPr>
          <w:p>
            <w:pPr>
              <w:ind w:left="140"/>
              <w:spacing w:after="0" w:line="193" w:lineRule="exact"/>
              <w:rPr>
                <w:sz w:val="20"/>
                <w:szCs w:val="20"/>
                <w:color w:val="auto"/>
              </w:rPr>
            </w:pPr>
            <w:r>
              <w:rPr>
                <w:rFonts w:ascii="Calibri" w:cs="Calibri" w:eastAsia="Calibri" w:hAnsi="Calibri"/>
                <w:sz w:val="16"/>
                <w:szCs w:val="16"/>
                <w:color w:val="auto"/>
              </w:rPr>
              <w:t>Non-controlling interest</w:t>
            </w:r>
          </w:p>
        </w:tc>
        <w:tc>
          <w:tcPr>
            <w:tcW w:w="200" w:type="dxa"/>
            <w:vAlign w:val="bottom"/>
          </w:tcPr>
          <w:p>
            <w:pPr>
              <w:spacing w:after="0"/>
              <w:rPr>
                <w:sz w:val="16"/>
                <w:szCs w:val="16"/>
                <w:color w:val="auto"/>
              </w:rPr>
            </w:pPr>
          </w:p>
        </w:tc>
        <w:tc>
          <w:tcPr>
            <w:tcW w:w="1560" w:type="dxa"/>
            <w:vAlign w:val="bottom"/>
          </w:tcPr>
          <w:p>
            <w:pPr>
              <w:jc w:val="right"/>
              <w:spacing w:after="0" w:line="193" w:lineRule="exact"/>
              <w:rPr>
                <w:sz w:val="20"/>
                <w:szCs w:val="20"/>
                <w:color w:val="auto"/>
              </w:rPr>
            </w:pPr>
            <w:r>
              <w:rPr>
                <w:rFonts w:ascii="Calibri" w:cs="Calibri" w:eastAsia="Calibri" w:hAnsi="Calibri"/>
                <w:sz w:val="16"/>
                <w:szCs w:val="16"/>
                <w:color w:val="auto"/>
              </w:rPr>
              <w:t>37,678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33,139</w:t>
            </w:r>
          </w:p>
        </w:tc>
      </w:tr>
      <w:tr>
        <w:trPr>
          <w:trHeight w:val="23"/>
        </w:trPr>
        <w:tc>
          <w:tcPr>
            <w:tcW w:w="7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20"/>
              <w:spacing w:after="0" w:line="182" w:lineRule="exact"/>
              <w:rPr>
                <w:sz w:val="20"/>
                <w:szCs w:val="20"/>
                <w:color w:val="auto"/>
              </w:rPr>
            </w:pPr>
            <w:r>
              <w:rPr>
                <w:rFonts w:ascii="Calibri" w:cs="Calibri" w:eastAsia="Calibri" w:hAnsi="Calibri"/>
                <w:sz w:val="16"/>
                <w:szCs w:val="16"/>
                <w:color w:val="auto"/>
              </w:rPr>
              <w:t>Total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3,095,611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2,337,089</w:t>
            </w:r>
          </w:p>
        </w:tc>
      </w:tr>
      <w:tr>
        <w:trPr>
          <w:trHeight w:val="209"/>
        </w:trPr>
        <w:tc>
          <w:tcPr>
            <w:tcW w:w="7640" w:type="dxa"/>
            <w:vAlign w:val="bottom"/>
          </w:tcPr>
          <w:p>
            <w:pPr>
              <w:ind w:left="220"/>
              <w:spacing w:after="0"/>
              <w:rPr>
                <w:sz w:val="20"/>
                <w:szCs w:val="20"/>
                <w:color w:val="auto"/>
              </w:rPr>
            </w:pPr>
            <w:r>
              <w:rPr>
                <w:rFonts w:ascii="Calibri" w:cs="Calibri" w:eastAsia="Calibri" w:hAnsi="Calibri"/>
                <w:sz w:val="16"/>
                <w:szCs w:val="16"/>
                <w:color w:val="auto"/>
              </w:rPr>
              <w:t>Total liabilites and stockholders’ equity</w:t>
            </w:r>
          </w:p>
        </w:tc>
        <w:tc>
          <w:tcPr>
            <w:tcW w:w="200" w:type="dxa"/>
            <w:vAlign w:val="bottom"/>
            <w:tcBorders>
              <w:top w:val="single" w:sz="8" w:color="auto"/>
              <w:bottom w:val="single" w:sz="8" w:color="auto"/>
            </w:tcBorders>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5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7,782,958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5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6,646,520</w:t>
            </w:r>
          </w:p>
        </w:tc>
      </w:tr>
      <w:tr>
        <w:trPr>
          <w:trHeight w:val="21"/>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98" w:right="339" w:bottom="1440" w:gutter="0" w:footer="0" w:header="0"/>
        </w:sectPr>
      </w:pPr>
    </w:p>
    <w:bookmarkStart w:id="13" w:name="page14"/>
    <w:bookmarkEnd w:id="13"/>
    <w:p>
      <w:pPr>
        <w:jc w:val="center"/>
        <w:ind w:right="20"/>
        <w:spacing w:after="0"/>
        <w:rPr>
          <w:sz w:val="20"/>
          <w:szCs w:val="20"/>
          <w:color w:val="auto"/>
        </w:rPr>
      </w:pPr>
      <w:r>
        <w:rPr>
          <w:rFonts w:ascii="Calibri" w:cs="Calibri" w:eastAsia="Calibri" w:hAnsi="Calibri"/>
          <w:sz w:val="18"/>
          <w:szCs w:val="18"/>
          <w:b w:val="1"/>
          <w:bCs w:val="1"/>
          <w:color w:val="auto"/>
        </w:rPr>
        <w:t>CROWDSTRIKE HOLDINGS, INC.</w:t>
      </w:r>
    </w:p>
    <w:p>
      <w:pPr>
        <w:spacing w:after="0" w:line="212"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Condensed Consolidated Statements of Cash Flows</w:t>
      </w:r>
    </w:p>
    <w:p>
      <w:pPr>
        <w:jc w:val="center"/>
        <w:ind w:right="20"/>
        <w:spacing w:after="0" w:line="235" w:lineRule="auto"/>
        <w:rPr>
          <w:sz w:val="20"/>
          <w:szCs w:val="20"/>
          <w:color w:val="auto"/>
        </w:rPr>
      </w:pPr>
      <w:r>
        <w:rPr>
          <w:rFonts w:ascii="Calibri" w:cs="Calibri" w:eastAsia="Calibri" w:hAnsi="Calibri"/>
          <w:sz w:val="18"/>
          <w:szCs w:val="18"/>
          <w:color w:val="auto"/>
        </w:rPr>
        <w:t>(in thousands)</w:t>
      </w:r>
    </w:p>
    <w:p>
      <w:pPr>
        <w:jc w:val="center"/>
        <w:ind w:right="20"/>
        <w:spacing w:after="0" w:line="236" w:lineRule="auto"/>
        <w:rPr>
          <w:sz w:val="20"/>
          <w:szCs w:val="20"/>
          <w:color w:val="auto"/>
        </w:rPr>
      </w:pPr>
      <w:r>
        <w:rPr>
          <w:rFonts w:ascii="Calibri" w:cs="Calibri" w:eastAsia="Calibri" w:hAnsi="Calibri"/>
          <w:sz w:val="18"/>
          <w:szCs w:val="18"/>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2940" w:type="dxa"/>
            <w:vAlign w:val="bottom"/>
            <w:gridSpan w:val="4"/>
          </w:tcPr>
          <w:p>
            <w:pPr>
              <w:jc w:val="right"/>
              <w:ind w:right="88"/>
              <w:spacing w:after="0"/>
              <w:rPr>
                <w:sz w:val="20"/>
                <w:szCs w:val="20"/>
                <w:color w:val="auto"/>
              </w:rPr>
            </w:pPr>
            <w:r>
              <w:rPr>
                <w:rFonts w:ascii="Calibri" w:cs="Calibri" w:eastAsia="Calibri" w:hAnsi="Calibri"/>
                <w:sz w:val="14"/>
                <w:szCs w:val="14"/>
                <w:b w:val="1"/>
                <w:bCs w:val="1"/>
                <w:color w:val="auto"/>
              </w:rPr>
              <w:t>Nine Months Ended October 31,</w:t>
            </w:r>
          </w:p>
        </w:tc>
        <w:tc>
          <w:tcPr>
            <w:tcW w:w="700" w:type="dxa"/>
            <w:vAlign w:val="bottom"/>
          </w:tcPr>
          <w:p>
            <w:pPr>
              <w:spacing w:after="0"/>
              <w:rPr>
                <w:sz w:val="14"/>
                <w:szCs w:val="14"/>
                <w:color w:val="auto"/>
              </w:rPr>
            </w:pPr>
          </w:p>
        </w:tc>
      </w:tr>
      <w:tr>
        <w:trPr>
          <w:trHeight w:val="47"/>
        </w:trPr>
        <w:tc>
          <w:tcPr>
            <w:tcW w:w="72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163"/>
        </w:trPr>
        <w:tc>
          <w:tcPr>
            <w:tcW w:w="722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700" w:type="dxa"/>
            <w:vAlign w:val="bottom"/>
          </w:tcPr>
          <w:p>
            <w:pPr>
              <w:spacing w:after="0"/>
              <w:rPr>
                <w:sz w:val="14"/>
                <w:szCs w:val="14"/>
                <w:color w:val="auto"/>
              </w:rPr>
            </w:pPr>
          </w:p>
        </w:tc>
      </w:tr>
      <w:tr>
        <w:trPr>
          <w:trHeight w:val="33"/>
        </w:trPr>
        <w:tc>
          <w:tcPr>
            <w:tcW w:w="7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3"/>
        </w:trPr>
        <w:tc>
          <w:tcPr>
            <w:tcW w:w="7220" w:type="dxa"/>
            <w:vAlign w:val="bottom"/>
            <w:tcBorders>
              <w:bottom w:val="single" w:sz="8" w:color="CCEEFF"/>
            </w:tcBorders>
            <w:shd w:val="clear" w:color="auto" w:fill="CCEEFF"/>
          </w:tcPr>
          <w:p>
            <w:pPr>
              <w:ind w:left="20"/>
              <w:spacing w:after="0" w:line="150" w:lineRule="exact"/>
              <w:rPr>
                <w:sz w:val="20"/>
                <w:szCs w:val="20"/>
                <w:color w:val="auto"/>
              </w:rPr>
            </w:pPr>
            <w:r>
              <w:rPr>
                <w:rFonts w:ascii="Calibri" w:cs="Calibri" w:eastAsia="Calibri" w:hAnsi="Calibri"/>
                <w:sz w:val="14"/>
                <w:szCs w:val="14"/>
                <w:b w:val="1"/>
                <w:bCs w:val="1"/>
                <w:color w:val="auto"/>
              </w:rPr>
              <w:t>Operatng actvites</w:t>
            </w:r>
          </w:p>
        </w:tc>
        <w:tc>
          <w:tcPr>
            <w:tcW w:w="10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r>
      <w:tr>
        <w:trPr>
          <w:trHeight w:val="170"/>
        </w:trPr>
        <w:tc>
          <w:tcPr>
            <w:tcW w:w="7220" w:type="dxa"/>
            <w:vAlign w:val="bottom"/>
          </w:tcPr>
          <w:p>
            <w:pPr>
              <w:ind w:left="20"/>
              <w:spacing w:after="0"/>
              <w:rPr>
                <w:sz w:val="20"/>
                <w:szCs w:val="20"/>
                <w:color w:val="auto"/>
              </w:rPr>
            </w:pPr>
            <w:r>
              <w:rPr>
                <w:rFonts w:ascii="Calibri" w:cs="Calibri" w:eastAsia="Calibri" w:hAnsi="Calibri"/>
                <w:sz w:val="14"/>
                <w:szCs w:val="14"/>
                <w:color w:val="auto"/>
              </w:rPr>
              <w:t>Net income</w:t>
            </w:r>
          </w:p>
        </w:tc>
        <w:tc>
          <w:tcPr>
            <w:tcW w:w="1080" w:type="dxa"/>
            <w:vAlign w:val="bottom"/>
          </w:tcPr>
          <w:p>
            <w:pPr>
              <w:jc w:val="right"/>
              <w:ind w:right="908"/>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76,135</w:t>
            </w:r>
          </w:p>
        </w:tc>
        <w:tc>
          <w:tcPr>
            <w:tcW w:w="100" w:type="dxa"/>
            <w:vAlign w:val="bottom"/>
          </w:tcPr>
          <w:p>
            <w:pPr>
              <w:spacing w:after="0"/>
              <w:rPr>
                <w:sz w:val="14"/>
                <w:szCs w:val="14"/>
                <w:color w:val="auto"/>
              </w:rPr>
            </w:pPr>
          </w:p>
        </w:tc>
        <w:tc>
          <w:tcPr>
            <w:tcW w:w="1080" w:type="dxa"/>
            <w:vAlign w:val="bottom"/>
          </w:tcPr>
          <w:p>
            <w:pPr>
              <w:jc w:val="right"/>
              <w:ind w:right="908"/>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35,644</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3"/>
        </w:trPr>
        <w:tc>
          <w:tcPr>
            <w:tcW w:w="7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Adjustments to reconcile net income to net cash provided by operatng actvites:</w:t>
            </w:r>
          </w:p>
        </w:tc>
        <w:tc>
          <w:tcPr>
            <w:tcW w:w="10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70"/>
        </w:trPr>
        <w:tc>
          <w:tcPr>
            <w:tcW w:w="7220" w:type="dxa"/>
            <w:vAlign w:val="bottom"/>
          </w:tcPr>
          <w:p>
            <w:pPr>
              <w:ind w:left="140"/>
              <w:spacing w:after="0"/>
              <w:rPr>
                <w:sz w:val="20"/>
                <w:szCs w:val="20"/>
                <w:color w:val="auto"/>
              </w:rPr>
            </w:pPr>
            <w:r>
              <w:rPr>
                <w:rFonts w:ascii="Calibri" w:cs="Calibri" w:eastAsia="Calibri" w:hAnsi="Calibri"/>
                <w:sz w:val="14"/>
                <w:szCs w:val="14"/>
                <w:color w:val="auto"/>
              </w:rPr>
              <w:t>Depreciaton and amortzaton</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137,851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89,972</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3"/>
        </w:trPr>
        <w:tc>
          <w:tcPr>
            <w:tcW w:w="72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Amortzaton of intangible assets</w:t>
            </w:r>
          </w:p>
        </w:tc>
        <w:tc>
          <w:tcPr>
            <w:tcW w:w="10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18,665</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12,913</w:t>
            </w:r>
          </w:p>
        </w:tc>
      </w:tr>
      <w:tr>
        <w:trPr>
          <w:trHeight w:val="170"/>
        </w:trPr>
        <w:tc>
          <w:tcPr>
            <w:tcW w:w="7220" w:type="dxa"/>
            <w:vAlign w:val="bottom"/>
          </w:tcPr>
          <w:p>
            <w:pPr>
              <w:ind w:left="140"/>
              <w:spacing w:after="0"/>
              <w:rPr>
                <w:sz w:val="20"/>
                <w:szCs w:val="20"/>
                <w:color w:val="auto"/>
              </w:rPr>
            </w:pPr>
            <w:r>
              <w:rPr>
                <w:rFonts w:ascii="Calibri" w:cs="Calibri" w:eastAsia="Calibri" w:hAnsi="Calibri"/>
                <w:sz w:val="14"/>
                <w:szCs w:val="14"/>
                <w:color w:val="auto"/>
              </w:rPr>
              <w:t>Amortzaton of deferred contract acquisiton costs</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227,713</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173,158</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3"/>
        </w:trPr>
        <w:tc>
          <w:tcPr>
            <w:tcW w:w="72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Non-cash operatng lease cost</w:t>
            </w:r>
          </w:p>
        </w:tc>
        <w:tc>
          <w:tcPr>
            <w:tcW w:w="10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11,100</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9,725</w:t>
            </w:r>
          </w:p>
        </w:tc>
      </w:tr>
      <w:tr>
        <w:trPr>
          <w:trHeight w:val="170"/>
        </w:trPr>
        <w:tc>
          <w:tcPr>
            <w:tcW w:w="7220" w:type="dxa"/>
            <w:vAlign w:val="bottom"/>
          </w:tcPr>
          <w:p>
            <w:pPr>
              <w:ind w:left="140"/>
              <w:spacing w:after="0"/>
              <w:rPr>
                <w:sz w:val="20"/>
                <w:szCs w:val="20"/>
                <w:color w:val="auto"/>
              </w:rPr>
            </w:pPr>
            <w:r>
              <w:rPr>
                <w:rFonts w:ascii="Calibri" w:cs="Calibri" w:eastAsia="Calibri" w:hAnsi="Calibri"/>
                <w:sz w:val="14"/>
                <w:szCs w:val="14"/>
                <w:color w:val="auto"/>
              </w:rPr>
              <w:t>Stock-based compensaton expense</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592,890</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455,247</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3"/>
        </w:trPr>
        <w:tc>
          <w:tcPr>
            <w:tcW w:w="72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Deferred income taxes</w:t>
            </w:r>
          </w:p>
        </w:tc>
        <w:tc>
          <w:tcPr>
            <w:tcW w:w="10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(2,122)</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(2,355)</w:t>
            </w:r>
          </w:p>
        </w:tc>
      </w:tr>
      <w:tr>
        <w:trPr>
          <w:trHeight w:val="170"/>
        </w:trPr>
        <w:tc>
          <w:tcPr>
            <w:tcW w:w="7220" w:type="dxa"/>
            <w:vAlign w:val="bottom"/>
          </w:tcPr>
          <w:p>
            <w:pPr>
              <w:ind w:left="140"/>
              <w:spacing w:after="0"/>
              <w:rPr>
                <w:sz w:val="20"/>
                <w:szCs w:val="20"/>
                <w:color w:val="auto"/>
              </w:rPr>
            </w:pPr>
            <w:r>
              <w:rPr>
                <w:rFonts w:ascii="Calibri" w:cs="Calibri" w:eastAsia="Calibri" w:hAnsi="Calibri"/>
                <w:sz w:val="14"/>
                <w:szCs w:val="14"/>
                <w:color w:val="auto"/>
              </w:rPr>
              <w:t>Realized gains on strategic investments</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(6,227)</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3"/>
        </w:trPr>
        <w:tc>
          <w:tcPr>
            <w:tcW w:w="72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Non-cash interest expense</w:t>
            </w:r>
          </w:p>
        </w:tc>
        <w:tc>
          <w:tcPr>
            <w:tcW w:w="10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2,748</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2,337</w:t>
            </w:r>
          </w:p>
        </w:tc>
      </w:tr>
      <w:tr>
        <w:trPr>
          <w:trHeight w:val="170"/>
        </w:trPr>
        <w:tc>
          <w:tcPr>
            <w:tcW w:w="7220" w:type="dxa"/>
            <w:vAlign w:val="bottom"/>
          </w:tcPr>
          <w:p>
            <w:pPr>
              <w:ind w:left="140"/>
              <w:spacing w:after="0"/>
              <w:rPr>
                <w:sz w:val="20"/>
                <w:szCs w:val="20"/>
                <w:color w:val="auto"/>
              </w:rPr>
            </w:pPr>
            <w:r>
              <w:rPr>
                <w:rFonts w:ascii="Calibri" w:cs="Calibri" w:eastAsia="Calibri" w:hAnsi="Calibri"/>
                <w:sz w:val="14"/>
                <w:szCs w:val="14"/>
                <w:color w:val="auto"/>
              </w:rPr>
              <w:t>Accreton of short-term investments purchased at a discount</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2,285</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(1,934)</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3"/>
        </w:trPr>
        <w:tc>
          <w:tcPr>
            <w:tcW w:w="72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Changes in operatng assets and liabilites, net of impact of acquisitons</w:t>
            </w:r>
          </w:p>
        </w:tc>
        <w:tc>
          <w:tcPr>
            <w:tcW w:w="10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70"/>
        </w:trPr>
        <w:tc>
          <w:tcPr>
            <w:tcW w:w="7220" w:type="dxa"/>
            <w:vAlign w:val="bottom"/>
          </w:tcPr>
          <w:p>
            <w:pPr>
              <w:ind w:left="220"/>
              <w:spacing w:after="0"/>
              <w:rPr>
                <w:sz w:val="20"/>
                <w:szCs w:val="20"/>
                <w:color w:val="auto"/>
              </w:rPr>
            </w:pPr>
            <w:r>
              <w:rPr>
                <w:rFonts w:ascii="Calibri" w:cs="Calibri" w:eastAsia="Calibri" w:hAnsi="Calibri"/>
                <w:sz w:val="14"/>
                <w:szCs w:val="14"/>
                <w:color w:val="auto"/>
              </w:rPr>
              <w:t>Accounts receivable, net</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39,184</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65,858</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3"/>
        </w:trPr>
        <w:tc>
          <w:tcPr>
            <w:tcW w:w="7220" w:type="dxa"/>
            <w:vAlign w:val="bottom"/>
            <w:tcBorders>
              <w:bottom w:val="single" w:sz="8" w:color="CCEEFF"/>
            </w:tcBorders>
            <w:shd w:val="clear" w:color="auto" w:fill="CCEEFF"/>
          </w:tcPr>
          <w:p>
            <w:pPr>
              <w:ind w:left="220"/>
              <w:spacing w:after="0"/>
              <w:rPr>
                <w:sz w:val="20"/>
                <w:szCs w:val="20"/>
                <w:color w:val="auto"/>
              </w:rPr>
            </w:pPr>
            <w:r>
              <w:rPr>
                <w:rFonts w:ascii="Calibri" w:cs="Calibri" w:eastAsia="Calibri" w:hAnsi="Calibri"/>
                <w:sz w:val="14"/>
                <w:szCs w:val="14"/>
                <w:color w:val="auto"/>
              </w:rPr>
              <w:t>Deferred contract acquisiton costs</w:t>
            </w:r>
          </w:p>
        </w:tc>
        <w:tc>
          <w:tcPr>
            <w:tcW w:w="10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(361,412)</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(206,678)</w:t>
            </w:r>
          </w:p>
        </w:tc>
      </w:tr>
      <w:tr>
        <w:trPr>
          <w:trHeight w:val="170"/>
        </w:trPr>
        <w:tc>
          <w:tcPr>
            <w:tcW w:w="7220" w:type="dxa"/>
            <w:vAlign w:val="bottom"/>
          </w:tcPr>
          <w:p>
            <w:pPr>
              <w:ind w:left="220"/>
              <w:spacing w:after="0"/>
              <w:rPr>
                <w:sz w:val="20"/>
                <w:szCs w:val="20"/>
                <w:color w:val="auto"/>
              </w:rPr>
            </w:pPr>
            <w:r>
              <w:rPr>
                <w:rFonts w:ascii="Calibri" w:cs="Calibri" w:eastAsia="Calibri" w:hAnsi="Calibri"/>
                <w:sz w:val="14"/>
                <w:szCs w:val="14"/>
                <w:color w:val="auto"/>
              </w:rPr>
              <w:t>Prepaid expenses and other assets</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(42,832)</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(21,972)</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3"/>
        </w:trPr>
        <w:tc>
          <w:tcPr>
            <w:tcW w:w="7220" w:type="dxa"/>
            <w:vAlign w:val="bottom"/>
            <w:tcBorders>
              <w:bottom w:val="single" w:sz="8" w:color="CCEEFF"/>
            </w:tcBorders>
            <w:shd w:val="clear" w:color="auto" w:fill="CCEEFF"/>
          </w:tcPr>
          <w:p>
            <w:pPr>
              <w:ind w:left="220"/>
              <w:spacing w:after="0"/>
              <w:rPr>
                <w:sz w:val="20"/>
                <w:szCs w:val="20"/>
                <w:color w:val="auto"/>
              </w:rPr>
            </w:pPr>
            <w:r>
              <w:rPr>
                <w:rFonts w:ascii="Calibri" w:cs="Calibri" w:eastAsia="Calibri" w:hAnsi="Calibri"/>
                <w:sz w:val="14"/>
                <w:szCs w:val="14"/>
                <w:color w:val="auto"/>
              </w:rPr>
              <w:t>Accounts payable</w:t>
            </w:r>
          </w:p>
        </w:tc>
        <w:tc>
          <w:tcPr>
            <w:tcW w:w="10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34,096</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2,361</w:t>
            </w:r>
          </w:p>
        </w:tc>
      </w:tr>
      <w:tr>
        <w:trPr>
          <w:trHeight w:val="170"/>
        </w:trPr>
        <w:tc>
          <w:tcPr>
            <w:tcW w:w="7220" w:type="dxa"/>
            <w:vAlign w:val="bottom"/>
          </w:tcPr>
          <w:p>
            <w:pPr>
              <w:ind w:left="220"/>
              <w:spacing w:after="0"/>
              <w:rPr>
                <w:sz w:val="20"/>
                <w:szCs w:val="20"/>
                <w:color w:val="auto"/>
              </w:rPr>
            </w:pPr>
            <w:r>
              <w:rPr>
                <w:rFonts w:ascii="Calibri" w:cs="Calibri" w:eastAsia="Calibri" w:hAnsi="Calibri"/>
                <w:sz w:val="14"/>
                <w:szCs w:val="14"/>
                <w:color w:val="auto"/>
              </w:rPr>
              <w:t>Accrued expenses and other liabilites</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85,667</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33,597</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2"/>
        </w:trPr>
        <w:tc>
          <w:tcPr>
            <w:tcW w:w="7220" w:type="dxa"/>
            <w:vAlign w:val="bottom"/>
            <w:tcBorders>
              <w:bottom w:val="single" w:sz="8" w:color="CCEEFF"/>
            </w:tcBorders>
            <w:shd w:val="clear" w:color="auto" w:fill="CCEEFF"/>
          </w:tcPr>
          <w:p>
            <w:pPr>
              <w:ind w:left="220"/>
              <w:spacing w:after="0"/>
              <w:rPr>
                <w:sz w:val="20"/>
                <w:szCs w:val="20"/>
                <w:color w:val="auto"/>
              </w:rPr>
            </w:pPr>
            <w:r>
              <w:rPr>
                <w:rFonts w:ascii="Calibri" w:cs="Calibri" w:eastAsia="Calibri" w:hAnsi="Calibri"/>
                <w:sz w:val="14"/>
                <w:szCs w:val="14"/>
                <w:color w:val="auto"/>
              </w:rPr>
              <w:t>Accrued payroll and benefts</w:t>
            </w:r>
          </w:p>
        </w:tc>
        <w:tc>
          <w:tcPr>
            <w:tcW w:w="10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89,896</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1,810</w:t>
            </w:r>
          </w:p>
        </w:tc>
      </w:tr>
      <w:tr>
        <w:trPr>
          <w:trHeight w:val="170"/>
        </w:trPr>
        <w:tc>
          <w:tcPr>
            <w:tcW w:w="7220" w:type="dxa"/>
            <w:vAlign w:val="bottom"/>
          </w:tcPr>
          <w:p>
            <w:pPr>
              <w:ind w:left="220"/>
              <w:spacing w:after="0"/>
              <w:rPr>
                <w:sz w:val="20"/>
                <w:szCs w:val="20"/>
                <w:color w:val="auto"/>
              </w:rPr>
            </w:pPr>
            <w:r>
              <w:rPr>
                <w:rFonts w:ascii="Calibri" w:cs="Calibri" w:eastAsia="Calibri" w:hAnsi="Calibri"/>
                <w:sz w:val="14"/>
                <w:szCs w:val="14"/>
                <w:color w:val="auto"/>
              </w:rPr>
              <w:t>Operatng lease liabilites</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(11,812)</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(16,147)</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3"/>
        </w:trPr>
        <w:tc>
          <w:tcPr>
            <w:tcW w:w="7220" w:type="dxa"/>
            <w:vAlign w:val="bottom"/>
            <w:tcBorders>
              <w:bottom w:val="single" w:sz="8" w:color="CCEEFF"/>
            </w:tcBorders>
            <w:shd w:val="clear" w:color="auto" w:fill="CCEEFF"/>
          </w:tcPr>
          <w:p>
            <w:pPr>
              <w:ind w:left="220"/>
              <w:spacing w:after="0"/>
              <w:rPr>
                <w:sz w:val="20"/>
                <w:szCs w:val="20"/>
                <w:color w:val="auto"/>
              </w:rPr>
            </w:pPr>
            <w:r>
              <w:rPr>
                <w:rFonts w:ascii="Calibri" w:cs="Calibri" w:eastAsia="Calibri" w:hAnsi="Calibri"/>
                <w:sz w:val="14"/>
                <w:szCs w:val="14"/>
                <w:color w:val="auto"/>
              </w:rPr>
              <w:t>Deferred revenue</w:t>
            </w:r>
          </w:p>
        </w:tc>
        <w:tc>
          <w:tcPr>
            <w:tcW w:w="10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142,180</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185,655</w:t>
            </w:r>
          </w:p>
        </w:tc>
      </w:tr>
      <w:tr>
        <w:trPr>
          <w:trHeight w:val="163"/>
        </w:trPr>
        <w:tc>
          <w:tcPr>
            <w:tcW w:w="7220" w:type="dxa"/>
            <w:vAlign w:val="bottom"/>
          </w:tcPr>
          <w:p>
            <w:pPr>
              <w:ind w:left="340"/>
              <w:spacing w:after="0" w:line="150" w:lineRule="exact"/>
              <w:rPr>
                <w:sz w:val="20"/>
                <w:szCs w:val="20"/>
                <w:color w:val="auto"/>
              </w:rPr>
            </w:pPr>
            <w:r>
              <w:rPr>
                <w:rFonts w:ascii="Calibri" w:cs="Calibri" w:eastAsia="Calibri" w:hAnsi="Calibri"/>
                <w:sz w:val="14"/>
                <w:szCs w:val="14"/>
                <w:color w:val="auto"/>
              </w:rPr>
              <w:t>Net cash provided by operatng actvites</w:t>
            </w:r>
          </w:p>
        </w:tc>
        <w:tc>
          <w:tcPr>
            <w:tcW w:w="10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1,036,005</w:t>
            </w:r>
          </w:p>
        </w:tc>
        <w:tc>
          <w:tcPr>
            <w:tcW w:w="1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819,191</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3"/>
        </w:trPr>
        <w:tc>
          <w:tcPr>
            <w:tcW w:w="7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b w:val="1"/>
                <w:bCs w:val="1"/>
                <w:color w:val="auto"/>
              </w:rPr>
              <w:t>Investng actvites</w:t>
            </w:r>
          </w:p>
        </w:tc>
        <w:tc>
          <w:tcPr>
            <w:tcW w:w="10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70"/>
        </w:trPr>
        <w:tc>
          <w:tcPr>
            <w:tcW w:w="7220" w:type="dxa"/>
            <w:vAlign w:val="bottom"/>
          </w:tcPr>
          <w:p>
            <w:pPr>
              <w:ind w:left="20"/>
              <w:spacing w:after="0"/>
              <w:rPr>
                <w:sz w:val="20"/>
                <w:szCs w:val="20"/>
                <w:color w:val="auto"/>
              </w:rPr>
            </w:pPr>
            <w:r>
              <w:rPr>
                <w:rFonts w:ascii="Calibri" w:cs="Calibri" w:eastAsia="Calibri" w:hAnsi="Calibri"/>
                <w:sz w:val="14"/>
                <w:szCs w:val="14"/>
                <w:color w:val="auto"/>
              </w:rPr>
              <w:t>Purchases of property and equipment</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(167,641)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(123,945)</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2"/>
        </w:trPr>
        <w:tc>
          <w:tcPr>
            <w:tcW w:w="7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Capitalized internal-use sofware and website development costs</w:t>
            </w:r>
          </w:p>
        </w:tc>
        <w:tc>
          <w:tcPr>
            <w:tcW w:w="10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(41,266)</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(38,605)</w:t>
            </w:r>
          </w:p>
        </w:tc>
      </w:tr>
      <w:tr>
        <w:trPr>
          <w:trHeight w:val="170"/>
        </w:trPr>
        <w:tc>
          <w:tcPr>
            <w:tcW w:w="7220" w:type="dxa"/>
            <w:vAlign w:val="bottom"/>
          </w:tcPr>
          <w:p>
            <w:pPr>
              <w:ind w:left="20"/>
              <w:spacing w:after="0"/>
              <w:rPr>
                <w:sz w:val="20"/>
                <w:szCs w:val="20"/>
                <w:color w:val="auto"/>
              </w:rPr>
            </w:pPr>
            <w:r>
              <w:rPr>
                <w:rFonts w:ascii="Calibri" w:cs="Calibri" w:eastAsia="Calibri" w:hAnsi="Calibri"/>
                <w:sz w:val="14"/>
                <w:szCs w:val="14"/>
                <w:color w:val="auto"/>
              </w:rPr>
              <w:t>Purchases of strategic investments</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(12,702)</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(12,177)</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3"/>
        </w:trPr>
        <w:tc>
          <w:tcPr>
            <w:tcW w:w="7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Proceeds from sales of strategic investments</w:t>
            </w:r>
          </w:p>
        </w:tc>
        <w:tc>
          <w:tcPr>
            <w:tcW w:w="10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10,895</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r>
      <w:tr>
        <w:trPr>
          <w:trHeight w:val="170"/>
        </w:trPr>
        <w:tc>
          <w:tcPr>
            <w:tcW w:w="7220" w:type="dxa"/>
            <w:vAlign w:val="bottom"/>
          </w:tcPr>
          <w:p>
            <w:pPr>
              <w:ind w:left="20"/>
              <w:spacing w:after="0"/>
              <w:rPr>
                <w:sz w:val="20"/>
                <w:szCs w:val="20"/>
                <w:color w:val="auto"/>
              </w:rPr>
            </w:pPr>
            <w:r>
              <w:rPr>
                <w:rFonts w:ascii="Calibri" w:cs="Calibri" w:eastAsia="Calibri" w:hAnsi="Calibri"/>
                <w:sz w:val="14"/>
                <w:szCs w:val="14"/>
                <w:color w:val="auto"/>
              </w:rPr>
              <w:t>Business acquisitons, net of cash acquired</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(96,381)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(238,749)</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3"/>
        </w:trPr>
        <w:tc>
          <w:tcPr>
            <w:tcW w:w="7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Purchases of intangible assets</w:t>
            </w:r>
          </w:p>
        </w:tc>
        <w:tc>
          <w:tcPr>
            <w:tcW w:w="10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(526)</w:t>
            </w:r>
          </w:p>
        </w:tc>
      </w:tr>
      <w:tr>
        <w:trPr>
          <w:trHeight w:val="170"/>
        </w:trPr>
        <w:tc>
          <w:tcPr>
            <w:tcW w:w="7220" w:type="dxa"/>
            <w:vAlign w:val="bottom"/>
          </w:tcPr>
          <w:p>
            <w:pPr>
              <w:ind w:left="20"/>
              <w:spacing w:after="0"/>
              <w:rPr>
                <w:sz w:val="20"/>
                <w:szCs w:val="20"/>
                <w:color w:val="auto"/>
              </w:rPr>
            </w:pPr>
            <w:r>
              <w:rPr>
                <w:rFonts w:ascii="Calibri" w:cs="Calibri" w:eastAsia="Calibri" w:hAnsi="Calibri"/>
                <w:sz w:val="14"/>
                <w:szCs w:val="14"/>
                <w:color w:val="auto"/>
              </w:rPr>
              <w:t>Purchases of short-term investments</w:t>
            </w:r>
          </w:p>
        </w:tc>
        <w:tc>
          <w:tcPr>
            <w:tcW w:w="10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w:t>
            </w: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(195,581)</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3"/>
        </w:trPr>
        <w:tc>
          <w:tcPr>
            <w:tcW w:w="7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Proceeds from maturites and sales of short-term investments</w:t>
            </w:r>
          </w:p>
        </w:tc>
        <w:tc>
          <w:tcPr>
            <w:tcW w:w="10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97,300</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250,000</w:t>
            </w:r>
          </w:p>
        </w:tc>
      </w:tr>
      <w:tr>
        <w:trPr>
          <w:trHeight w:val="170"/>
        </w:trPr>
        <w:tc>
          <w:tcPr>
            <w:tcW w:w="7220" w:type="dxa"/>
            <w:vAlign w:val="bottom"/>
          </w:tcPr>
          <w:p>
            <w:pPr>
              <w:ind w:left="20"/>
              <w:spacing w:after="0"/>
              <w:rPr>
                <w:sz w:val="20"/>
                <w:szCs w:val="20"/>
                <w:color w:val="auto"/>
              </w:rPr>
            </w:pPr>
            <w:r>
              <w:rPr>
                <w:rFonts w:ascii="Calibri" w:cs="Calibri" w:eastAsia="Calibri" w:hAnsi="Calibri"/>
                <w:sz w:val="14"/>
                <w:szCs w:val="14"/>
                <w:color w:val="auto"/>
              </w:rPr>
              <w:t>Purchases of deferred compensaton investments</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(1,815)</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(1,462)</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3"/>
        </w:trPr>
        <w:tc>
          <w:tcPr>
            <w:tcW w:w="7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Proceeds from sales of deferred compensaton investments</w:t>
            </w:r>
          </w:p>
        </w:tc>
        <w:tc>
          <w:tcPr>
            <w:tcW w:w="10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r>
      <w:tr>
        <w:trPr>
          <w:trHeight w:val="163"/>
        </w:trPr>
        <w:tc>
          <w:tcPr>
            <w:tcW w:w="7220" w:type="dxa"/>
            <w:vAlign w:val="bottom"/>
          </w:tcPr>
          <w:p>
            <w:pPr>
              <w:ind w:left="340"/>
              <w:spacing w:after="0" w:line="150" w:lineRule="exact"/>
              <w:rPr>
                <w:sz w:val="20"/>
                <w:szCs w:val="20"/>
                <w:color w:val="auto"/>
              </w:rPr>
            </w:pPr>
            <w:r>
              <w:rPr>
                <w:rFonts w:ascii="Calibri" w:cs="Calibri" w:eastAsia="Calibri" w:hAnsi="Calibri"/>
                <w:sz w:val="14"/>
                <w:szCs w:val="14"/>
                <w:color w:val="auto"/>
              </w:rPr>
              <w:t>Net cash used in investng actvites</w:t>
            </w:r>
          </w:p>
        </w:tc>
        <w:tc>
          <w:tcPr>
            <w:tcW w:w="10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(211,569)</w:t>
            </w:r>
          </w:p>
        </w:tc>
        <w:tc>
          <w:tcPr>
            <w:tcW w:w="1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(361,045)</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2"/>
        </w:trPr>
        <w:tc>
          <w:tcPr>
            <w:tcW w:w="7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b w:val="1"/>
                <w:bCs w:val="1"/>
                <w:color w:val="auto"/>
              </w:rPr>
              <w:t>Financing actvites</w:t>
            </w:r>
          </w:p>
        </w:tc>
        <w:tc>
          <w:tcPr>
            <w:tcW w:w="10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70"/>
        </w:trPr>
        <w:tc>
          <w:tcPr>
            <w:tcW w:w="7220" w:type="dxa"/>
            <w:vAlign w:val="bottom"/>
          </w:tcPr>
          <w:p>
            <w:pPr>
              <w:ind w:left="20"/>
              <w:spacing w:after="0"/>
              <w:rPr>
                <w:sz w:val="20"/>
                <w:szCs w:val="20"/>
                <w:color w:val="auto"/>
              </w:rPr>
            </w:pPr>
            <w:r>
              <w:rPr>
                <w:rFonts w:ascii="Calibri" w:cs="Calibri" w:eastAsia="Calibri" w:hAnsi="Calibri"/>
                <w:sz w:val="14"/>
                <w:szCs w:val="14"/>
                <w:color w:val="auto"/>
              </w:rPr>
              <w:t>Proceeds from issuance of common stock upon exercise of stock optons</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3,308</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6,178</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3"/>
        </w:trPr>
        <w:tc>
          <w:tcPr>
            <w:tcW w:w="7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Proceeds from issuance of common stock under the employee stock purchase plan</w:t>
            </w:r>
          </w:p>
        </w:tc>
        <w:tc>
          <w:tcPr>
            <w:tcW w:w="10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56,099</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45,432</w:t>
            </w:r>
          </w:p>
        </w:tc>
      </w:tr>
      <w:tr>
        <w:trPr>
          <w:trHeight w:val="170"/>
        </w:trPr>
        <w:tc>
          <w:tcPr>
            <w:tcW w:w="7220" w:type="dxa"/>
            <w:vAlign w:val="bottom"/>
          </w:tcPr>
          <w:p>
            <w:pPr>
              <w:ind w:left="20"/>
              <w:spacing w:after="0"/>
              <w:rPr>
                <w:sz w:val="20"/>
                <w:szCs w:val="20"/>
                <w:color w:val="auto"/>
              </w:rPr>
            </w:pPr>
            <w:r>
              <w:rPr>
                <w:rFonts w:ascii="Calibri" w:cs="Calibri" w:eastAsia="Calibri" w:hAnsi="Calibri"/>
                <w:sz w:val="14"/>
                <w:szCs w:val="14"/>
                <w:color w:val="auto"/>
              </w:rPr>
              <w:t>Distributons to non-controlling interest holders</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(4,085)</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3"/>
        </w:trPr>
        <w:tc>
          <w:tcPr>
            <w:tcW w:w="7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Capital contributons from non-controlling interest holders</w:t>
            </w:r>
          </w:p>
        </w:tc>
        <w:tc>
          <w:tcPr>
            <w:tcW w:w="10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5,500</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8,088</w:t>
            </w:r>
          </w:p>
        </w:tc>
      </w:tr>
      <w:tr>
        <w:trPr>
          <w:trHeight w:val="163"/>
        </w:trPr>
        <w:tc>
          <w:tcPr>
            <w:tcW w:w="7220" w:type="dxa"/>
            <w:vAlign w:val="bottom"/>
          </w:tcPr>
          <w:p>
            <w:pPr>
              <w:ind w:left="340"/>
              <w:spacing w:after="0" w:line="150" w:lineRule="exact"/>
              <w:rPr>
                <w:sz w:val="20"/>
                <w:szCs w:val="20"/>
                <w:color w:val="auto"/>
              </w:rPr>
            </w:pPr>
            <w:r>
              <w:rPr>
                <w:rFonts w:ascii="Calibri" w:cs="Calibri" w:eastAsia="Calibri" w:hAnsi="Calibri"/>
                <w:sz w:val="14"/>
                <w:szCs w:val="14"/>
                <w:color w:val="auto"/>
              </w:rPr>
              <w:t>Net cash provided by fnancing actvites</w:t>
            </w:r>
          </w:p>
        </w:tc>
        <w:tc>
          <w:tcPr>
            <w:tcW w:w="10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60,822</w:t>
            </w:r>
          </w:p>
        </w:tc>
        <w:tc>
          <w:tcPr>
            <w:tcW w:w="1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59,698</w:t>
            </w:r>
          </w:p>
        </w:tc>
      </w:tr>
      <w:tr>
        <w:trPr>
          <w:trHeight w:val="33"/>
        </w:trPr>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6"/>
        </w:trPr>
        <w:tc>
          <w:tcPr>
            <w:tcW w:w="7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70"/>
        </w:trPr>
        <w:tc>
          <w:tcPr>
            <w:tcW w:w="7220" w:type="dxa"/>
            <w:vAlign w:val="bottom"/>
          </w:tcPr>
          <w:p>
            <w:pPr>
              <w:ind w:left="20"/>
              <w:spacing w:after="0"/>
              <w:rPr>
                <w:sz w:val="20"/>
                <w:szCs w:val="20"/>
                <w:color w:val="auto"/>
              </w:rPr>
            </w:pPr>
            <w:r>
              <w:rPr>
                <w:rFonts w:ascii="Calibri" w:cs="Calibri" w:eastAsia="Calibri" w:hAnsi="Calibri"/>
                <w:sz w:val="14"/>
                <w:szCs w:val="14"/>
                <w:color w:val="auto"/>
              </w:rPr>
              <w:t>Efect of foreign exchange rates on cash, cash equivalents and restricted cash</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(641)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(3,411)</w:t>
            </w:r>
          </w:p>
        </w:tc>
      </w:tr>
      <w:tr>
        <w:trPr>
          <w:trHeight w:val="33"/>
        </w:trPr>
        <w:tc>
          <w:tcPr>
            <w:tcW w:w="7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6"/>
        </w:trPr>
        <w:tc>
          <w:tcPr>
            <w:tcW w:w="7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70"/>
        </w:trPr>
        <w:tc>
          <w:tcPr>
            <w:tcW w:w="7220" w:type="dxa"/>
            <w:vAlign w:val="bottom"/>
          </w:tcPr>
          <w:p>
            <w:pPr>
              <w:ind w:left="340"/>
              <w:spacing w:after="0"/>
              <w:rPr>
                <w:sz w:val="20"/>
                <w:szCs w:val="20"/>
                <w:color w:val="auto"/>
              </w:rPr>
            </w:pPr>
            <w:r>
              <w:rPr>
                <w:rFonts w:ascii="Calibri" w:cs="Calibri" w:eastAsia="Calibri" w:hAnsi="Calibri"/>
                <w:sz w:val="14"/>
                <w:szCs w:val="14"/>
                <w:color w:val="auto"/>
              </w:rPr>
              <w:t>Net increase in cash, cash equivalents and restricted cash</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884,617</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514,433</w:t>
            </w:r>
          </w:p>
        </w:tc>
      </w:tr>
      <w:tr>
        <w:trPr>
          <w:trHeight w:val="33"/>
        </w:trPr>
        <w:tc>
          <w:tcPr>
            <w:tcW w:w="7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6"/>
        </w:trPr>
        <w:tc>
          <w:tcPr>
            <w:tcW w:w="7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70"/>
        </w:trPr>
        <w:tc>
          <w:tcPr>
            <w:tcW w:w="7220" w:type="dxa"/>
            <w:vAlign w:val="bottom"/>
          </w:tcPr>
          <w:p>
            <w:pPr>
              <w:ind w:left="20"/>
              <w:spacing w:after="0"/>
              <w:rPr>
                <w:sz w:val="20"/>
                <w:szCs w:val="20"/>
                <w:color w:val="auto"/>
              </w:rPr>
            </w:pPr>
            <w:r>
              <w:rPr>
                <w:rFonts w:ascii="Calibri" w:cs="Calibri" w:eastAsia="Calibri" w:hAnsi="Calibri"/>
                <w:sz w:val="14"/>
                <w:szCs w:val="14"/>
                <w:color w:val="auto"/>
              </w:rPr>
              <w:t>Cash, cash equivalents and restricted cash, at beginning of period</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3,377,597</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2,456,924</w:t>
            </w:r>
          </w:p>
        </w:tc>
      </w:tr>
      <w:tr>
        <w:trPr>
          <w:trHeight w:val="33"/>
        </w:trPr>
        <w:tc>
          <w:tcPr>
            <w:tcW w:w="7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5"/>
        </w:trPr>
        <w:tc>
          <w:tcPr>
            <w:tcW w:w="7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Cash, cash equivalents and restricted cash, at end of period</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4,262,214</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Calibri" w:cs="Calibri" w:eastAsia="Calibri" w:hAnsi="Calibri"/>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2,971,357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0860"/>
          </w:cols>
          <w:pgMar w:left="520" w:top="1098" w:right="519" w:bottom="1440" w:gutter="0" w:footer="0" w:header="0"/>
        </w:sectPr>
      </w:pPr>
    </w:p>
    <w:bookmarkStart w:id="14" w:name="page15"/>
    <w:bookmarkEnd w:id="14"/>
    <w:p>
      <w:pPr>
        <w:jc w:val="center"/>
        <w:ind w:right="20"/>
        <w:spacing w:after="0"/>
        <w:rPr>
          <w:sz w:val="20"/>
          <w:szCs w:val="20"/>
          <w:color w:val="auto"/>
        </w:rPr>
      </w:pPr>
      <w:r>
        <w:rPr>
          <w:rFonts w:ascii="Calibri" w:cs="Calibri" w:eastAsia="Calibri" w:hAnsi="Calibri"/>
          <w:sz w:val="16"/>
          <w:szCs w:val="16"/>
          <w:b w:val="1"/>
          <w:bCs w:val="1"/>
          <w:color w:val="auto"/>
        </w:rPr>
        <w:t>CROWDSTRIKE HOLDINGS, INC.</w:t>
      </w:r>
    </w:p>
    <w:p>
      <w:pPr>
        <w:spacing w:after="0" w:line="102" w:lineRule="exact"/>
        <w:rPr>
          <w:sz w:val="20"/>
          <w:szCs w:val="20"/>
          <w:color w:val="auto"/>
        </w:rPr>
      </w:pPr>
    </w:p>
    <w:p>
      <w:pPr>
        <w:ind w:left="4400"/>
        <w:spacing w:after="0"/>
        <w:rPr>
          <w:sz w:val="20"/>
          <w:szCs w:val="20"/>
          <w:color w:val="auto"/>
        </w:rPr>
      </w:pPr>
      <w:r>
        <w:rPr>
          <w:rFonts w:ascii="Calibri" w:cs="Calibri" w:eastAsia="Calibri" w:hAnsi="Calibri"/>
          <w:sz w:val="16"/>
          <w:szCs w:val="16"/>
          <w:b w:val="1"/>
          <w:bCs w:val="1"/>
          <w:color w:val="auto"/>
        </w:rPr>
        <w:t>GAAP to Non-GAAP Reconciliatons</w:t>
      </w:r>
    </w:p>
    <w:p>
      <w:pPr>
        <w:spacing w:after="0" w:line="7" w:lineRule="exact"/>
        <w:rPr>
          <w:sz w:val="20"/>
          <w:szCs w:val="20"/>
          <w:color w:val="auto"/>
        </w:rPr>
      </w:pPr>
    </w:p>
    <w:p>
      <w:pPr>
        <w:ind w:left="4440"/>
        <w:spacing w:after="0"/>
        <w:rPr>
          <w:sz w:val="20"/>
          <w:szCs w:val="20"/>
          <w:color w:val="auto"/>
        </w:rPr>
      </w:pPr>
      <w:r>
        <w:rPr>
          <w:rFonts w:ascii="Calibri" w:cs="Calibri" w:eastAsia="Calibri" w:hAnsi="Calibri"/>
          <w:sz w:val="16"/>
          <w:szCs w:val="16"/>
          <w:color w:val="auto"/>
        </w:rPr>
        <w:t>(in thousands, except percentages)</w:t>
      </w:r>
    </w:p>
    <w:p>
      <w:pPr>
        <w:jc w:val="center"/>
        <w:ind w:right="20"/>
        <w:spacing w:after="0" w:line="232" w:lineRule="auto"/>
        <w:rPr>
          <w:sz w:val="20"/>
          <w:szCs w:val="20"/>
          <w:color w:val="auto"/>
        </w:rPr>
      </w:pPr>
      <w:r>
        <w:rPr>
          <w:rFonts w:ascii="Calibri" w:cs="Calibri" w:eastAsia="Calibri" w:hAnsi="Calibri"/>
          <w:sz w:val="16"/>
          <w:szCs w:val="16"/>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80" w:type="dxa"/>
            <w:vAlign w:val="bottom"/>
            <w:gridSpan w:val="5"/>
          </w:tcPr>
          <w:p>
            <w:pPr>
              <w:ind w:left="360"/>
              <w:spacing w:after="0"/>
              <w:rPr>
                <w:sz w:val="20"/>
                <w:szCs w:val="20"/>
                <w:color w:val="auto"/>
              </w:rPr>
            </w:pPr>
            <w:r>
              <w:rPr>
                <w:rFonts w:ascii="Calibri" w:cs="Calibri" w:eastAsia="Calibri" w:hAnsi="Calibri"/>
                <w:sz w:val="14"/>
                <w:szCs w:val="14"/>
                <w:b w:val="1"/>
                <w:bCs w:val="1"/>
                <w:color w:val="auto"/>
              </w:rPr>
              <w:t>Three Months Ended October 31,</w:t>
            </w:r>
          </w:p>
        </w:tc>
        <w:tc>
          <w:tcPr>
            <w:tcW w:w="400" w:type="dxa"/>
            <w:vAlign w:val="bottom"/>
          </w:tcPr>
          <w:p>
            <w:pPr>
              <w:spacing w:after="0"/>
              <w:rPr>
                <w:sz w:val="14"/>
                <w:szCs w:val="14"/>
                <w:color w:val="auto"/>
              </w:rPr>
            </w:pPr>
          </w:p>
        </w:tc>
        <w:tc>
          <w:tcPr>
            <w:tcW w:w="3080" w:type="dxa"/>
            <w:vAlign w:val="bottom"/>
            <w:gridSpan w:val="4"/>
          </w:tcPr>
          <w:p>
            <w:pPr>
              <w:jc w:val="right"/>
              <w:ind w:right="728"/>
              <w:spacing w:after="0"/>
              <w:rPr>
                <w:sz w:val="20"/>
                <w:szCs w:val="20"/>
                <w:color w:val="auto"/>
              </w:rPr>
            </w:pPr>
            <w:r>
              <w:rPr>
                <w:rFonts w:ascii="Calibri" w:cs="Calibri" w:eastAsia="Calibri" w:hAnsi="Calibri"/>
                <w:sz w:val="14"/>
                <w:szCs w:val="14"/>
                <w:b w:val="1"/>
                <w:bCs w:val="1"/>
                <w:color w:val="auto"/>
              </w:rPr>
              <w:t>Nine Months Ended October 31,</w:t>
            </w:r>
          </w:p>
        </w:tc>
        <w:tc>
          <w:tcPr>
            <w:tcW w:w="0" w:type="dxa"/>
            <w:vAlign w:val="bottom"/>
          </w:tcPr>
          <w:p>
            <w:pPr>
              <w:spacing w:after="0"/>
              <w:rPr>
                <w:sz w:val="1"/>
                <w:szCs w:val="1"/>
                <w:color w:val="auto"/>
              </w:rPr>
            </w:pPr>
          </w:p>
        </w:tc>
      </w:tr>
      <w:tr>
        <w:trPr>
          <w:trHeight w:val="47"/>
        </w:trPr>
        <w:tc>
          <w:tcPr>
            <w:tcW w:w="41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628"/>
              <w:spacing w:after="0" w:line="164" w:lineRule="exact"/>
              <w:rPr>
                <w:sz w:val="20"/>
                <w:szCs w:val="20"/>
                <w:color w:val="auto"/>
              </w:rPr>
            </w:pPr>
            <w:r>
              <w:rPr>
                <w:rFonts w:ascii="Calibri" w:cs="Calibri" w:eastAsia="Calibri" w:hAnsi="Calibri"/>
                <w:sz w:val="14"/>
                <w:szCs w:val="14"/>
                <w:b w:val="1"/>
                <w:bCs w:val="1"/>
                <w:color w:val="auto"/>
              </w:rPr>
              <w:t>2024</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608"/>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48"/>
              <w:spacing w:after="0" w:line="164" w:lineRule="exact"/>
              <w:rPr>
                <w:sz w:val="20"/>
                <w:szCs w:val="20"/>
                <w:color w:val="auto"/>
              </w:rPr>
            </w:pPr>
            <w:r>
              <w:rPr>
                <w:rFonts w:ascii="Calibri" w:cs="Calibri" w:eastAsia="Calibri" w:hAnsi="Calibri"/>
                <w:sz w:val="14"/>
                <w:szCs w:val="14"/>
                <w:b w:val="1"/>
                <w:bCs w:val="1"/>
                <w:color w:val="auto"/>
              </w:rPr>
              <w:t>2024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48"/>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4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140" w:type="dxa"/>
            <w:vAlign w:val="bottom"/>
            <w:tcBorders>
              <w:bottom w:val="single" w:sz="8" w:color="CCEEFF"/>
            </w:tcBorders>
            <w:shd w:val="clear" w:color="auto" w:fill="CCEEFF"/>
          </w:tcPr>
          <w:p>
            <w:pPr>
              <w:ind w:left="20"/>
              <w:spacing w:after="0" w:line="150" w:lineRule="exact"/>
              <w:rPr>
                <w:sz w:val="20"/>
                <w:szCs w:val="20"/>
                <w:color w:val="auto"/>
              </w:rPr>
            </w:pPr>
            <w:r>
              <w:rPr>
                <w:rFonts w:ascii="Calibri" w:cs="Calibri" w:eastAsia="Calibri" w:hAnsi="Calibri"/>
                <w:sz w:val="14"/>
                <w:szCs w:val="14"/>
                <w:color w:val="auto"/>
              </w:rPr>
              <w:t>GAAP subscripton revenue</w:t>
            </w:r>
          </w:p>
        </w:tc>
        <w:tc>
          <w:tcPr>
            <w:tcW w:w="380" w:type="dxa"/>
            <w:vAlign w:val="bottom"/>
            <w:tcBorders>
              <w:bottom w:val="single" w:sz="8" w:color="CCEEFF"/>
            </w:tcBorders>
            <w:shd w:val="clear" w:color="auto" w:fill="CCEEFF"/>
          </w:tcPr>
          <w:p>
            <w:pPr>
              <w:jc w:val="right"/>
              <w:ind w:right="228"/>
              <w:spacing w:after="0" w:line="164" w:lineRule="exact"/>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962,735</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28"/>
              <w:spacing w:after="0" w:line="164" w:lineRule="exact"/>
              <w:rPr>
                <w:sz w:val="20"/>
                <w:szCs w:val="20"/>
                <w:color w:val="auto"/>
              </w:rPr>
            </w:pPr>
            <w:r>
              <w:rPr>
                <w:rFonts w:ascii="Calibri" w:cs="Calibri" w:eastAsia="Calibri" w:hAnsi="Calibri"/>
                <w:sz w:val="14"/>
                <w:szCs w:val="14"/>
                <w:color w:val="auto"/>
                <w:w w:val="83"/>
              </w:rPr>
              <w:t>$</w:t>
            </w:r>
          </w:p>
        </w:tc>
        <w:tc>
          <w:tcPr>
            <w:tcW w:w="12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733,463</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48"/>
              <w:spacing w:after="0" w:line="164" w:lineRule="exact"/>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2,753,164</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48"/>
              <w:spacing w:after="0" w:line="164" w:lineRule="exact"/>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2,074,610</w:t>
            </w:r>
          </w:p>
        </w:tc>
        <w:tc>
          <w:tcPr>
            <w:tcW w:w="0" w:type="dxa"/>
            <w:vAlign w:val="bottom"/>
          </w:tcPr>
          <w:p>
            <w:pPr>
              <w:spacing w:after="0"/>
              <w:rPr>
                <w:sz w:val="1"/>
                <w:szCs w:val="1"/>
                <w:color w:val="auto"/>
              </w:rPr>
            </w:pPr>
          </w:p>
        </w:tc>
      </w:tr>
      <w:tr>
        <w:trPr>
          <w:trHeight w:val="170"/>
        </w:trPr>
        <w:tc>
          <w:tcPr>
            <w:tcW w:w="4140" w:type="dxa"/>
            <w:vAlign w:val="bottom"/>
          </w:tcPr>
          <w:p>
            <w:pPr>
              <w:ind w:left="20"/>
              <w:spacing w:after="0"/>
              <w:rPr>
                <w:sz w:val="20"/>
                <w:szCs w:val="20"/>
                <w:color w:val="auto"/>
              </w:rPr>
            </w:pPr>
            <w:r>
              <w:rPr>
                <w:rFonts w:ascii="Calibri" w:cs="Calibri" w:eastAsia="Calibri" w:hAnsi="Calibri"/>
                <w:sz w:val="14"/>
                <w:szCs w:val="14"/>
                <w:color w:val="auto"/>
              </w:rPr>
              <w:t>GAAP professional services revenue</w:t>
            </w:r>
          </w:p>
        </w:tc>
        <w:tc>
          <w:tcPr>
            <w:tcW w:w="38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47,443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alibri" w:cs="Calibri" w:eastAsia="Calibri" w:hAnsi="Calibri"/>
                <w:sz w:val="14"/>
                <w:szCs w:val="14"/>
                <w:color w:val="auto"/>
              </w:rPr>
              <w:t>52,551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141,922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135,610</w:t>
            </w:r>
          </w:p>
        </w:tc>
        <w:tc>
          <w:tcPr>
            <w:tcW w:w="0" w:type="dxa"/>
            <w:vAlign w:val="bottom"/>
          </w:tcPr>
          <w:p>
            <w:pPr>
              <w:spacing w:after="0"/>
              <w:rPr>
                <w:sz w:val="1"/>
                <w:szCs w:val="1"/>
                <w:color w:val="auto"/>
              </w:rPr>
            </w:pPr>
          </w:p>
        </w:tc>
      </w:tr>
      <w:tr>
        <w:trPr>
          <w:trHeight w:val="33"/>
        </w:trPr>
        <w:tc>
          <w:tcPr>
            <w:tcW w:w="4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1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GAAP total revenue</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auto"/>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1,010,178</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Calibri" w:cs="Calibri" w:eastAsia="Calibri" w:hAnsi="Calibri"/>
                <w:sz w:val="14"/>
                <w:szCs w:val="14"/>
                <w:color w:val="auto"/>
                <w:w w:val="83"/>
              </w:rPr>
              <w:t>$</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786,014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auto"/>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2,895,086</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auto"/>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2,210,220</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GAAP subscripton gross proft</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746,434</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Calibri" w:cs="Calibri" w:eastAsia="Calibri" w:hAnsi="Calibri"/>
                <w:sz w:val="14"/>
                <w:szCs w:val="14"/>
                <w:color w:val="auto"/>
                <w:w w:val="83"/>
              </w:rPr>
              <w:t>$</w:t>
            </w:r>
          </w:p>
        </w:tc>
        <w:tc>
          <w:tcPr>
            <w:tcW w:w="12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573,633</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2,147,296</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1,619,374</w:t>
            </w:r>
          </w:p>
        </w:tc>
        <w:tc>
          <w:tcPr>
            <w:tcW w:w="0" w:type="dxa"/>
            <w:vAlign w:val="bottom"/>
          </w:tcPr>
          <w:p>
            <w:pPr>
              <w:spacing w:after="0"/>
              <w:rPr>
                <w:sz w:val="1"/>
                <w:szCs w:val="1"/>
                <w:color w:val="auto"/>
              </w:rPr>
            </w:pPr>
          </w:p>
        </w:tc>
      </w:tr>
      <w:tr>
        <w:trPr>
          <w:trHeight w:val="170"/>
        </w:trPr>
        <w:tc>
          <w:tcPr>
            <w:tcW w:w="4140" w:type="dxa"/>
            <w:vAlign w:val="bottom"/>
          </w:tcPr>
          <w:p>
            <w:pPr>
              <w:ind w:left="140"/>
              <w:spacing w:after="0"/>
              <w:rPr>
                <w:sz w:val="20"/>
                <w:szCs w:val="20"/>
                <w:color w:val="auto"/>
              </w:rPr>
            </w:pPr>
            <w:r>
              <w:rPr>
                <w:rFonts w:ascii="Calibri" w:cs="Calibri" w:eastAsia="Calibri" w:hAnsi="Calibri"/>
                <w:sz w:val="14"/>
                <w:szCs w:val="14"/>
                <w:color w:val="auto"/>
              </w:rPr>
              <w:t>Stock based compensaton expense</w:t>
            </w:r>
          </w:p>
        </w:tc>
        <w:tc>
          <w:tcPr>
            <w:tcW w:w="38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18,613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alibri" w:cs="Calibri" w:eastAsia="Calibri" w:hAnsi="Calibri"/>
                <w:sz w:val="14"/>
                <w:szCs w:val="14"/>
                <w:color w:val="auto"/>
              </w:rPr>
              <w:t>11,477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49,261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30,575</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Amortzaton of acquired intangible assets</w:t>
            </w:r>
          </w:p>
        </w:tc>
        <w:tc>
          <w:tcPr>
            <w:tcW w:w="3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5,389</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3,580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15,823</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10,741</w:t>
            </w:r>
          </w:p>
        </w:tc>
        <w:tc>
          <w:tcPr>
            <w:tcW w:w="0" w:type="dxa"/>
            <w:vAlign w:val="bottom"/>
          </w:tcPr>
          <w:p>
            <w:pPr>
              <w:spacing w:after="0"/>
              <w:rPr>
                <w:sz w:val="1"/>
                <w:szCs w:val="1"/>
                <w:color w:val="auto"/>
              </w:rPr>
            </w:pPr>
          </w:p>
        </w:tc>
      </w:tr>
      <w:tr>
        <w:trPr>
          <w:trHeight w:val="190"/>
        </w:trPr>
        <w:tc>
          <w:tcPr>
            <w:tcW w:w="4140" w:type="dxa"/>
            <w:vAlign w:val="bottom"/>
          </w:tcPr>
          <w:p>
            <w:pPr>
              <w:ind w:left="20"/>
              <w:spacing w:after="0"/>
              <w:rPr>
                <w:sz w:val="20"/>
                <w:szCs w:val="20"/>
                <w:color w:val="auto"/>
              </w:rPr>
            </w:pPr>
            <w:r>
              <w:rPr>
                <w:rFonts w:ascii="Calibri" w:cs="Calibri" w:eastAsia="Calibri" w:hAnsi="Calibri"/>
                <w:sz w:val="14"/>
                <w:szCs w:val="14"/>
                <w:color w:val="auto"/>
              </w:rPr>
              <w:t>Non-GAAP subscripton gross proft</w:t>
            </w: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Calibri" w:cs="Calibri" w:eastAsia="Calibri" w:hAnsi="Calibri"/>
                <w:sz w:val="14"/>
                <w:szCs w:val="14"/>
                <w:color w:val="auto"/>
                <w:w w:val="83"/>
              </w:rPr>
              <w:t>$</w:t>
            </w:r>
          </w:p>
        </w:tc>
        <w:tc>
          <w:tcPr>
            <w:tcW w:w="1300" w:type="dxa"/>
            <w:vAlign w:val="bottom"/>
            <w:tcBorders>
              <w:top w:val="single" w:sz="8" w:color="auto"/>
              <w:bottom w:val="single" w:sz="8" w:color="auto"/>
            </w:tcBorders>
          </w:tcPr>
          <w:p>
            <w:pPr>
              <w:jc w:val="right"/>
              <w:ind w:right="88"/>
              <w:spacing w:after="0"/>
              <w:rPr>
                <w:sz w:val="20"/>
                <w:szCs w:val="20"/>
                <w:color w:val="auto"/>
              </w:rPr>
            </w:pPr>
            <w:r>
              <w:rPr>
                <w:rFonts w:ascii="Calibri" w:cs="Calibri" w:eastAsia="Calibri" w:hAnsi="Calibri"/>
                <w:sz w:val="14"/>
                <w:szCs w:val="14"/>
                <w:color w:val="auto"/>
              </w:rPr>
              <w:t>770,436</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Calibri" w:cs="Calibri" w:eastAsia="Calibri" w:hAnsi="Calibri"/>
                <w:sz w:val="14"/>
                <w:szCs w:val="14"/>
                <w:color w:val="auto"/>
                <w:w w:val="83"/>
              </w:rPr>
              <w:t>$</w:t>
            </w:r>
          </w:p>
        </w:tc>
        <w:tc>
          <w:tcPr>
            <w:tcW w:w="1280" w:type="dxa"/>
            <w:vAlign w:val="bottom"/>
            <w:tcBorders>
              <w:top w:val="single" w:sz="8" w:color="auto"/>
              <w:bottom w:val="single" w:sz="8" w:color="auto"/>
            </w:tcBorders>
          </w:tcPr>
          <w:p>
            <w:pPr>
              <w:jc w:val="right"/>
              <w:ind w:right="88"/>
              <w:spacing w:after="0"/>
              <w:rPr>
                <w:sz w:val="20"/>
                <w:szCs w:val="20"/>
                <w:color w:val="auto"/>
              </w:rPr>
            </w:pPr>
            <w:r>
              <w:rPr>
                <w:rFonts w:ascii="Calibri" w:cs="Calibri" w:eastAsia="Calibri" w:hAnsi="Calibri"/>
                <w:sz w:val="14"/>
                <w:szCs w:val="14"/>
                <w:color w:val="auto"/>
              </w:rPr>
              <w:t>588,690</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Calibri" w:cs="Calibri" w:eastAsia="Calibri" w:hAnsi="Calibri"/>
                <w:sz w:val="14"/>
                <w:szCs w:val="14"/>
                <w:color w:val="auto"/>
                <w:w w:val="83"/>
              </w:rPr>
              <w:t>$</w:t>
            </w:r>
          </w:p>
        </w:tc>
        <w:tc>
          <w:tcPr>
            <w:tcW w:w="1300" w:type="dxa"/>
            <w:vAlign w:val="bottom"/>
            <w:tcBorders>
              <w:top w:val="single" w:sz="8" w:color="auto"/>
              <w:bottom w:val="single" w:sz="8" w:color="auto"/>
            </w:tcBorders>
          </w:tcPr>
          <w:p>
            <w:pPr>
              <w:jc w:val="right"/>
              <w:ind w:right="88"/>
              <w:spacing w:after="0"/>
              <w:rPr>
                <w:sz w:val="20"/>
                <w:szCs w:val="20"/>
                <w:color w:val="auto"/>
              </w:rPr>
            </w:pPr>
            <w:r>
              <w:rPr>
                <w:rFonts w:ascii="Calibri" w:cs="Calibri" w:eastAsia="Calibri" w:hAnsi="Calibri"/>
                <w:sz w:val="14"/>
                <w:szCs w:val="14"/>
                <w:color w:val="auto"/>
              </w:rPr>
              <w:t>2,212,380</w:t>
            </w:r>
          </w:p>
        </w:tc>
        <w:tc>
          <w:tcPr>
            <w:tcW w:w="8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Calibri" w:cs="Calibri" w:eastAsia="Calibri" w:hAnsi="Calibri"/>
                <w:sz w:val="14"/>
                <w:szCs w:val="14"/>
                <w:color w:val="auto"/>
                <w:w w:val="83"/>
              </w:rPr>
              <w:t>$</w:t>
            </w:r>
          </w:p>
        </w:tc>
        <w:tc>
          <w:tcPr>
            <w:tcW w:w="1300" w:type="dxa"/>
            <w:vAlign w:val="bottom"/>
            <w:tcBorders>
              <w:top w:val="single" w:sz="8" w:color="auto"/>
              <w:bottom w:val="single" w:sz="8" w:color="auto"/>
            </w:tcBorders>
          </w:tcPr>
          <w:p>
            <w:pPr>
              <w:jc w:val="right"/>
              <w:ind w:right="88"/>
              <w:spacing w:after="0"/>
              <w:rPr>
                <w:sz w:val="20"/>
                <w:szCs w:val="20"/>
                <w:color w:val="auto"/>
              </w:rPr>
            </w:pPr>
            <w:r>
              <w:rPr>
                <w:rFonts w:ascii="Calibri" w:cs="Calibri" w:eastAsia="Calibri" w:hAnsi="Calibri"/>
                <w:sz w:val="14"/>
                <w:szCs w:val="14"/>
                <w:color w:val="auto"/>
              </w:rPr>
              <w:t>1,660,690</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140" w:type="dxa"/>
            <w:vAlign w:val="bottom"/>
          </w:tcPr>
          <w:p>
            <w:pPr>
              <w:ind w:left="20"/>
              <w:spacing w:after="0"/>
              <w:rPr>
                <w:sz w:val="20"/>
                <w:szCs w:val="20"/>
                <w:color w:val="auto"/>
              </w:rPr>
            </w:pPr>
            <w:r>
              <w:rPr>
                <w:rFonts w:ascii="Calibri" w:cs="Calibri" w:eastAsia="Calibri" w:hAnsi="Calibri"/>
                <w:sz w:val="14"/>
                <w:szCs w:val="14"/>
                <w:color w:val="auto"/>
              </w:rPr>
              <w:t>GAAP subscripton gross margin</w:t>
            </w: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alibri" w:cs="Calibri" w:eastAsia="Calibri" w:hAnsi="Calibri"/>
                <w:sz w:val="14"/>
                <w:szCs w:val="14"/>
                <w:color w:val="auto"/>
              </w:rPr>
              <w:t>78 %</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alibri" w:cs="Calibri" w:eastAsia="Calibri" w:hAnsi="Calibri"/>
                <w:sz w:val="14"/>
                <w:szCs w:val="14"/>
                <w:color w:val="auto"/>
              </w:rPr>
              <w:t>78 %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alibri" w:cs="Calibri" w:eastAsia="Calibri" w:hAnsi="Calibri"/>
                <w:sz w:val="14"/>
                <w:szCs w:val="14"/>
                <w:color w:val="auto"/>
              </w:rPr>
              <w:t>78 %</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alibri" w:cs="Calibri" w:eastAsia="Calibri" w:hAnsi="Calibri"/>
                <w:sz w:val="14"/>
                <w:szCs w:val="14"/>
                <w:color w:val="auto"/>
              </w:rPr>
              <w:t>78 %</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Non-GAAP subscripton gross margin</w:t>
            </w: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80 %</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80 %</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80 %</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80 %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1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GAAP professional services gross proft</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8,657</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Calibri" w:cs="Calibri" w:eastAsia="Calibri" w:hAnsi="Calibri"/>
                <w:sz w:val="14"/>
                <w:szCs w:val="14"/>
                <w:color w:val="auto"/>
                <w:w w:val="83"/>
              </w:rPr>
              <w:t>$</w:t>
            </w:r>
          </w:p>
        </w:tc>
        <w:tc>
          <w:tcPr>
            <w:tcW w:w="12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17,377</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30,299</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43,695</w:t>
            </w:r>
          </w:p>
        </w:tc>
        <w:tc>
          <w:tcPr>
            <w:tcW w:w="0" w:type="dxa"/>
            <w:vAlign w:val="bottom"/>
          </w:tcPr>
          <w:p>
            <w:pPr>
              <w:spacing w:after="0"/>
              <w:rPr>
                <w:sz w:val="1"/>
                <w:szCs w:val="1"/>
                <w:color w:val="auto"/>
              </w:rPr>
            </w:pPr>
          </w:p>
        </w:tc>
      </w:tr>
      <w:tr>
        <w:trPr>
          <w:trHeight w:val="170"/>
        </w:trPr>
        <w:tc>
          <w:tcPr>
            <w:tcW w:w="4140" w:type="dxa"/>
            <w:vAlign w:val="bottom"/>
          </w:tcPr>
          <w:p>
            <w:pPr>
              <w:ind w:left="140"/>
              <w:spacing w:after="0"/>
              <w:rPr>
                <w:sz w:val="20"/>
                <w:szCs w:val="20"/>
                <w:color w:val="auto"/>
              </w:rPr>
            </w:pPr>
            <w:r>
              <w:rPr>
                <w:rFonts w:ascii="Calibri" w:cs="Calibri" w:eastAsia="Calibri" w:hAnsi="Calibri"/>
                <w:sz w:val="14"/>
                <w:szCs w:val="14"/>
                <w:color w:val="auto"/>
              </w:rPr>
              <w:t>Stock based compensaton expense</w:t>
            </w:r>
          </w:p>
        </w:tc>
        <w:tc>
          <w:tcPr>
            <w:tcW w:w="38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7,498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alibri" w:cs="Calibri" w:eastAsia="Calibri" w:hAnsi="Calibri"/>
                <w:sz w:val="14"/>
                <w:szCs w:val="14"/>
                <w:color w:val="auto"/>
              </w:rPr>
              <w:t>5,645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21,115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16,020</w:t>
            </w:r>
          </w:p>
        </w:tc>
        <w:tc>
          <w:tcPr>
            <w:tcW w:w="0" w:type="dxa"/>
            <w:vAlign w:val="bottom"/>
          </w:tcPr>
          <w:p>
            <w:pPr>
              <w:spacing w:after="0"/>
              <w:rPr>
                <w:sz w:val="1"/>
                <w:szCs w:val="1"/>
                <w:color w:val="auto"/>
              </w:rPr>
            </w:pPr>
          </w:p>
        </w:tc>
      </w:tr>
      <w:tr>
        <w:trPr>
          <w:trHeight w:val="33"/>
        </w:trPr>
        <w:tc>
          <w:tcPr>
            <w:tcW w:w="4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1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Non-GAAP professional services gross proft</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auto"/>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16,155</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Calibri" w:cs="Calibri" w:eastAsia="Calibri" w:hAnsi="Calibri"/>
                <w:sz w:val="14"/>
                <w:szCs w:val="14"/>
                <w:color w:val="auto"/>
                <w:w w:val="83"/>
              </w:rPr>
              <w:t>$</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23,022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auto"/>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51,414</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auto"/>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59,715</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GAAP professional services gross margin</w:t>
            </w: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18 %</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33 %</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21 %</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32 %</w:t>
            </w:r>
          </w:p>
        </w:tc>
        <w:tc>
          <w:tcPr>
            <w:tcW w:w="0" w:type="dxa"/>
            <w:vAlign w:val="bottom"/>
          </w:tcPr>
          <w:p>
            <w:pPr>
              <w:spacing w:after="0"/>
              <w:rPr>
                <w:sz w:val="1"/>
                <w:szCs w:val="1"/>
                <w:color w:val="auto"/>
              </w:rPr>
            </w:pPr>
          </w:p>
        </w:tc>
      </w:tr>
      <w:tr>
        <w:trPr>
          <w:trHeight w:val="170"/>
        </w:trPr>
        <w:tc>
          <w:tcPr>
            <w:tcW w:w="4140" w:type="dxa"/>
            <w:vAlign w:val="bottom"/>
          </w:tcPr>
          <w:p>
            <w:pPr>
              <w:ind w:left="20"/>
              <w:spacing w:after="0"/>
              <w:rPr>
                <w:sz w:val="20"/>
                <w:szCs w:val="20"/>
                <w:color w:val="auto"/>
              </w:rPr>
            </w:pPr>
            <w:r>
              <w:rPr>
                <w:rFonts w:ascii="Calibri" w:cs="Calibri" w:eastAsia="Calibri" w:hAnsi="Calibri"/>
                <w:sz w:val="14"/>
                <w:szCs w:val="14"/>
                <w:color w:val="auto"/>
              </w:rPr>
              <w:t>Non-GAAP professional services gross margin</w:t>
            </w: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alibri" w:cs="Calibri" w:eastAsia="Calibri" w:hAnsi="Calibri"/>
                <w:sz w:val="14"/>
                <w:szCs w:val="14"/>
                <w:color w:val="auto"/>
              </w:rPr>
              <w:t>34 %</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alibri" w:cs="Calibri" w:eastAsia="Calibri" w:hAnsi="Calibri"/>
                <w:sz w:val="14"/>
                <w:szCs w:val="14"/>
                <w:color w:val="auto"/>
              </w:rPr>
              <w:t>44 %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alibri" w:cs="Calibri" w:eastAsia="Calibri" w:hAnsi="Calibri"/>
                <w:sz w:val="14"/>
                <w:szCs w:val="14"/>
                <w:color w:val="auto"/>
              </w:rPr>
              <w:t>36 %</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alibri" w:cs="Calibri" w:eastAsia="Calibri" w:hAnsi="Calibri"/>
                <w:sz w:val="14"/>
                <w:szCs w:val="14"/>
                <w:color w:val="auto"/>
              </w:rPr>
              <w:t>44 %</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140" w:type="dxa"/>
            <w:vAlign w:val="bottom"/>
          </w:tcPr>
          <w:p>
            <w:pPr>
              <w:ind w:left="20"/>
              <w:spacing w:after="0"/>
              <w:rPr>
                <w:sz w:val="20"/>
                <w:szCs w:val="20"/>
                <w:color w:val="auto"/>
              </w:rPr>
            </w:pPr>
            <w:r>
              <w:rPr>
                <w:rFonts w:ascii="Calibri" w:cs="Calibri" w:eastAsia="Calibri" w:hAnsi="Calibri"/>
                <w:sz w:val="14"/>
                <w:szCs w:val="14"/>
                <w:color w:val="auto"/>
              </w:rPr>
              <w:t>Total GAAP gross margin</w:t>
            </w: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alibri" w:cs="Calibri" w:eastAsia="Calibri" w:hAnsi="Calibri"/>
                <w:sz w:val="14"/>
                <w:szCs w:val="14"/>
                <w:color w:val="auto"/>
              </w:rPr>
              <w:t>75 %</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alibri" w:cs="Calibri" w:eastAsia="Calibri" w:hAnsi="Calibri"/>
                <w:sz w:val="14"/>
                <w:szCs w:val="14"/>
                <w:color w:val="auto"/>
              </w:rPr>
              <w:t>75 %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alibri" w:cs="Calibri" w:eastAsia="Calibri" w:hAnsi="Calibri"/>
                <w:sz w:val="14"/>
                <w:szCs w:val="14"/>
                <w:color w:val="auto"/>
              </w:rPr>
              <w:t>75 %</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alibri" w:cs="Calibri" w:eastAsia="Calibri" w:hAnsi="Calibri"/>
                <w:sz w:val="14"/>
                <w:szCs w:val="14"/>
                <w:color w:val="auto"/>
              </w:rPr>
              <w:t>75 %</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Total Non-GAAP gross margin</w:t>
            </w: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78 %</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78 %</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78 %</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78 %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1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GAAP sales and marketng operatng expenses</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408,267</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Calibri" w:cs="Calibri" w:eastAsia="Calibri" w:hAnsi="Calibri"/>
                <w:sz w:val="14"/>
                <w:szCs w:val="14"/>
                <w:color w:val="auto"/>
                <w:w w:val="83"/>
              </w:rPr>
              <w:t>$</w:t>
            </w:r>
          </w:p>
        </w:tc>
        <w:tc>
          <w:tcPr>
            <w:tcW w:w="12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286,186</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1,113,852</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850,209</w:t>
            </w:r>
          </w:p>
        </w:tc>
        <w:tc>
          <w:tcPr>
            <w:tcW w:w="0" w:type="dxa"/>
            <w:vAlign w:val="bottom"/>
          </w:tcPr>
          <w:p>
            <w:pPr>
              <w:spacing w:after="0"/>
              <w:rPr>
                <w:sz w:val="1"/>
                <w:szCs w:val="1"/>
                <w:color w:val="auto"/>
              </w:rPr>
            </w:pPr>
          </w:p>
        </w:tc>
      </w:tr>
      <w:tr>
        <w:trPr>
          <w:trHeight w:val="170"/>
        </w:trPr>
        <w:tc>
          <w:tcPr>
            <w:tcW w:w="4140" w:type="dxa"/>
            <w:vAlign w:val="bottom"/>
          </w:tcPr>
          <w:p>
            <w:pPr>
              <w:ind w:left="140"/>
              <w:spacing w:after="0"/>
              <w:rPr>
                <w:sz w:val="20"/>
                <w:szCs w:val="20"/>
                <w:color w:val="auto"/>
              </w:rPr>
            </w:pPr>
            <w:r>
              <w:rPr>
                <w:rFonts w:ascii="Calibri" w:cs="Calibri" w:eastAsia="Calibri" w:hAnsi="Calibri"/>
                <w:sz w:val="14"/>
                <w:szCs w:val="14"/>
                <w:color w:val="auto"/>
              </w:rPr>
              <w:t>Stock based compensaton expense</w:t>
            </w:r>
          </w:p>
        </w:tc>
        <w:tc>
          <w:tcPr>
            <w:tcW w:w="3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(56,251)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Calibri" w:cs="Calibri" w:eastAsia="Calibri" w:hAnsi="Calibri"/>
                <w:sz w:val="14"/>
                <w:szCs w:val="14"/>
                <w:color w:val="auto"/>
              </w:rPr>
              <w:t>(42,544)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Calibri" w:cs="Calibri" w:eastAsia="Calibri" w:hAnsi="Calibri"/>
                <w:sz w:val="14"/>
                <w:szCs w:val="14"/>
                <w:color w:val="auto"/>
              </w:rPr>
              <w:t>(165,914)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Calibri" w:cs="Calibri" w:eastAsia="Calibri" w:hAnsi="Calibri"/>
                <w:sz w:val="14"/>
                <w:szCs w:val="14"/>
                <w:color w:val="auto"/>
              </w:rPr>
              <w:t>(129,725)</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4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Amortzaton of acquired intangible assets</w:t>
            </w: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(603)</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(506)</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(1,808)</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(1,483)</w:t>
            </w:r>
          </w:p>
        </w:tc>
        <w:tc>
          <w:tcPr>
            <w:tcW w:w="0" w:type="dxa"/>
            <w:vAlign w:val="bottom"/>
          </w:tcPr>
          <w:p>
            <w:pPr>
              <w:spacing w:after="0"/>
              <w:rPr>
                <w:sz w:val="1"/>
                <w:szCs w:val="1"/>
                <w:color w:val="auto"/>
              </w:rPr>
            </w:pPr>
          </w:p>
        </w:tc>
      </w:tr>
      <w:tr>
        <w:trPr>
          <w:trHeight w:val="170"/>
        </w:trPr>
        <w:tc>
          <w:tcPr>
            <w:tcW w:w="4140" w:type="dxa"/>
            <w:vAlign w:val="bottom"/>
          </w:tcPr>
          <w:p>
            <w:pPr>
              <w:ind w:left="140"/>
              <w:spacing w:after="0"/>
              <w:rPr>
                <w:sz w:val="20"/>
                <w:szCs w:val="20"/>
                <w:color w:val="auto"/>
              </w:rPr>
            </w:pPr>
            <w:r>
              <w:rPr>
                <w:rFonts w:ascii="Calibri" w:cs="Calibri" w:eastAsia="Calibri" w:hAnsi="Calibri"/>
                <w:sz w:val="14"/>
                <w:szCs w:val="14"/>
                <w:color w:val="auto"/>
              </w:rPr>
              <w:t>Mark-to-market adjustments on deferred compensaton liabilites</w:t>
            </w:r>
          </w:p>
        </w:tc>
        <w:tc>
          <w:tcPr>
            <w:tcW w:w="3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(41)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alibri" w:cs="Calibri" w:eastAsia="Calibri" w:hAnsi="Calibri"/>
                <w:sz w:val="14"/>
                <w:szCs w:val="14"/>
                <w:color w:val="auto"/>
              </w:rPr>
              <w:t>68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Calibri" w:cs="Calibri" w:eastAsia="Calibri" w:hAnsi="Calibri"/>
                <w:sz w:val="14"/>
                <w:szCs w:val="14"/>
                <w:color w:val="auto"/>
              </w:rPr>
              <w:t>(184)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33</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July 19 Incident related costs, net</w:t>
            </w:r>
          </w:p>
        </w:tc>
        <w:tc>
          <w:tcPr>
            <w:tcW w:w="3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(15,089)</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(18,182)</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90"/>
        </w:trPr>
        <w:tc>
          <w:tcPr>
            <w:tcW w:w="4140" w:type="dxa"/>
            <w:vAlign w:val="bottom"/>
          </w:tcPr>
          <w:p>
            <w:pPr>
              <w:ind w:left="20"/>
              <w:spacing w:after="0"/>
              <w:rPr>
                <w:sz w:val="20"/>
                <w:szCs w:val="20"/>
                <w:color w:val="auto"/>
              </w:rPr>
            </w:pPr>
            <w:r>
              <w:rPr>
                <w:rFonts w:ascii="Calibri" w:cs="Calibri" w:eastAsia="Calibri" w:hAnsi="Calibri"/>
                <w:sz w:val="14"/>
                <w:szCs w:val="14"/>
                <w:color w:val="auto"/>
              </w:rPr>
              <w:t>Non-GAAP sales and marketng operatng expenses</w:t>
            </w: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Calibri" w:cs="Calibri" w:eastAsia="Calibri" w:hAnsi="Calibri"/>
                <w:sz w:val="14"/>
                <w:szCs w:val="14"/>
                <w:color w:val="auto"/>
                <w:w w:val="83"/>
              </w:rPr>
              <w:t>$</w:t>
            </w:r>
          </w:p>
        </w:tc>
        <w:tc>
          <w:tcPr>
            <w:tcW w:w="1300" w:type="dxa"/>
            <w:vAlign w:val="bottom"/>
            <w:tcBorders>
              <w:top w:val="single" w:sz="8" w:color="auto"/>
              <w:bottom w:val="single" w:sz="8" w:color="auto"/>
            </w:tcBorders>
          </w:tcPr>
          <w:p>
            <w:pPr>
              <w:jc w:val="right"/>
              <w:ind w:right="88"/>
              <w:spacing w:after="0"/>
              <w:rPr>
                <w:sz w:val="20"/>
                <w:szCs w:val="20"/>
                <w:color w:val="auto"/>
              </w:rPr>
            </w:pPr>
            <w:r>
              <w:rPr>
                <w:rFonts w:ascii="Calibri" w:cs="Calibri" w:eastAsia="Calibri" w:hAnsi="Calibri"/>
                <w:sz w:val="14"/>
                <w:szCs w:val="14"/>
                <w:color w:val="auto"/>
              </w:rPr>
              <w:t>336,283</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Calibri" w:cs="Calibri" w:eastAsia="Calibri" w:hAnsi="Calibri"/>
                <w:sz w:val="14"/>
                <w:szCs w:val="14"/>
                <w:color w:val="auto"/>
                <w:w w:val="83"/>
              </w:rPr>
              <w:t>$</w:t>
            </w:r>
          </w:p>
        </w:tc>
        <w:tc>
          <w:tcPr>
            <w:tcW w:w="1280" w:type="dxa"/>
            <w:vAlign w:val="bottom"/>
            <w:tcBorders>
              <w:top w:val="single" w:sz="8" w:color="auto"/>
              <w:bottom w:val="single" w:sz="8" w:color="auto"/>
            </w:tcBorders>
          </w:tcPr>
          <w:p>
            <w:pPr>
              <w:jc w:val="right"/>
              <w:ind w:right="88"/>
              <w:spacing w:after="0"/>
              <w:rPr>
                <w:sz w:val="20"/>
                <w:szCs w:val="20"/>
                <w:color w:val="auto"/>
              </w:rPr>
            </w:pPr>
            <w:r>
              <w:rPr>
                <w:rFonts w:ascii="Calibri" w:cs="Calibri" w:eastAsia="Calibri" w:hAnsi="Calibri"/>
                <w:sz w:val="14"/>
                <w:szCs w:val="14"/>
                <w:color w:val="auto"/>
              </w:rPr>
              <w:t>243,204</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Calibri" w:cs="Calibri" w:eastAsia="Calibri" w:hAnsi="Calibri"/>
                <w:sz w:val="14"/>
                <w:szCs w:val="14"/>
                <w:color w:val="auto"/>
                <w:w w:val="83"/>
              </w:rPr>
              <w:t>$</w:t>
            </w:r>
          </w:p>
        </w:tc>
        <w:tc>
          <w:tcPr>
            <w:tcW w:w="1300" w:type="dxa"/>
            <w:vAlign w:val="bottom"/>
            <w:tcBorders>
              <w:top w:val="single" w:sz="8" w:color="auto"/>
              <w:bottom w:val="single" w:sz="8" w:color="auto"/>
            </w:tcBorders>
          </w:tcPr>
          <w:p>
            <w:pPr>
              <w:jc w:val="right"/>
              <w:ind w:right="88"/>
              <w:spacing w:after="0"/>
              <w:rPr>
                <w:sz w:val="20"/>
                <w:szCs w:val="20"/>
                <w:color w:val="auto"/>
              </w:rPr>
            </w:pPr>
            <w:r>
              <w:rPr>
                <w:rFonts w:ascii="Calibri" w:cs="Calibri" w:eastAsia="Calibri" w:hAnsi="Calibri"/>
                <w:sz w:val="14"/>
                <w:szCs w:val="14"/>
                <w:color w:val="auto"/>
              </w:rPr>
              <w:t>927,764</w:t>
            </w:r>
          </w:p>
        </w:tc>
        <w:tc>
          <w:tcPr>
            <w:tcW w:w="8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Calibri" w:cs="Calibri" w:eastAsia="Calibri" w:hAnsi="Calibri"/>
                <w:sz w:val="14"/>
                <w:szCs w:val="14"/>
                <w:color w:val="auto"/>
                <w:w w:val="83"/>
              </w:rPr>
              <w:t>$</w:t>
            </w:r>
          </w:p>
        </w:tc>
        <w:tc>
          <w:tcPr>
            <w:tcW w:w="1300" w:type="dxa"/>
            <w:vAlign w:val="bottom"/>
            <w:tcBorders>
              <w:top w:val="single" w:sz="8" w:color="auto"/>
              <w:bottom w:val="single" w:sz="8" w:color="auto"/>
            </w:tcBorders>
          </w:tcPr>
          <w:p>
            <w:pPr>
              <w:jc w:val="right"/>
              <w:ind w:right="88"/>
              <w:spacing w:after="0"/>
              <w:rPr>
                <w:sz w:val="20"/>
                <w:szCs w:val="20"/>
                <w:color w:val="auto"/>
              </w:rPr>
            </w:pPr>
            <w:r>
              <w:rPr>
                <w:rFonts w:ascii="Calibri" w:cs="Calibri" w:eastAsia="Calibri" w:hAnsi="Calibri"/>
                <w:sz w:val="14"/>
                <w:szCs w:val="14"/>
                <w:color w:val="auto"/>
              </w:rPr>
              <w:t>719,034</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140" w:type="dxa"/>
            <w:vAlign w:val="bottom"/>
          </w:tcPr>
          <w:p>
            <w:pPr>
              <w:ind w:left="20"/>
              <w:spacing w:after="0" w:line="122" w:lineRule="exact"/>
              <w:rPr>
                <w:sz w:val="20"/>
                <w:szCs w:val="20"/>
                <w:color w:val="auto"/>
              </w:rPr>
            </w:pPr>
            <w:r>
              <w:rPr>
                <w:rFonts w:ascii="Calibri" w:cs="Calibri" w:eastAsia="Calibri" w:hAnsi="Calibri"/>
                <w:sz w:val="13"/>
                <w:szCs w:val="13"/>
                <w:color w:val="auto"/>
              </w:rPr>
              <w:t>GAAP sales and marketng operatng expenses as a percentage of</w:t>
            </w:r>
          </w:p>
        </w:tc>
        <w:tc>
          <w:tcPr>
            <w:tcW w:w="38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Calibri" w:cs="Calibri" w:eastAsia="Calibri" w:hAnsi="Calibri"/>
                <w:sz w:val="14"/>
                <w:szCs w:val="14"/>
                <w:color w:val="auto"/>
              </w:rPr>
              <w:t>40 %</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Calibri" w:cs="Calibri" w:eastAsia="Calibri" w:hAnsi="Calibri"/>
                <w:sz w:val="14"/>
                <w:szCs w:val="14"/>
                <w:color w:val="auto"/>
              </w:rPr>
              <w:t>36 %</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Calibri" w:cs="Calibri" w:eastAsia="Calibri" w:hAnsi="Calibri"/>
                <w:sz w:val="14"/>
                <w:szCs w:val="14"/>
                <w:color w:val="auto"/>
              </w:rPr>
              <w:t>38 %</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Calibri" w:cs="Calibri" w:eastAsia="Calibri" w:hAnsi="Calibri"/>
                <w:sz w:val="14"/>
                <w:szCs w:val="14"/>
                <w:color w:val="auto"/>
              </w:rPr>
              <w:t>38 %</w:t>
            </w:r>
          </w:p>
        </w:tc>
        <w:tc>
          <w:tcPr>
            <w:tcW w:w="0" w:type="dxa"/>
            <w:vAlign w:val="bottom"/>
          </w:tcPr>
          <w:p>
            <w:pPr>
              <w:spacing w:after="0"/>
              <w:rPr>
                <w:sz w:val="1"/>
                <w:szCs w:val="1"/>
                <w:color w:val="auto"/>
              </w:rPr>
            </w:pPr>
          </w:p>
        </w:tc>
      </w:tr>
      <w:tr>
        <w:trPr>
          <w:trHeight w:val="170"/>
        </w:trPr>
        <w:tc>
          <w:tcPr>
            <w:tcW w:w="4140" w:type="dxa"/>
            <w:vAlign w:val="bottom"/>
          </w:tcPr>
          <w:p>
            <w:pPr>
              <w:ind w:left="20"/>
              <w:spacing w:after="0"/>
              <w:rPr>
                <w:sz w:val="20"/>
                <w:szCs w:val="20"/>
                <w:color w:val="auto"/>
              </w:rPr>
            </w:pPr>
            <w:r>
              <w:rPr>
                <w:rFonts w:ascii="Calibri" w:cs="Calibri" w:eastAsia="Calibri" w:hAnsi="Calibri"/>
                <w:sz w:val="14"/>
                <w:szCs w:val="14"/>
                <w:color w:val="auto"/>
              </w:rPr>
              <w:t>revenue</w:t>
            </w:r>
          </w:p>
        </w:tc>
        <w:tc>
          <w:tcPr>
            <w:tcW w:w="3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4140" w:type="dxa"/>
            <w:vAlign w:val="bottom"/>
            <w:shd w:val="clear" w:color="auto" w:fill="CCEEFF"/>
          </w:tcPr>
          <w:p>
            <w:pPr>
              <w:ind w:left="20"/>
              <w:spacing w:after="0" w:line="122" w:lineRule="exact"/>
              <w:rPr>
                <w:sz w:val="20"/>
                <w:szCs w:val="20"/>
                <w:color w:val="auto"/>
              </w:rPr>
            </w:pPr>
            <w:r>
              <w:rPr>
                <w:rFonts w:ascii="Calibri" w:cs="Calibri" w:eastAsia="Calibri" w:hAnsi="Calibri"/>
                <w:sz w:val="13"/>
                <w:szCs w:val="13"/>
                <w:color w:val="auto"/>
              </w:rPr>
              <w:t>Non-GAAP sales and marketng operatng expenses as a percentage of</w:t>
            </w:r>
          </w:p>
        </w:tc>
        <w:tc>
          <w:tcPr>
            <w:tcW w:w="38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33 %</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31 %</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32 %</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33 %</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revenue</w:t>
            </w:r>
          </w:p>
        </w:tc>
        <w:tc>
          <w:tcPr>
            <w:tcW w:w="38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1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1321" w:right="359" w:bottom="1440" w:gutter="0" w:footer="0" w:header="0"/>
        </w:sectPr>
      </w:pPr>
    </w:p>
    <w:bookmarkStart w:id="15" w:name="page16"/>
    <w:bookmarkEnd w:id="15"/>
    <w:p>
      <w:pPr>
        <w:jc w:val="center"/>
        <w:spacing w:after="0"/>
        <w:rPr>
          <w:sz w:val="20"/>
          <w:szCs w:val="20"/>
          <w:color w:val="auto"/>
        </w:rPr>
      </w:pPr>
      <w:r>
        <w:rPr>
          <w:rFonts w:ascii="Calibri" w:cs="Calibri" w:eastAsia="Calibri" w:hAnsi="Calibri"/>
          <w:sz w:val="16"/>
          <w:szCs w:val="16"/>
          <w:b w:val="1"/>
          <w:bCs w:val="1"/>
          <w:color w:val="auto"/>
        </w:rPr>
        <w:t>CROWDSTRIKE HOLDINGS, INC.</w:t>
      </w:r>
    </w:p>
    <w:p>
      <w:pPr>
        <w:spacing w:after="0" w:line="156" w:lineRule="exact"/>
        <w:rPr>
          <w:sz w:val="20"/>
          <w:szCs w:val="20"/>
          <w:color w:val="auto"/>
        </w:rPr>
      </w:pPr>
    </w:p>
    <w:p>
      <w:pPr>
        <w:ind w:left="4040"/>
        <w:spacing w:after="0"/>
        <w:rPr>
          <w:sz w:val="20"/>
          <w:szCs w:val="20"/>
          <w:color w:val="auto"/>
        </w:rPr>
      </w:pPr>
      <w:r>
        <w:rPr>
          <w:rFonts w:ascii="Calibri" w:cs="Calibri" w:eastAsia="Calibri" w:hAnsi="Calibri"/>
          <w:sz w:val="16"/>
          <w:szCs w:val="16"/>
          <w:b w:val="1"/>
          <w:bCs w:val="1"/>
          <w:color w:val="auto"/>
        </w:rPr>
        <w:t>GAAP to Non-GAAP Reconciliatons (contnued)</w:t>
      </w:r>
    </w:p>
    <w:p>
      <w:pPr>
        <w:spacing w:after="0" w:line="7" w:lineRule="exact"/>
        <w:rPr>
          <w:sz w:val="20"/>
          <w:szCs w:val="20"/>
          <w:color w:val="auto"/>
        </w:rPr>
      </w:pPr>
    </w:p>
    <w:p>
      <w:pPr>
        <w:ind w:left="4260"/>
        <w:spacing w:after="0"/>
        <w:rPr>
          <w:sz w:val="20"/>
          <w:szCs w:val="20"/>
          <w:color w:val="auto"/>
        </w:rPr>
      </w:pPr>
      <w:r>
        <w:rPr>
          <w:rFonts w:ascii="Calibri" w:cs="Calibri" w:eastAsia="Calibri" w:hAnsi="Calibri"/>
          <w:sz w:val="16"/>
          <w:szCs w:val="16"/>
          <w:color w:val="auto"/>
        </w:rPr>
        <w:t>(in thousands, except per share amounts)</w:t>
      </w:r>
    </w:p>
    <w:p>
      <w:pPr>
        <w:jc w:val="center"/>
        <w:spacing w:after="0" w:line="232" w:lineRule="auto"/>
        <w:rPr>
          <w:sz w:val="20"/>
          <w:szCs w:val="20"/>
          <w:color w:val="auto"/>
        </w:rPr>
      </w:pPr>
      <w:r>
        <w:rPr>
          <w:rFonts w:ascii="Calibri" w:cs="Calibri" w:eastAsia="Calibri" w:hAnsi="Calibri"/>
          <w:sz w:val="16"/>
          <w:szCs w:val="16"/>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800" w:type="dxa"/>
            <w:vAlign w:val="bottom"/>
            <w:gridSpan w:val="4"/>
          </w:tcPr>
          <w:p>
            <w:pPr>
              <w:jc w:val="right"/>
              <w:ind w:right="8"/>
              <w:spacing w:after="0"/>
              <w:rPr>
                <w:sz w:val="20"/>
                <w:szCs w:val="20"/>
                <w:color w:val="auto"/>
              </w:rPr>
            </w:pPr>
            <w:r>
              <w:rPr>
                <w:rFonts w:ascii="Calibri" w:cs="Calibri" w:eastAsia="Calibri" w:hAnsi="Calibri"/>
                <w:sz w:val="14"/>
                <w:szCs w:val="14"/>
                <w:b w:val="1"/>
                <w:bCs w:val="1"/>
                <w:color w:val="auto"/>
              </w:rPr>
              <w:t>Three Months Ended October 31,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80" w:type="dxa"/>
            <w:vAlign w:val="bottom"/>
            <w:gridSpan w:val="4"/>
          </w:tcPr>
          <w:p>
            <w:pPr>
              <w:jc w:val="right"/>
              <w:ind w:right="708"/>
              <w:spacing w:after="0"/>
              <w:rPr>
                <w:sz w:val="20"/>
                <w:szCs w:val="20"/>
                <w:color w:val="auto"/>
              </w:rPr>
            </w:pPr>
            <w:r>
              <w:rPr>
                <w:rFonts w:ascii="Calibri" w:cs="Calibri" w:eastAsia="Calibri" w:hAnsi="Calibri"/>
                <w:sz w:val="14"/>
                <w:szCs w:val="14"/>
                <w:b w:val="1"/>
                <w:bCs w:val="1"/>
                <w:color w:val="auto"/>
              </w:rPr>
              <w:t>Nine Months Ended October 31,</w:t>
            </w:r>
          </w:p>
        </w:tc>
        <w:tc>
          <w:tcPr>
            <w:tcW w:w="0" w:type="dxa"/>
            <w:vAlign w:val="bottom"/>
          </w:tcPr>
          <w:p>
            <w:pPr>
              <w:spacing w:after="0"/>
              <w:rPr>
                <w:sz w:val="1"/>
                <w:szCs w:val="1"/>
                <w:color w:val="auto"/>
              </w:rPr>
            </w:pPr>
          </w:p>
        </w:tc>
      </w:tr>
      <w:tr>
        <w:trPr>
          <w:trHeight w:val="47"/>
        </w:trPr>
        <w:tc>
          <w:tcPr>
            <w:tcW w:w="42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422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628"/>
              <w:spacing w:after="0" w:line="164" w:lineRule="exact"/>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628"/>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4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220" w:type="dxa"/>
            <w:vAlign w:val="bottom"/>
            <w:tcBorders>
              <w:bottom w:val="single" w:sz="8" w:color="CCEEFF"/>
            </w:tcBorders>
            <w:shd w:val="clear" w:color="auto" w:fill="CCEEFF"/>
          </w:tcPr>
          <w:p>
            <w:pPr>
              <w:ind w:left="20"/>
              <w:spacing w:after="0" w:line="150" w:lineRule="exact"/>
              <w:rPr>
                <w:sz w:val="20"/>
                <w:szCs w:val="20"/>
                <w:color w:val="auto"/>
              </w:rPr>
            </w:pPr>
            <w:r>
              <w:rPr>
                <w:rFonts w:ascii="Calibri" w:cs="Calibri" w:eastAsia="Calibri" w:hAnsi="Calibri"/>
                <w:sz w:val="14"/>
                <w:szCs w:val="14"/>
                <w:color w:val="auto"/>
              </w:rPr>
              <w:t>GAAP research and development operatng expenses</w:t>
            </w:r>
          </w:p>
        </w:tc>
        <w:tc>
          <w:tcPr>
            <w:tcW w:w="1020" w:type="dxa"/>
            <w:vAlign w:val="bottom"/>
            <w:tcBorders>
              <w:bottom w:val="single" w:sz="8" w:color="CCEEFF"/>
            </w:tcBorders>
            <w:shd w:val="clear" w:color="auto" w:fill="CCEEFF"/>
          </w:tcPr>
          <w:p>
            <w:pPr>
              <w:jc w:val="right"/>
              <w:ind w:right="84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275,602</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4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196,072</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28"/>
              <w:spacing w:after="0" w:line="164" w:lineRule="exact"/>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761,759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28"/>
              <w:spacing w:after="0" w:line="164" w:lineRule="exact"/>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554,499</w:t>
            </w:r>
          </w:p>
        </w:tc>
        <w:tc>
          <w:tcPr>
            <w:tcW w:w="0" w:type="dxa"/>
            <w:vAlign w:val="bottom"/>
          </w:tcPr>
          <w:p>
            <w:pPr>
              <w:spacing w:after="0"/>
              <w:rPr>
                <w:sz w:val="1"/>
                <w:szCs w:val="1"/>
                <w:color w:val="auto"/>
              </w:rPr>
            </w:pPr>
          </w:p>
        </w:tc>
      </w:tr>
      <w:tr>
        <w:trPr>
          <w:trHeight w:val="170"/>
        </w:trPr>
        <w:tc>
          <w:tcPr>
            <w:tcW w:w="4220" w:type="dxa"/>
            <w:vAlign w:val="bottom"/>
          </w:tcPr>
          <w:p>
            <w:pPr>
              <w:ind w:left="140"/>
              <w:spacing w:after="0"/>
              <w:rPr>
                <w:sz w:val="20"/>
                <w:szCs w:val="20"/>
                <w:color w:val="auto"/>
              </w:rPr>
            </w:pPr>
            <w:r>
              <w:rPr>
                <w:rFonts w:ascii="Calibri" w:cs="Calibri" w:eastAsia="Calibri" w:hAnsi="Calibri"/>
                <w:sz w:val="14"/>
                <w:szCs w:val="14"/>
                <w:color w:val="auto"/>
              </w:rPr>
              <w:t>Stock based compensaton expense</w:t>
            </w:r>
          </w:p>
        </w:tc>
        <w:tc>
          <w:tcPr>
            <w:tcW w:w="10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Calibri" w:cs="Calibri" w:eastAsia="Calibri" w:hAnsi="Calibri"/>
                <w:sz w:val="14"/>
                <w:szCs w:val="14"/>
                <w:color w:val="auto"/>
              </w:rPr>
              <w:t>(81,874)</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Calibri" w:cs="Calibri" w:eastAsia="Calibri" w:hAnsi="Calibri"/>
                <w:sz w:val="14"/>
                <w:szCs w:val="14"/>
                <w:color w:val="auto"/>
              </w:rPr>
              <w:t>(52,388)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(224,467)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(143,754)</w:t>
            </w: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Amortzaton of acquired intangible assets</w:t>
            </w:r>
          </w:p>
        </w:tc>
        <w:tc>
          <w:tcPr>
            <w:tcW w:w="10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10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(468)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(468)</w:t>
            </w:r>
          </w:p>
        </w:tc>
        <w:tc>
          <w:tcPr>
            <w:tcW w:w="0" w:type="dxa"/>
            <w:vAlign w:val="bottom"/>
          </w:tcPr>
          <w:p>
            <w:pPr>
              <w:spacing w:after="0"/>
              <w:rPr>
                <w:sz w:val="1"/>
                <w:szCs w:val="1"/>
                <w:color w:val="auto"/>
              </w:rPr>
            </w:pPr>
          </w:p>
        </w:tc>
      </w:tr>
      <w:tr>
        <w:trPr>
          <w:trHeight w:val="170"/>
        </w:trPr>
        <w:tc>
          <w:tcPr>
            <w:tcW w:w="4220" w:type="dxa"/>
            <w:vAlign w:val="bottom"/>
          </w:tcPr>
          <w:p>
            <w:pPr>
              <w:ind w:left="140"/>
              <w:spacing w:after="0"/>
              <w:rPr>
                <w:sz w:val="20"/>
                <w:szCs w:val="20"/>
                <w:color w:val="auto"/>
              </w:rPr>
            </w:pPr>
            <w:r>
              <w:rPr>
                <w:rFonts w:ascii="Calibri" w:cs="Calibri" w:eastAsia="Calibri" w:hAnsi="Calibri"/>
                <w:sz w:val="14"/>
                <w:szCs w:val="14"/>
                <w:color w:val="auto"/>
              </w:rPr>
              <w:t>Acquisiton-related expenses, net</w:t>
            </w:r>
          </w:p>
        </w:tc>
        <w:tc>
          <w:tcPr>
            <w:tcW w:w="10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0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Calibri" w:cs="Calibri" w:eastAsia="Calibri" w:hAnsi="Calibri"/>
                <w:sz w:val="14"/>
                <w:szCs w:val="14"/>
                <w:color w:val="auto"/>
              </w:rPr>
              <w:t>(379)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(477)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(750)</w:t>
            </w: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Mark-to-market adjustments on deferred compensaton liabilites</w:t>
            </w:r>
          </w:p>
        </w:tc>
        <w:tc>
          <w:tcPr>
            <w:tcW w:w="10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(56)</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34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(202)</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20</w:t>
            </w:r>
          </w:p>
        </w:tc>
        <w:tc>
          <w:tcPr>
            <w:tcW w:w="0" w:type="dxa"/>
            <w:vAlign w:val="bottom"/>
          </w:tcPr>
          <w:p>
            <w:pPr>
              <w:spacing w:after="0"/>
              <w:rPr>
                <w:sz w:val="1"/>
                <w:szCs w:val="1"/>
                <w:color w:val="auto"/>
              </w:rPr>
            </w:pPr>
          </w:p>
        </w:tc>
      </w:tr>
      <w:tr>
        <w:trPr>
          <w:trHeight w:val="170"/>
        </w:trPr>
        <w:tc>
          <w:tcPr>
            <w:tcW w:w="4220" w:type="dxa"/>
            <w:vAlign w:val="bottom"/>
          </w:tcPr>
          <w:p>
            <w:pPr>
              <w:ind w:left="140"/>
              <w:spacing w:after="0"/>
              <w:rPr>
                <w:sz w:val="20"/>
                <w:szCs w:val="20"/>
                <w:color w:val="auto"/>
              </w:rPr>
            </w:pPr>
            <w:r>
              <w:rPr>
                <w:rFonts w:ascii="Calibri" w:cs="Calibri" w:eastAsia="Calibri" w:hAnsi="Calibri"/>
                <w:sz w:val="14"/>
                <w:szCs w:val="14"/>
                <w:color w:val="auto"/>
              </w:rPr>
              <w:t>July 19 Incident related costs, net</w:t>
            </w:r>
          </w:p>
        </w:tc>
        <w:tc>
          <w:tcPr>
            <w:tcW w:w="10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Calibri" w:cs="Calibri" w:eastAsia="Calibri" w:hAnsi="Calibri"/>
                <w:sz w:val="14"/>
                <w:szCs w:val="14"/>
                <w:color w:val="auto"/>
              </w:rPr>
              <w:t>(3,549)</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(4,550)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33"/>
        </w:trPr>
        <w:tc>
          <w:tcPr>
            <w:tcW w:w="4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220" w:type="dxa"/>
            <w:vAlign w:val="bottom"/>
            <w:tcBorders>
              <w:bottom w:val="single" w:sz="8" w:color="CCEEFF"/>
            </w:tcBorders>
            <w:shd w:val="clear" w:color="auto" w:fill="CCEEFF"/>
          </w:tcPr>
          <w:p>
            <w:pPr>
              <w:ind w:left="20"/>
              <w:spacing w:after="0" w:line="150" w:lineRule="exact"/>
              <w:rPr>
                <w:sz w:val="20"/>
                <w:szCs w:val="20"/>
                <w:color w:val="auto"/>
              </w:rPr>
            </w:pPr>
            <w:r>
              <w:rPr>
                <w:rFonts w:ascii="Calibri" w:cs="Calibri" w:eastAsia="Calibri" w:hAnsi="Calibri"/>
                <w:sz w:val="14"/>
                <w:szCs w:val="14"/>
                <w:color w:val="auto"/>
              </w:rPr>
              <w:t>Non-GAAP research and development operatng expenses</w:t>
            </w:r>
          </w:p>
        </w:tc>
        <w:tc>
          <w:tcPr>
            <w:tcW w:w="1020" w:type="dxa"/>
            <w:vAlign w:val="bottom"/>
            <w:tcBorders>
              <w:bottom w:val="single" w:sz="8" w:color="CCEEFF"/>
            </w:tcBorders>
            <w:shd w:val="clear" w:color="auto" w:fill="CCEEFF"/>
          </w:tcPr>
          <w:p>
            <w:pPr>
              <w:jc w:val="right"/>
              <w:ind w:right="84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190,123</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4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142,871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28"/>
              <w:spacing w:after="0" w:line="164" w:lineRule="exact"/>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532,063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28"/>
              <w:spacing w:after="0" w:line="164" w:lineRule="exact"/>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409,547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220" w:type="dxa"/>
            <w:vAlign w:val="bottom"/>
            <w:shd w:val="clear" w:color="auto" w:fill="CCEEFF"/>
          </w:tcPr>
          <w:p>
            <w:pPr>
              <w:ind w:left="20"/>
              <w:spacing w:after="0" w:line="122" w:lineRule="exact"/>
              <w:rPr>
                <w:sz w:val="20"/>
                <w:szCs w:val="20"/>
                <w:color w:val="auto"/>
              </w:rPr>
            </w:pPr>
            <w:r>
              <w:rPr>
                <w:rFonts w:ascii="Calibri" w:cs="Calibri" w:eastAsia="Calibri" w:hAnsi="Calibri"/>
                <w:sz w:val="13"/>
                <w:szCs w:val="13"/>
                <w:color w:val="auto"/>
              </w:rPr>
              <w:t>GAAP research and development operatng expenses as a percentage</w:t>
            </w:r>
          </w:p>
        </w:tc>
        <w:tc>
          <w:tcPr>
            <w:tcW w:w="10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27 %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25 %</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26 %</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25 %</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of revenue</w:t>
            </w:r>
          </w:p>
        </w:tc>
        <w:tc>
          <w:tcPr>
            <w:tcW w:w="10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220" w:type="dxa"/>
            <w:vAlign w:val="bottom"/>
          </w:tcPr>
          <w:p>
            <w:pPr>
              <w:ind w:left="20"/>
              <w:spacing w:after="0" w:line="122" w:lineRule="exact"/>
              <w:rPr>
                <w:sz w:val="20"/>
                <w:szCs w:val="20"/>
                <w:color w:val="auto"/>
              </w:rPr>
            </w:pPr>
            <w:r>
              <w:rPr>
                <w:rFonts w:ascii="Calibri" w:cs="Calibri" w:eastAsia="Calibri" w:hAnsi="Calibri"/>
                <w:sz w:val="13"/>
                <w:szCs w:val="13"/>
                <w:color w:val="auto"/>
              </w:rPr>
              <w:t>Non-GAAP research and development operatng expenses as a</w:t>
            </w:r>
          </w:p>
        </w:tc>
        <w:tc>
          <w:tcPr>
            <w:tcW w:w="10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Calibri" w:cs="Calibri" w:eastAsia="Calibri" w:hAnsi="Calibri"/>
                <w:sz w:val="14"/>
                <w:szCs w:val="14"/>
                <w:color w:val="auto"/>
              </w:rPr>
              <w:t>19 %</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Calibri" w:cs="Calibri" w:eastAsia="Calibri" w:hAnsi="Calibri"/>
                <w:sz w:val="14"/>
                <w:szCs w:val="14"/>
                <w:color w:val="auto"/>
              </w:rPr>
              <w:t>18 %</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Calibri" w:cs="Calibri" w:eastAsia="Calibri" w:hAnsi="Calibri"/>
                <w:sz w:val="14"/>
                <w:szCs w:val="14"/>
                <w:color w:val="auto"/>
              </w:rPr>
              <w:t>18 %</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Calibri" w:cs="Calibri" w:eastAsia="Calibri" w:hAnsi="Calibri"/>
                <w:sz w:val="14"/>
                <w:szCs w:val="14"/>
                <w:color w:val="auto"/>
              </w:rPr>
              <w:t>19 %</w:t>
            </w:r>
          </w:p>
        </w:tc>
        <w:tc>
          <w:tcPr>
            <w:tcW w:w="0" w:type="dxa"/>
            <w:vAlign w:val="bottom"/>
          </w:tcPr>
          <w:p>
            <w:pPr>
              <w:spacing w:after="0"/>
              <w:rPr>
                <w:sz w:val="1"/>
                <w:szCs w:val="1"/>
                <w:color w:val="auto"/>
              </w:rPr>
            </w:pPr>
          </w:p>
        </w:tc>
      </w:tr>
      <w:tr>
        <w:trPr>
          <w:trHeight w:val="170"/>
        </w:trPr>
        <w:tc>
          <w:tcPr>
            <w:tcW w:w="4220" w:type="dxa"/>
            <w:vAlign w:val="bottom"/>
          </w:tcPr>
          <w:p>
            <w:pPr>
              <w:ind w:left="20"/>
              <w:spacing w:after="0"/>
              <w:rPr>
                <w:sz w:val="20"/>
                <w:szCs w:val="20"/>
                <w:color w:val="auto"/>
              </w:rPr>
            </w:pPr>
            <w:r>
              <w:rPr>
                <w:rFonts w:ascii="Calibri" w:cs="Calibri" w:eastAsia="Calibri" w:hAnsi="Calibri"/>
                <w:sz w:val="14"/>
                <w:szCs w:val="14"/>
                <w:color w:val="auto"/>
              </w:rPr>
              <w:t>percentage of revenue</w:t>
            </w:r>
          </w:p>
        </w:tc>
        <w:tc>
          <w:tcPr>
            <w:tcW w:w="10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20"/>
              <w:spacing w:after="0"/>
              <w:rPr>
                <w:sz w:val="20"/>
                <w:szCs w:val="20"/>
                <w:color w:val="auto"/>
              </w:rPr>
            </w:pPr>
            <w:r>
              <w:rPr>
                <w:rFonts w:ascii="Calibri" w:cs="Calibri" w:eastAsia="Calibri" w:hAnsi="Calibri"/>
                <w:sz w:val="14"/>
                <w:szCs w:val="14"/>
                <w:color w:val="auto"/>
              </w:rPr>
              <w:t>GAAP general and administratve operatng expenses</w:t>
            </w:r>
          </w:p>
        </w:tc>
        <w:tc>
          <w:tcPr>
            <w:tcW w:w="1020" w:type="dxa"/>
            <w:vAlign w:val="bottom"/>
          </w:tcPr>
          <w:p>
            <w:pPr>
              <w:jc w:val="right"/>
              <w:ind w:right="84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ind w:right="88"/>
              <w:spacing w:after="0"/>
              <w:rPr>
                <w:sz w:val="20"/>
                <w:szCs w:val="20"/>
                <w:color w:val="auto"/>
              </w:rPr>
            </w:pPr>
            <w:r>
              <w:rPr>
                <w:rFonts w:ascii="Calibri" w:cs="Calibri" w:eastAsia="Calibri" w:hAnsi="Calibri"/>
                <w:sz w:val="14"/>
                <w:szCs w:val="14"/>
                <w:color w:val="auto"/>
              </w:rPr>
              <w:t>126,945</w:t>
            </w:r>
          </w:p>
        </w:tc>
        <w:tc>
          <w:tcPr>
            <w:tcW w:w="100" w:type="dxa"/>
            <w:vAlign w:val="bottom"/>
          </w:tcPr>
          <w:p>
            <w:pPr>
              <w:spacing w:after="0"/>
              <w:rPr>
                <w:sz w:val="14"/>
                <w:szCs w:val="14"/>
                <w:color w:val="auto"/>
              </w:rPr>
            </w:pPr>
          </w:p>
        </w:tc>
        <w:tc>
          <w:tcPr>
            <w:tcW w:w="1020" w:type="dxa"/>
            <w:vAlign w:val="bottom"/>
          </w:tcPr>
          <w:p>
            <w:pPr>
              <w:jc w:val="right"/>
              <w:ind w:right="84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ind w:right="88"/>
              <w:spacing w:after="0"/>
              <w:rPr>
                <w:sz w:val="20"/>
                <w:szCs w:val="20"/>
                <w:color w:val="auto"/>
              </w:rPr>
            </w:pPr>
            <w:r>
              <w:rPr>
                <w:rFonts w:ascii="Calibri" w:cs="Calibri" w:eastAsia="Calibri" w:hAnsi="Calibri"/>
                <w:sz w:val="14"/>
                <w:szCs w:val="14"/>
                <w:color w:val="auto"/>
              </w:rPr>
              <w:t>105,589</w:t>
            </w:r>
          </w:p>
        </w:tc>
        <w:tc>
          <w:tcPr>
            <w:tcW w:w="100" w:type="dxa"/>
            <w:vAlign w:val="bottom"/>
          </w:tcPr>
          <w:p>
            <w:pPr>
              <w:spacing w:after="0"/>
              <w:rPr>
                <w:sz w:val="14"/>
                <w:szCs w:val="14"/>
                <w:color w:val="auto"/>
              </w:rPr>
            </w:pPr>
          </w:p>
        </w:tc>
        <w:tc>
          <w:tcPr>
            <w:tcW w:w="380" w:type="dxa"/>
            <w:vAlign w:val="bottom"/>
          </w:tcPr>
          <w:p>
            <w:pPr>
              <w:jc w:val="right"/>
              <w:ind w:right="228"/>
              <w:spacing w:after="0"/>
              <w:rPr>
                <w:sz w:val="20"/>
                <w:szCs w:val="20"/>
                <w:color w:val="auto"/>
              </w:rPr>
            </w:pPr>
            <w:r>
              <w:rPr>
                <w:rFonts w:ascii="Calibri" w:cs="Calibri" w:eastAsia="Calibri" w:hAnsi="Calibri"/>
                <w:sz w:val="14"/>
                <w:szCs w:val="14"/>
                <w:color w:val="auto"/>
                <w:w w:val="83"/>
              </w:rPr>
              <w:t>$</w:t>
            </w: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337,113</w:t>
            </w:r>
          </w:p>
        </w:tc>
        <w:tc>
          <w:tcPr>
            <w:tcW w:w="100" w:type="dxa"/>
            <w:vAlign w:val="bottom"/>
          </w:tcPr>
          <w:p>
            <w:pPr>
              <w:spacing w:after="0"/>
              <w:rPr>
                <w:sz w:val="14"/>
                <w:szCs w:val="14"/>
                <w:color w:val="auto"/>
              </w:rPr>
            </w:pPr>
          </w:p>
        </w:tc>
        <w:tc>
          <w:tcPr>
            <w:tcW w:w="380" w:type="dxa"/>
            <w:vAlign w:val="bottom"/>
          </w:tcPr>
          <w:p>
            <w:pPr>
              <w:jc w:val="right"/>
              <w:ind w:right="228"/>
              <w:spacing w:after="0"/>
              <w:rPr>
                <w:sz w:val="20"/>
                <w:szCs w:val="20"/>
                <w:color w:val="auto"/>
              </w:rPr>
            </w:pPr>
            <w:r>
              <w:rPr>
                <w:rFonts w:ascii="Calibri" w:cs="Calibri" w:eastAsia="Calibri" w:hAnsi="Calibri"/>
                <w:sz w:val="14"/>
                <w:szCs w:val="14"/>
                <w:color w:val="auto"/>
                <w:w w:val="83"/>
              </w:rPr>
              <w:t>$</w:t>
            </w: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290,027</w:t>
            </w: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Stock based compensaton expense</w:t>
            </w:r>
          </w:p>
        </w:tc>
        <w:tc>
          <w:tcPr>
            <w:tcW w:w="10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(44,652)</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(47,560)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(132,133)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(135,173)</w:t>
            </w:r>
          </w:p>
        </w:tc>
        <w:tc>
          <w:tcPr>
            <w:tcW w:w="0" w:type="dxa"/>
            <w:vAlign w:val="bottom"/>
          </w:tcPr>
          <w:p>
            <w:pPr>
              <w:spacing w:after="0"/>
              <w:rPr>
                <w:sz w:val="1"/>
                <w:szCs w:val="1"/>
                <w:color w:val="auto"/>
              </w:rPr>
            </w:pPr>
          </w:p>
        </w:tc>
      </w:tr>
      <w:tr>
        <w:trPr>
          <w:trHeight w:val="170"/>
        </w:trPr>
        <w:tc>
          <w:tcPr>
            <w:tcW w:w="4220" w:type="dxa"/>
            <w:vAlign w:val="bottom"/>
          </w:tcPr>
          <w:p>
            <w:pPr>
              <w:ind w:left="140"/>
              <w:spacing w:after="0"/>
              <w:rPr>
                <w:sz w:val="20"/>
                <w:szCs w:val="20"/>
                <w:color w:val="auto"/>
              </w:rPr>
            </w:pPr>
            <w:r>
              <w:rPr>
                <w:rFonts w:ascii="Calibri" w:cs="Calibri" w:eastAsia="Calibri" w:hAnsi="Calibri"/>
                <w:sz w:val="14"/>
                <w:szCs w:val="14"/>
                <w:color w:val="auto"/>
              </w:rPr>
              <w:t>Acquisiton-related expenses, net</w:t>
            </w:r>
          </w:p>
        </w:tc>
        <w:tc>
          <w:tcPr>
            <w:tcW w:w="10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Calibri" w:cs="Calibri" w:eastAsia="Calibri" w:hAnsi="Calibri"/>
                <w:sz w:val="14"/>
                <w:szCs w:val="14"/>
                <w:color w:val="auto"/>
              </w:rPr>
              <w:t>(1,393)</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Calibri" w:cs="Calibri" w:eastAsia="Calibri" w:hAnsi="Calibri"/>
                <w:sz w:val="14"/>
                <w:szCs w:val="14"/>
                <w:color w:val="auto"/>
              </w:rPr>
              <w:t>(3,277)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(4,075)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(3,204)</w:t>
            </w: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Amortzaton of acquired intangible assets</w:t>
            </w:r>
          </w:p>
        </w:tc>
        <w:tc>
          <w:tcPr>
            <w:tcW w:w="10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(341)</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(83)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(1,034)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(221)</w:t>
            </w:r>
          </w:p>
        </w:tc>
        <w:tc>
          <w:tcPr>
            <w:tcW w:w="0" w:type="dxa"/>
            <w:vAlign w:val="bottom"/>
          </w:tcPr>
          <w:p>
            <w:pPr>
              <w:spacing w:after="0"/>
              <w:rPr>
                <w:sz w:val="1"/>
                <w:szCs w:val="1"/>
                <w:color w:val="auto"/>
              </w:rPr>
            </w:pPr>
          </w:p>
        </w:tc>
      </w:tr>
      <w:tr>
        <w:trPr>
          <w:trHeight w:val="170"/>
        </w:trPr>
        <w:tc>
          <w:tcPr>
            <w:tcW w:w="4220" w:type="dxa"/>
            <w:vAlign w:val="bottom"/>
          </w:tcPr>
          <w:p>
            <w:pPr>
              <w:ind w:left="140"/>
              <w:spacing w:after="0"/>
              <w:rPr>
                <w:sz w:val="20"/>
                <w:szCs w:val="20"/>
                <w:color w:val="auto"/>
              </w:rPr>
            </w:pPr>
            <w:r>
              <w:rPr>
                <w:rFonts w:ascii="Calibri" w:cs="Calibri" w:eastAsia="Calibri" w:hAnsi="Calibri"/>
                <w:sz w:val="14"/>
                <w:szCs w:val="14"/>
                <w:color w:val="auto"/>
              </w:rPr>
              <w:t>Mark-to-market adjustments on deferred compensaton liabilites</w:t>
            </w:r>
          </w:p>
        </w:tc>
        <w:tc>
          <w:tcPr>
            <w:tcW w:w="10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Calibri" w:cs="Calibri" w:eastAsia="Calibri" w:hAnsi="Calibri"/>
                <w:sz w:val="14"/>
                <w:szCs w:val="14"/>
                <w:color w:val="auto"/>
              </w:rPr>
              <w:t>(6)</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Calibri" w:cs="Calibri" w:eastAsia="Calibri" w:hAnsi="Calibri"/>
                <w:sz w:val="14"/>
                <w:szCs w:val="14"/>
                <w:color w:val="auto"/>
              </w:rPr>
              <w:t>15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(27)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8</w:t>
            </w: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Legal reserve and setlement charges</w:t>
            </w:r>
          </w:p>
        </w:tc>
        <w:tc>
          <w:tcPr>
            <w:tcW w:w="10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10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(4,700)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(6,797)</w:t>
            </w:r>
          </w:p>
        </w:tc>
        <w:tc>
          <w:tcPr>
            <w:tcW w:w="0" w:type="dxa"/>
            <w:vAlign w:val="bottom"/>
          </w:tcPr>
          <w:p>
            <w:pPr>
              <w:spacing w:after="0"/>
              <w:rPr>
                <w:sz w:val="1"/>
                <w:szCs w:val="1"/>
                <w:color w:val="auto"/>
              </w:rPr>
            </w:pPr>
          </w:p>
        </w:tc>
      </w:tr>
      <w:tr>
        <w:trPr>
          <w:trHeight w:val="170"/>
        </w:trPr>
        <w:tc>
          <w:tcPr>
            <w:tcW w:w="4220" w:type="dxa"/>
            <w:vAlign w:val="bottom"/>
          </w:tcPr>
          <w:p>
            <w:pPr>
              <w:ind w:left="140"/>
              <w:spacing w:after="0"/>
              <w:rPr>
                <w:sz w:val="20"/>
                <w:szCs w:val="20"/>
                <w:color w:val="auto"/>
              </w:rPr>
            </w:pPr>
            <w:r>
              <w:rPr>
                <w:rFonts w:ascii="Calibri" w:cs="Calibri" w:eastAsia="Calibri" w:hAnsi="Calibri"/>
                <w:sz w:val="14"/>
                <w:szCs w:val="14"/>
                <w:color w:val="auto"/>
              </w:rPr>
              <w:t>July 19 Incident related costs, net</w:t>
            </w:r>
          </w:p>
        </w:tc>
        <w:tc>
          <w:tcPr>
            <w:tcW w:w="10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Calibri" w:cs="Calibri" w:eastAsia="Calibri" w:hAnsi="Calibri"/>
                <w:sz w:val="14"/>
                <w:szCs w:val="14"/>
                <w:color w:val="auto"/>
              </w:rPr>
              <w:t>(15,284)</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(16,322)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33"/>
        </w:trPr>
        <w:tc>
          <w:tcPr>
            <w:tcW w:w="4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220" w:type="dxa"/>
            <w:vAlign w:val="bottom"/>
            <w:tcBorders>
              <w:bottom w:val="single" w:sz="8" w:color="CCEEFF"/>
            </w:tcBorders>
            <w:shd w:val="clear" w:color="auto" w:fill="CCEEFF"/>
          </w:tcPr>
          <w:p>
            <w:pPr>
              <w:ind w:left="20"/>
              <w:spacing w:after="0" w:line="150" w:lineRule="exact"/>
              <w:rPr>
                <w:sz w:val="20"/>
                <w:szCs w:val="20"/>
                <w:color w:val="auto"/>
              </w:rPr>
            </w:pPr>
            <w:r>
              <w:rPr>
                <w:rFonts w:ascii="Calibri" w:cs="Calibri" w:eastAsia="Calibri" w:hAnsi="Calibri"/>
                <w:sz w:val="14"/>
                <w:szCs w:val="14"/>
                <w:color w:val="auto"/>
              </w:rPr>
              <w:t>Non-GAAP general and administratve operatng expenses</w:t>
            </w:r>
          </w:p>
        </w:tc>
        <w:tc>
          <w:tcPr>
            <w:tcW w:w="1020" w:type="dxa"/>
            <w:vAlign w:val="bottom"/>
            <w:tcBorders>
              <w:bottom w:val="single" w:sz="8" w:color="CCEEFF"/>
            </w:tcBorders>
            <w:shd w:val="clear" w:color="auto" w:fill="CCEEFF"/>
          </w:tcPr>
          <w:p>
            <w:pPr>
              <w:jc w:val="right"/>
              <w:ind w:right="84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65,269</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4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49,984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28"/>
              <w:spacing w:after="0" w:line="164" w:lineRule="exact"/>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183,522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28"/>
              <w:spacing w:after="0" w:line="164" w:lineRule="exact"/>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144,640</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220" w:type="dxa"/>
            <w:vAlign w:val="bottom"/>
            <w:shd w:val="clear" w:color="auto" w:fill="CCEEFF"/>
          </w:tcPr>
          <w:p>
            <w:pPr>
              <w:ind w:left="20"/>
              <w:spacing w:after="0" w:line="122" w:lineRule="exact"/>
              <w:rPr>
                <w:sz w:val="20"/>
                <w:szCs w:val="20"/>
                <w:color w:val="auto"/>
              </w:rPr>
            </w:pPr>
            <w:r>
              <w:rPr>
                <w:rFonts w:ascii="Calibri" w:cs="Calibri" w:eastAsia="Calibri" w:hAnsi="Calibri"/>
                <w:sz w:val="13"/>
                <w:szCs w:val="13"/>
                <w:color w:val="auto"/>
              </w:rPr>
              <w:t>GAAP general and administratve operatng expenses as a percentage</w:t>
            </w:r>
          </w:p>
        </w:tc>
        <w:tc>
          <w:tcPr>
            <w:tcW w:w="10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13 %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13 %</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12 %</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13 %</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of revenue</w:t>
            </w:r>
          </w:p>
        </w:tc>
        <w:tc>
          <w:tcPr>
            <w:tcW w:w="10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220" w:type="dxa"/>
            <w:vAlign w:val="bottom"/>
          </w:tcPr>
          <w:p>
            <w:pPr>
              <w:ind w:left="20"/>
              <w:spacing w:after="0" w:line="122" w:lineRule="exact"/>
              <w:rPr>
                <w:sz w:val="20"/>
                <w:szCs w:val="20"/>
                <w:color w:val="auto"/>
              </w:rPr>
            </w:pPr>
            <w:r>
              <w:rPr>
                <w:rFonts w:ascii="Calibri" w:cs="Calibri" w:eastAsia="Calibri" w:hAnsi="Calibri"/>
                <w:sz w:val="13"/>
                <w:szCs w:val="13"/>
                <w:color w:val="auto"/>
              </w:rPr>
              <w:t>Non-GAAP general and administratve operatng expenses as a</w:t>
            </w:r>
          </w:p>
        </w:tc>
        <w:tc>
          <w:tcPr>
            <w:tcW w:w="10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Calibri" w:cs="Calibri" w:eastAsia="Calibri" w:hAnsi="Calibri"/>
                <w:sz w:val="14"/>
                <w:szCs w:val="14"/>
                <w:color w:val="auto"/>
              </w:rPr>
              <w:t>6 %</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Calibri" w:cs="Calibri" w:eastAsia="Calibri" w:hAnsi="Calibri"/>
                <w:sz w:val="14"/>
                <w:szCs w:val="14"/>
                <w:color w:val="auto"/>
              </w:rPr>
              <w:t>6 %</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Calibri" w:cs="Calibri" w:eastAsia="Calibri" w:hAnsi="Calibri"/>
                <w:sz w:val="14"/>
                <w:szCs w:val="14"/>
                <w:color w:val="auto"/>
              </w:rPr>
              <w:t>6 %</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Calibri" w:cs="Calibri" w:eastAsia="Calibri" w:hAnsi="Calibri"/>
                <w:sz w:val="14"/>
                <w:szCs w:val="14"/>
                <w:color w:val="auto"/>
              </w:rPr>
              <w:t>7 %</w:t>
            </w:r>
          </w:p>
        </w:tc>
        <w:tc>
          <w:tcPr>
            <w:tcW w:w="0" w:type="dxa"/>
            <w:vAlign w:val="bottom"/>
          </w:tcPr>
          <w:p>
            <w:pPr>
              <w:spacing w:after="0"/>
              <w:rPr>
                <w:sz w:val="1"/>
                <w:szCs w:val="1"/>
                <w:color w:val="auto"/>
              </w:rPr>
            </w:pPr>
          </w:p>
        </w:tc>
      </w:tr>
      <w:tr>
        <w:trPr>
          <w:trHeight w:val="170"/>
        </w:trPr>
        <w:tc>
          <w:tcPr>
            <w:tcW w:w="4220" w:type="dxa"/>
            <w:vAlign w:val="bottom"/>
          </w:tcPr>
          <w:p>
            <w:pPr>
              <w:ind w:left="20"/>
              <w:spacing w:after="0"/>
              <w:rPr>
                <w:sz w:val="20"/>
                <w:szCs w:val="20"/>
                <w:color w:val="auto"/>
              </w:rPr>
            </w:pPr>
            <w:r>
              <w:rPr>
                <w:rFonts w:ascii="Calibri" w:cs="Calibri" w:eastAsia="Calibri" w:hAnsi="Calibri"/>
                <w:sz w:val="14"/>
                <w:szCs w:val="14"/>
                <w:color w:val="auto"/>
              </w:rPr>
              <w:t>percentage of revenue</w:t>
            </w:r>
          </w:p>
        </w:tc>
        <w:tc>
          <w:tcPr>
            <w:tcW w:w="10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20"/>
              <w:spacing w:after="0"/>
              <w:rPr>
                <w:sz w:val="20"/>
                <w:szCs w:val="20"/>
                <w:color w:val="auto"/>
              </w:rPr>
            </w:pPr>
            <w:r>
              <w:rPr>
                <w:rFonts w:ascii="Calibri" w:cs="Calibri" w:eastAsia="Calibri" w:hAnsi="Calibri"/>
                <w:sz w:val="14"/>
                <w:szCs w:val="14"/>
                <w:color w:val="auto"/>
              </w:rPr>
              <w:t>GAAP income (loss) from operatons</w:t>
            </w:r>
          </w:p>
        </w:tc>
        <w:tc>
          <w:tcPr>
            <w:tcW w:w="1020" w:type="dxa"/>
            <w:vAlign w:val="bottom"/>
          </w:tcPr>
          <w:p>
            <w:pPr>
              <w:jc w:val="right"/>
              <w:ind w:right="84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ind w:right="48"/>
              <w:spacing w:after="0"/>
              <w:rPr>
                <w:sz w:val="20"/>
                <w:szCs w:val="20"/>
                <w:color w:val="auto"/>
              </w:rPr>
            </w:pPr>
            <w:r>
              <w:rPr>
                <w:rFonts w:ascii="Calibri" w:cs="Calibri" w:eastAsia="Calibri" w:hAnsi="Calibri"/>
                <w:sz w:val="14"/>
                <w:szCs w:val="14"/>
                <w:color w:val="auto"/>
              </w:rPr>
              <w:t>(55,723)</w:t>
            </w:r>
          </w:p>
        </w:tc>
        <w:tc>
          <w:tcPr>
            <w:tcW w:w="100" w:type="dxa"/>
            <w:vAlign w:val="bottom"/>
          </w:tcPr>
          <w:p>
            <w:pPr>
              <w:spacing w:after="0"/>
              <w:rPr>
                <w:sz w:val="14"/>
                <w:szCs w:val="14"/>
                <w:color w:val="auto"/>
              </w:rPr>
            </w:pPr>
          </w:p>
        </w:tc>
        <w:tc>
          <w:tcPr>
            <w:tcW w:w="1020" w:type="dxa"/>
            <w:vAlign w:val="bottom"/>
          </w:tcPr>
          <w:p>
            <w:pPr>
              <w:jc w:val="right"/>
              <w:ind w:right="84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ind w:right="88"/>
              <w:spacing w:after="0"/>
              <w:rPr>
                <w:sz w:val="20"/>
                <w:szCs w:val="20"/>
                <w:color w:val="auto"/>
              </w:rPr>
            </w:pPr>
            <w:r>
              <w:rPr>
                <w:rFonts w:ascii="Calibri" w:cs="Calibri" w:eastAsia="Calibri" w:hAnsi="Calibri"/>
                <w:sz w:val="14"/>
                <w:szCs w:val="14"/>
                <w:color w:val="auto"/>
              </w:rPr>
              <w:t>3,163</w:t>
            </w:r>
          </w:p>
        </w:tc>
        <w:tc>
          <w:tcPr>
            <w:tcW w:w="100" w:type="dxa"/>
            <w:vAlign w:val="bottom"/>
          </w:tcPr>
          <w:p>
            <w:pPr>
              <w:spacing w:after="0"/>
              <w:rPr>
                <w:sz w:val="14"/>
                <w:szCs w:val="14"/>
                <w:color w:val="auto"/>
              </w:rPr>
            </w:pPr>
          </w:p>
        </w:tc>
        <w:tc>
          <w:tcPr>
            <w:tcW w:w="380" w:type="dxa"/>
            <w:vAlign w:val="bottom"/>
          </w:tcPr>
          <w:p>
            <w:pPr>
              <w:jc w:val="right"/>
              <w:ind w:right="228"/>
              <w:spacing w:after="0"/>
              <w:rPr>
                <w:sz w:val="20"/>
                <w:szCs w:val="20"/>
                <w:color w:val="auto"/>
              </w:rPr>
            </w:pPr>
            <w:r>
              <w:rPr>
                <w:rFonts w:ascii="Calibri" w:cs="Calibri" w:eastAsia="Calibri" w:hAnsi="Calibri"/>
                <w:sz w:val="14"/>
                <w:szCs w:val="14"/>
                <w:color w:val="auto"/>
                <w:w w:val="83"/>
              </w:rPr>
              <w:t>$</w:t>
            </w: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(35,129)</w:t>
            </w:r>
          </w:p>
        </w:tc>
        <w:tc>
          <w:tcPr>
            <w:tcW w:w="100" w:type="dxa"/>
            <w:vAlign w:val="bottom"/>
          </w:tcPr>
          <w:p>
            <w:pPr>
              <w:spacing w:after="0"/>
              <w:rPr>
                <w:sz w:val="14"/>
                <w:szCs w:val="14"/>
                <w:color w:val="auto"/>
              </w:rPr>
            </w:pPr>
          </w:p>
        </w:tc>
        <w:tc>
          <w:tcPr>
            <w:tcW w:w="380" w:type="dxa"/>
            <w:vAlign w:val="bottom"/>
          </w:tcPr>
          <w:p>
            <w:pPr>
              <w:jc w:val="right"/>
              <w:ind w:right="228"/>
              <w:spacing w:after="0"/>
              <w:rPr>
                <w:sz w:val="20"/>
                <w:szCs w:val="20"/>
                <w:color w:val="auto"/>
              </w:rPr>
            </w:pPr>
            <w:r>
              <w:rPr>
                <w:rFonts w:ascii="Calibri" w:cs="Calibri" w:eastAsia="Calibri" w:hAnsi="Calibri"/>
                <w:sz w:val="14"/>
                <w:szCs w:val="14"/>
                <w:color w:val="auto"/>
                <w:w w:val="83"/>
              </w:rPr>
              <w:t>$</w:t>
            </w: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(31,666)</w:t>
            </w: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Stock based compensaton expense</w:t>
            </w:r>
          </w:p>
        </w:tc>
        <w:tc>
          <w:tcPr>
            <w:tcW w:w="10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208,888</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159,614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592,890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455,247</w:t>
            </w:r>
          </w:p>
        </w:tc>
        <w:tc>
          <w:tcPr>
            <w:tcW w:w="0" w:type="dxa"/>
            <w:vAlign w:val="bottom"/>
          </w:tcPr>
          <w:p>
            <w:pPr>
              <w:spacing w:after="0"/>
              <w:rPr>
                <w:sz w:val="1"/>
                <w:szCs w:val="1"/>
                <w:color w:val="auto"/>
              </w:rPr>
            </w:pPr>
          </w:p>
        </w:tc>
      </w:tr>
      <w:tr>
        <w:trPr>
          <w:trHeight w:val="170"/>
        </w:trPr>
        <w:tc>
          <w:tcPr>
            <w:tcW w:w="4220" w:type="dxa"/>
            <w:vAlign w:val="bottom"/>
          </w:tcPr>
          <w:p>
            <w:pPr>
              <w:ind w:left="140"/>
              <w:spacing w:after="0"/>
              <w:rPr>
                <w:sz w:val="20"/>
                <w:szCs w:val="20"/>
                <w:color w:val="auto"/>
              </w:rPr>
            </w:pPr>
            <w:r>
              <w:rPr>
                <w:rFonts w:ascii="Calibri" w:cs="Calibri" w:eastAsia="Calibri" w:hAnsi="Calibri"/>
                <w:sz w:val="14"/>
                <w:szCs w:val="14"/>
                <w:color w:val="auto"/>
              </w:rPr>
              <w:t>Amortzaton of acquired intangible assets</w:t>
            </w:r>
          </w:p>
        </w:tc>
        <w:tc>
          <w:tcPr>
            <w:tcW w:w="10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Calibri" w:cs="Calibri" w:eastAsia="Calibri" w:hAnsi="Calibri"/>
                <w:sz w:val="14"/>
                <w:szCs w:val="14"/>
                <w:color w:val="auto"/>
              </w:rPr>
              <w:t>6,333</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Calibri" w:cs="Calibri" w:eastAsia="Calibri" w:hAnsi="Calibri"/>
                <w:sz w:val="14"/>
                <w:szCs w:val="14"/>
                <w:color w:val="auto"/>
              </w:rPr>
              <w:t>4,637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18,665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12,913</w:t>
            </w: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Acquisiton-related expenses, net</w:t>
            </w:r>
          </w:p>
        </w:tc>
        <w:tc>
          <w:tcPr>
            <w:tcW w:w="10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1,393</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3,656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4,552</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3,954</w:t>
            </w:r>
          </w:p>
        </w:tc>
        <w:tc>
          <w:tcPr>
            <w:tcW w:w="0" w:type="dxa"/>
            <w:vAlign w:val="bottom"/>
          </w:tcPr>
          <w:p>
            <w:pPr>
              <w:spacing w:after="0"/>
              <w:rPr>
                <w:sz w:val="1"/>
                <w:szCs w:val="1"/>
                <w:color w:val="auto"/>
              </w:rPr>
            </w:pPr>
          </w:p>
        </w:tc>
      </w:tr>
      <w:tr>
        <w:trPr>
          <w:trHeight w:val="170"/>
        </w:trPr>
        <w:tc>
          <w:tcPr>
            <w:tcW w:w="4220" w:type="dxa"/>
            <w:vAlign w:val="bottom"/>
          </w:tcPr>
          <w:p>
            <w:pPr>
              <w:ind w:left="140"/>
              <w:spacing w:after="0"/>
              <w:rPr>
                <w:sz w:val="20"/>
                <w:szCs w:val="20"/>
                <w:color w:val="auto"/>
              </w:rPr>
            </w:pPr>
            <w:r>
              <w:rPr>
                <w:rFonts w:ascii="Calibri" w:cs="Calibri" w:eastAsia="Calibri" w:hAnsi="Calibri"/>
                <w:sz w:val="14"/>
                <w:szCs w:val="14"/>
                <w:color w:val="auto"/>
              </w:rPr>
              <w:t>Mark-to-market adjustments on deferred compensaton liabilites</w:t>
            </w:r>
          </w:p>
        </w:tc>
        <w:tc>
          <w:tcPr>
            <w:tcW w:w="10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Calibri" w:cs="Calibri" w:eastAsia="Calibri" w:hAnsi="Calibri"/>
                <w:sz w:val="14"/>
                <w:szCs w:val="14"/>
                <w:color w:val="auto"/>
              </w:rPr>
              <w:t>103</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Calibri" w:cs="Calibri" w:eastAsia="Calibri" w:hAnsi="Calibri"/>
                <w:sz w:val="14"/>
                <w:szCs w:val="14"/>
                <w:color w:val="auto"/>
              </w:rPr>
              <w:t>(117)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413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(61)</w:t>
            </w: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Legal reserve and setlement charges</w:t>
            </w:r>
          </w:p>
        </w:tc>
        <w:tc>
          <w:tcPr>
            <w:tcW w:w="10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10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4,700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6,797</w:t>
            </w:r>
          </w:p>
        </w:tc>
        <w:tc>
          <w:tcPr>
            <w:tcW w:w="0" w:type="dxa"/>
            <w:vAlign w:val="bottom"/>
          </w:tcPr>
          <w:p>
            <w:pPr>
              <w:spacing w:after="0"/>
              <w:rPr>
                <w:sz w:val="1"/>
                <w:szCs w:val="1"/>
                <w:color w:val="auto"/>
              </w:rPr>
            </w:pPr>
          </w:p>
        </w:tc>
      </w:tr>
      <w:tr>
        <w:trPr>
          <w:trHeight w:val="170"/>
        </w:trPr>
        <w:tc>
          <w:tcPr>
            <w:tcW w:w="4220" w:type="dxa"/>
            <w:vAlign w:val="bottom"/>
          </w:tcPr>
          <w:p>
            <w:pPr>
              <w:ind w:left="140"/>
              <w:spacing w:after="0"/>
              <w:rPr>
                <w:sz w:val="20"/>
                <w:szCs w:val="20"/>
                <w:color w:val="auto"/>
              </w:rPr>
            </w:pPr>
            <w:r>
              <w:rPr>
                <w:rFonts w:ascii="Calibri" w:cs="Calibri" w:eastAsia="Calibri" w:hAnsi="Calibri"/>
                <w:sz w:val="14"/>
                <w:szCs w:val="14"/>
                <w:color w:val="auto"/>
              </w:rPr>
              <w:t>July 19 Incident related costs, net</w:t>
            </w:r>
          </w:p>
        </w:tc>
        <w:tc>
          <w:tcPr>
            <w:tcW w:w="10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Calibri" w:cs="Calibri" w:eastAsia="Calibri" w:hAnsi="Calibri"/>
                <w:sz w:val="14"/>
                <w:szCs w:val="14"/>
                <w:color w:val="auto"/>
              </w:rPr>
              <w:t>33,922</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39,054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33"/>
        </w:trPr>
        <w:tc>
          <w:tcPr>
            <w:tcW w:w="4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Non-GAAP income from operatons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auto"/>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194,916</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auto"/>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175,653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auto"/>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620,445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auto"/>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447,184</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GAAP operatng margin</w:t>
            </w:r>
          </w:p>
        </w:tc>
        <w:tc>
          <w:tcPr>
            <w:tcW w:w="10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Calibri" w:cs="Calibri" w:eastAsia="Calibri" w:hAnsi="Calibri"/>
                <w:sz w:val="14"/>
                <w:szCs w:val="14"/>
                <w:color w:val="auto"/>
              </w:rPr>
              <w:t>— %</w:t>
            </w: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w:t>
            </w:r>
          </w:p>
        </w:tc>
        <w:tc>
          <w:tcPr>
            <w:tcW w:w="0" w:type="dxa"/>
            <w:vAlign w:val="bottom"/>
          </w:tcPr>
          <w:p>
            <w:pPr>
              <w:spacing w:after="0"/>
              <w:rPr>
                <w:sz w:val="1"/>
                <w:szCs w:val="1"/>
                <w:color w:val="auto"/>
              </w:rPr>
            </w:pPr>
          </w:p>
        </w:tc>
      </w:tr>
      <w:tr>
        <w:trPr>
          <w:trHeight w:val="170"/>
        </w:trPr>
        <w:tc>
          <w:tcPr>
            <w:tcW w:w="4220" w:type="dxa"/>
            <w:vAlign w:val="bottom"/>
          </w:tcPr>
          <w:p>
            <w:pPr>
              <w:ind w:left="20"/>
              <w:spacing w:after="0"/>
              <w:rPr>
                <w:sz w:val="20"/>
                <w:szCs w:val="20"/>
                <w:color w:val="auto"/>
              </w:rPr>
            </w:pPr>
            <w:r>
              <w:rPr>
                <w:rFonts w:ascii="Calibri" w:cs="Calibri" w:eastAsia="Calibri" w:hAnsi="Calibri"/>
                <w:sz w:val="14"/>
                <w:szCs w:val="14"/>
                <w:color w:val="auto"/>
              </w:rPr>
              <w:t>Non-GAAP operatng margin</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19 %</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22 %</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alibri" w:cs="Calibri" w:eastAsia="Calibri" w:hAnsi="Calibri"/>
                <w:sz w:val="14"/>
                <w:szCs w:val="14"/>
                <w:color w:val="auto"/>
              </w:rPr>
              <w:t>21 %</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alibri" w:cs="Calibri" w:eastAsia="Calibri" w:hAnsi="Calibri"/>
                <w:sz w:val="14"/>
                <w:szCs w:val="14"/>
                <w:color w:val="auto"/>
              </w:rPr>
              <w:t>20 %</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67" w:right="339" w:bottom="1440" w:gutter="0" w:footer="0" w:header="0"/>
        </w:sectPr>
      </w:pPr>
    </w:p>
    <w:bookmarkStart w:id="16" w:name="page17"/>
    <w:bookmarkEnd w:id="16"/>
    <w:p>
      <w:pPr>
        <w:jc w:val="center"/>
        <w:spacing w:after="0"/>
        <w:rPr>
          <w:sz w:val="20"/>
          <w:szCs w:val="20"/>
          <w:color w:val="auto"/>
        </w:rPr>
      </w:pPr>
      <w:r>
        <w:rPr>
          <w:rFonts w:ascii="Calibri" w:cs="Calibri" w:eastAsia="Calibri" w:hAnsi="Calibri"/>
          <w:sz w:val="16"/>
          <w:szCs w:val="16"/>
          <w:b w:val="1"/>
          <w:bCs w:val="1"/>
          <w:color w:val="auto"/>
        </w:rPr>
        <w:t>CROWDSTRIKE HOLDINGS, INC.</w:t>
      </w:r>
    </w:p>
    <w:p>
      <w:pPr>
        <w:spacing w:after="0" w:line="156" w:lineRule="exact"/>
        <w:rPr>
          <w:sz w:val="20"/>
          <w:szCs w:val="20"/>
          <w:color w:val="auto"/>
        </w:rPr>
      </w:pPr>
    </w:p>
    <w:p>
      <w:pPr>
        <w:ind w:left="4040"/>
        <w:spacing w:after="0"/>
        <w:rPr>
          <w:sz w:val="20"/>
          <w:szCs w:val="20"/>
          <w:color w:val="auto"/>
        </w:rPr>
      </w:pPr>
      <w:r>
        <w:rPr>
          <w:rFonts w:ascii="Calibri" w:cs="Calibri" w:eastAsia="Calibri" w:hAnsi="Calibri"/>
          <w:sz w:val="16"/>
          <w:szCs w:val="16"/>
          <w:b w:val="1"/>
          <w:bCs w:val="1"/>
          <w:color w:val="auto"/>
        </w:rPr>
        <w:t>GAAP to Non-GAAP Reconciliatons (contnued)</w:t>
      </w:r>
    </w:p>
    <w:p>
      <w:pPr>
        <w:spacing w:after="0" w:line="7" w:lineRule="exact"/>
        <w:rPr>
          <w:sz w:val="20"/>
          <w:szCs w:val="20"/>
          <w:color w:val="auto"/>
        </w:rPr>
      </w:pPr>
    </w:p>
    <w:p>
      <w:pPr>
        <w:ind w:left="4260"/>
        <w:spacing w:after="0"/>
        <w:rPr>
          <w:sz w:val="20"/>
          <w:szCs w:val="20"/>
          <w:color w:val="auto"/>
        </w:rPr>
      </w:pPr>
      <w:r>
        <w:rPr>
          <w:rFonts w:ascii="Calibri" w:cs="Calibri" w:eastAsia="Calibri" w:hAnsi="Calibri"/>
          <w:sz w:val="16"/>
          <w:szCs w:val="16"/>
          <w:color w:val="auto"/>
        </w:rPr>
        <w:t>(in thousands, except per share amounts)</w:t>
      </w:r>
    </w:p>
    <w:p>
      <w:pPr>
        <w:jc w:val="center"/>
        <w:spacing w:after="0" w:line="232" w:lineRule="auto"/>
        <w:rPr>
          <w:sz w:val="20"/>
          <w:szCs w:val="20"/>
          <w:color w:val="auto"/>
        </w:rPr>
      </w:pPr>
      <w:r>
        <w:rPr>
          <w:rFonts w:ascii="Calibri" w:cs="Calibri" w:eastAsia="Calibri" w:hAnsi="Calibri"/>
          <w:sz w:val="16"/>
          <w:szCs w:val="16"/>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780" w:type="dxa"/>
            <w:vAlign w:val="bottom"/>
            <w:gridSpan w:val="4"/>
          </w:tcPr>
          <w:p>
            <w:pPr>
              <w:jc w:val="right"/>
              <w:ind w:right="28"/>
              <w:spacing w:after="0"/>
              <w:rPr>
                <w:sz w:val="20"/>
                <w:szCs w:val="20"/>
                <w:color w:val="auto"/>
              </w:rPr>
            </w:pPr>
            <w:r>
              <w:rPr>
                <w:rFonts w:ascii="Calibri" w:cs="Calibri" w:eastAsia="Calibri" w:hAnsi="Calibri"/>
                <w:sz w:val="14"/>
                <w:szCs w:val="14"/>
                <w:b w:val="1"/>
                <w:bCs w:val="1"/>
                <w:color w:val="auto"/>
              </w:rPr>
              <w:t>Three Months Ended October 31,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80" w:type="dxa"/>
            <w:vAlign w:val="bottom"/>
            <w:gridSpan w:val="4"/>
          </w:tcPr>
          <w:p>
            <w:pPr>
              <w:jc w:val="right"/>
              <w:ind w:right="648"/>
              <w:spacing w:after="0"/>
              <w:rPr>
                <w:sz w:val="20"/>
                <w:szCs w:val="20"/>
                <w:color w:val="auto"/>
              </w:rPr>
            </w:pPr>
            <w:r>
              <w:rPr>
                <w:rFonts w:ascii="Calibri" w:cs="Calibri" w:eastAsia="Calibri" w:hAnsi="Calibri"/>
                <w:sz w:val="14"/>
                <w:szCs w:val="14"/>
                <w:b w:val="1"/>
                <w:bCs w:val="1"/>
                <w:color w:val="auto"/>
              </w:rPr>
              <w:t>Nine Months Ended October 31,</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4400" w:type="dxa"/>
            <w:vAlign w:val="bottom"/>
          </w:tcPr>
          <w:p>
            <w:pPr>
              <w:spacing w:after="0"/>
              <w:rPr>
                <w:sz w:val="14"/>
                <w:szCs w:val="14"/>
                <w:color w:val="auto"/>
              </w:rPr>
            </w:pPr>
          </w:p>
        </w:tc>
        <w:tc>
          <w:tcPr>
            <w:tcW w:w="10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608"/>
              <w:spacing w:after="0" w:line="164" w:lineRule="exact"/>
              <w:rPr>
                <w:sz w:val="20"/>
                <w:szCs w:val="20"/>
                <w:color w:val="auto"/>
              </w:rPr>
            </w:pPr>
            <w:r>
              <w:rPr>
                <w:rFonts w:ascii="Calibri" w:cs="Calibri" w:eastAsia="Calibri" w:hAnsi="Calibri"/>
                <w:sz w:val="14"/>
                <w:szCs w:val="14"/>
                <w:b w:val="1"/>
                <w:bCs w:val="1"/>
                <w:color w:val="auto"/>
              </w:rPr>
              <w:t>2024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608"/>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4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400" w:type="dxa"/>
            <w:vAlign w:val="bottom"/>
            <w:tcBorders>
              <w:bottom w:val="single" w:sz="8" w:color="CCEEFF"/>
            </w:tcBorders>
            <w:shd w:val="clear" w:color="auto" w:fill="CCEEFF"/>
          </w:tcPr>
          <w:p>
            <w:pPr>
              <w:ind w:left="20"/>
              <w:spacing w:after="0" w:line="150" w:lineRule="exact"/>
              <w:rPr>
                <w:sz w:val="20"/>
                <w:szCs w:val="20"/>
                <w:color w:val="auto"/>
              </w:rPr>
            </w:pPr>
            <w:r>
              <w:rPr>
                <w:rFonts w:ascii="Calibri" w:cs="Calibri" w:eastAsia="Calibri" w:hAnsi="Calibri"/>
                <w:sz w:val="14"/>
                <w:szCs w:val="14"/>
                <w:color w:val="auto"/>
              </w:rPr>
              <w:t>GAAP net income (loss) atributable to CrowdStrike</w:t>
            </w:r>
          </w:p>
        </w:tc>
        <w:tc>
          <w:tcPr>
            <w:tcW w:w="1040" w:type="dxa"/>
            <w:vAlign w:val="bottom"/>
            <w:tcBorders>
              <w:bottom w:val="single" w:sz="8" w:color="CCEEFF"/>
            </w:tcBorders>
            <w:shd w:val="clear" w:color="auto" w:fill="CCEEFF"/>
          </w:tcPr>
          <w:p>
            <w:pPr>
              <w:jc w:val="right"/>
              <w:ind w:right="868"/>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(16,822)</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68"/>
              <w:spacing w:after="0" w:line="164" w:lineRule="exact"/>
              <w:rPr>
                <w:sz w:val="20"/>
                <w:szCs w:val="20"/>
                <w:color w:val="auto"/>
              </w:rPr>
            </w:pPr>
            <w:r>
              <w:rPr>
                <w:rFonts w:ascii="Calibri" w:cs="Calibri" w:eastAsia="Calibri" w:hAnsi="Calibri"/>
                <w:sz w:val="14"/>
                <w:szCs w:val="14"/>
                <w:color w:val="auto"/>
                <w:w w:val="83"/>
              </w:rPr>
              <w:t>$</w:t>
            </w: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26,665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28"/>
              <w:spacing w:after="0" w:line="164" w:lineRule="exact"/>
              <w:rPr>
                <w:sz w:val="20"/>
                <w:szCs w:val="20"/>
                <w:color w:val="auto"/>
              </w:rPr>
            </w:pPr>
            <w:r>
              <w:rPr>
                <w:rFonts w:ascii="Calibri" w:cs="Calibri" w:eastAsia="Calibri" w:hAnsi="Calibri"/>
                <w:sz w:val="14"/>
                <w:szCs w:val="14"/>
                <w:color w:val="auto"/>
                <w:w w:val="83"/>
              </w:rPr>
              <w:t>$</w:t>
            </w:r>
          </w:p>
        </w:tc>
        <w:tc>
          <w:tcPr>
            <w:tcW w:w="12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73,011</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08"/>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35,628</w:t>
            </w:r>
          </w:p>
        </w:tc>
        <w:tc>
          <w:tcPr>
            <w:tcW w:w="0" w:type="dxa"/>
            <w:vAlign w:val="bottom"/>
          </w:tcPr>
          <w:p>
            <w:pPr>
              <w:spacing w:after="0"/>
              <w:rPr>
                <w:sz w:val="1"/>
                <w:szCs w:val="1"/>
                <w:color w:val="auto"/>
              </w:rPr>
            </w:pPr>
          </w:p>
        </w:tc>
      </w:tr>
      <w:tr>
        <w:trPr>
          <w:trHeight w:val="170"/>
        </w:trPr>
        <w:tc>
          <w:tcPr>
            <w:tcW w:w="4400" w:type="dxa"/>
            <w:vAlign w:val="bottom"/>
          </w:tcPr>
          <w:p>
            <w:pPr>
              <w:ind w:left="140"/>
              <w:spacing w:after="0"/>
              <w:rPr>
                <w:sz w:val="20"/>
                <w:szCs w:val="20"/>
                <w:color w:val="auto"/>
              </w:rPr>
            </w:pPr>
            <w:r>
              <w:rPr>
                <w:rFonts w:ascii="Calibri" w:cs="Calibri" w:eastAsia="Calibri" w:hAnsi="Calibri"/>
                <w:sz w:val="14"/>
                <w:szCs w:val="14"/>
                <w:color w:val="auto"/>
              </w:rPr>
              <w:t>Stock based compensaton expense</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208,888</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159,614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592,890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455,247</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Amortzaton of acquired intangible assets</w:t>
            </w:r>
          </w:p>
        </w:tc>
        <w:tc>
          <w:tcPr>
            <w:tcW w:w="10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6,333</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4,637</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18,665</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12,913</w:t>
            </w:r>
          </w:p>
        </w:tc>
        <w:tc>
          <w:tcPr>
            <w:tcW w:w="0" w:type="dxa"/>
            <w:vAlign w:val="bottom"/>
          </w:tcPr>
          <w:p>
            <w:pPr>
              <w:spacing w:after="0"/>
              <w:rPr>
                <w:sz w:val="1"/>
                <w:szCs w:val="1"/>
                <w:color w:val="auto"/>
              </w:rPr>
            </w:pPr>
          </w:p>
        </w:tc>
      </w:tr>
      <w:tr>
        <w:trPr>
          <w:trHeight w:val="170"/>
        </w:trPr>
        <w:tc>
          <w:tcPr>
            <w:tcW w:w="4400" w:type="dxa"/>
            <w:vAlign w:val="bottom"/>
          </w:tcPr>
          <w:p>
            <w:pPr>
              <w:ind w:left="140"/>
              <w:spacing w:after="0"/>
              <w:rPr>
                <w:sz w:val="20"/>
                <w:szCs w:val="20"/>
                <w:color w:val="auto"/>
              </w:rPr>
            </w:pPr>
            <w:r>
              <w:rPr>
                <w:rFonts w:ascii="Calibri" w:cs="Calibri" w:eastAsia="Calibri" w:hAnsi="Calibri"/>
                <w:sz w:val="14"/>
                <w:szCs w:val="14"/>
                <w:color w:val="auto"/>
              </w:rPr>
              <w:t>Acquisiton-related expenses, net</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1,393</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3,656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4,552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3,954</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Amortzaton of debt issuance costs and discount</w:t>
            </w:r>
          </w:p>
        </w:tc>
        <w:tc>
          <w:tcPr>
            <w:tcW w:w="10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547</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547</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1,640</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1,640</w:t>
            </w:r>
          </w:p>
        </w:tc>
        <w:tc>
          <w:tcPr>
            <w:tcW w:w="0" w:type="dxa"/>
            <w:vAlign w:val="bottom"/>
          </w:tcPr>
          <w:p>
            <w:pPr>
              <w:spacing w:after="0"/>
              <w:rPr>
                <w:sz w:val="1"/>
                <w:szCs w:val="1"/>
                <w:color w:val="auto"/>
              </w:rPr>
            </w:pPr>
          </w:p>
        </w:tc>
      </w:tr>
      <w:tr>
        <w:trPr>
          <w:trHeight w:val="170"/>
        </w:trPr>
        <w:tc>
          <w:tcPr>
            <w:tcW w:w="4400" w:type="dxa"/>
            <w:vAlign w:val="bottom"/>
          </w:tcPr>
          <w:p>
            <w:pPr>
              <w:ind w:left="140"/>
              <w:spacing w:after="0"/>
              <w:rPr>
                <w:sz w:val="20"/>
                <w:szCs w:val="20"/>
                <w:color w:val="auto"/>
              </w:rPr>
            </w:pPr>
            <w:r>
              <w:rPr>
                <w:rFonts w:ascii="Calibri" w:cs="Calibri" w:eastAsia="Calibri" w:hAnsi="Calibri"/>
                <w:sz w:val="14"/>
                <w:szCs w:val="14"/>
                <w:color w:val="auto"/>
              </w:rPr>
              <w:t>Mark-to-market adjustments on deferred compensaton liabilites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103</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(117)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413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(61)</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Legal reserve and setlement charges</w:t>
            </w:r>
          </w:p>
        </w:tc>
        <w:tc>
          <w:tcPr>
            <w:tcW w:w="10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Calibri" w:cs="Calibri" w:eastAsia="Calibri" w:hAnsi="Calibri"/>
                <w:sz w:val="14"/>
                <w:szCs w:val="14"/>
                <w:color w:val="auto"/>
              </w:rPr>
              <w:t>—</w:t>
            </w: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4,700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6,797</w:t>
            </w:r>
          </w:p>
        </w:tc>
        <w:tc>
          <w:tcPr>
            <w:tcW w:w="0" w:type="dxa"/>
            <w:vAlign w:val="bottom"/>
          </w:tcPr>
          <w:p>
            <w:pPr>
              <w:spacing w:after="0"/>
              <w:rPr>
                <w:sz w:val="1"/>
                <w:szCs w:val="1"/>
                <w:color w:val="auto"/>
              </w:rPr>
            </w:pPr>
          </w:p>
        </w:tc>
      </w:tr>
      <w:tr>
        <w:trPr>
          <w:trHeight w:val="170"/>
        </w:trPr>
        <w:tc>
          <w:tcPr>
            <w:tcW w:w="4400" w:type="dxa"/>
            <w:vAlign w:val="bottom"/>
          </w:tcPr>
          <w:p>
            <w:pPr>
              <w:ind w:left="140"/>
              <w:spacing w:after="0"/>
              <w:rPr>
                <w:sz w:val="20"/>
                <w:szCs w:val="20"/>
                <w:color w:val="auto"/>
              </w:rPr>
            </w:pPr>
            <w:r>
              <w:rPr>
                <w:rFonts w:ascii="Calibri" w:cs="Calibri" w:eastAsia="Calibri" w:hAnsi="Calibri"/>
                <w:sz w:val="14"/>
                <w:szCs w:val="14"/>
                <w:color w:val="auto"/>
              </w:rPr>
              <w:t>July 19 Incident related costs, net</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33,922</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39,054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shd w:val="clear" w:color="auto" w:fill="CCEEFF"/>
          </w:tcPr>
          <w:p>
            <w:pPr>
              <w:ind w:left="140"/>
              <w:spacing w:after="0" w:line="203" w:lineRule="exact"/>
              <w:rPr>
                <w:sz w:val="20"/>
                <w:szCs w:val="20"/>
                <w:color w:val="auto"/>
              </w:rPr>
            </w:pPr>
            <w:r>
              <w:rPr>
                <w:rFonts w:ascii="Calibri" w:cs="Calibri" w:eastAsia="Calibri" w:hAnsi="Calibri"/>
                <w:sz w:val="14"/>
                <w:szCs w:val="14"/>
                <w:color w:val="auto"/>
              </w:rPr>
              <w:t>Beneft for income taxes</w:t>
            </w:r>
            <w:r>
              <w:rPr>
                <w:rFonts w:ascii="Calibri" w:cs="Calibri" w:eastAsia="Calibri" w:hAnsi="Calibri"/>
                <w:sz w:val="18"/>
                <w:szCs w:val="18"/>
                <w:color w:val="auto"/>
                <w:vertAlign w:val="superscript"/>
              </w:rPr>
              <w:t>1</w:t>
            </w:r>
          </w:p>
        </w:tc>
        <w:tc>
          <w:tcPr>
            <w:tcW w:w="10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4"/>
                <w:szCs w:val="14"/>
                <w:color w:val="auto"/>
              </w:rPr>
              <w:t>—</w:t>
            </w: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(615)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(615)</w:t>
            </w:r>
          </w:p>
        </w:tc>
        <w:tc>
          <w:tcPr>
            <w:tcW w:w="0" w:type="dxa"/>
            <w:vAlign w:val="bottom"/>
          </w:tcPr>
          <w:p>
            <w:pPr>
              <w:spacing w:after="0"/>
              <w:rPr>
                <w:sz w:val="1"/>
                <w:szCs w:val="1"/>
                <w:color w:val="auto"/>
              </w:rPr>
            </w:pPr>
          </w:p>
        </w:tc>
      </w:tr>
      <w:tr>
        <w:trPr>
          <w:trHeight w:val="122"/>
        </w:trPr>
        <w:tc>
          <w:tcPr>
            <w:tcW w:w="4400" w:type="dxa"/>
            <w:vAlign w:val="bottom"/>
          </w:tcPr>
          <w:p>
            <w:pPr>
              <w:ind w:left="140"/>
              <w:spacing w:after="0" w:line="122" w:lineRule="exact"/>
              <w:rPr>
                <w:sz w:val="20"/>
                <w:szCs w:val="20"/>
                <w:color w:val="auto"/>
              </w:rPr>
            </w:pPr>
            <w:r>
              <w:rPr>
                <w:rFonts w:ascii="Calibri" w:cs="Calibri" w:eastAsia="Calibri" w:hAnsi="Calibri"/>
                <w:sz w:val="13"/>
                <w:szCs w:val="13"/>
                <w:color w:val="auto"/>
              </w:rPr>
              <w:t>Gains and other income from strategic investments atributable to</w:t>
            </w:r>
          </w:p>
        </w:tc>
        <w:tc>
          <w:tcPr>
            <w:tcW w:w="10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Calibri" w:cs="Calibri" w:eastAsia="Calibri" w:hAnsi="Calibri"/>
                <w:sz w:val="14"/>
                <w:szCs w:val="14"/>
                <w:color w:val="auto"/>
              </w:rPr>
              <w:t>(3)</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Calibri" w:cs="Calibri" w:eastAsia="Calibri" w:hAnsi="Calibri"/>
                <w:sz w:val="14"/>
                <w:szCs w:val="14"/>
                <w:color w:val="auto"/>
              </w:rPr>
              <w:t>(4)</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Calibri" w:cs="Calibri" w:eastAsia="Calibri" w:hAnsi="Calibri"/>
                <w:sz w:val="14"/>
                <w:szCs w:val="14"/>
                <w:color w:val="auto"/>
              </w:rPr>
              <w:t>(3,124)</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Calibri" w:cs="Calibri" w:eastAsia="Calibri" w:hAnsi="Calibri"/>
                <w:sz w:val="14"/>
                <w:szCs w:val="14"/>
                <w:color w:val="auto"/>
              </w:rPr>
              <w:t>(16)</w:t>
            </w:r>
          </w:p>
        </w:tc>
        <w:tc>
          <w:tcPr>
            <w:tcW w:w="0" w:type="dxa"/>
            <w:vAlign w:val="bottom"/>
          </w:tcPr>
          <w:p>
            <w:pPr>
              <w:spacing w:after="0"/>
              <w:rPr>
                <w:sz w:val="1"/>
                <w:szCs w:val="1"/>
                <w:color w:val="auto"/>
              </w:rPr>
            </w:pPr>
          </w:p>
        </w:tc>
      </w:tr>
      <w:tr>
        <w:trPr>
          <w:trHeight w:val="170"/>
        </w:trPr>
        <w:tc>
          <w:tcPr>
            <w:tcW w:w="4400" w:type="dxa"/>
            <w:vAlign w:val="bottom"/>
          </w:tcPr>
          <w:p>
            <w:pPr>
              <w:ind w:left="140"/>
              <w:spacing w:after="0"/>
              <w:rPr>
                <w:sz w:val="20"/>
                <w:szCs w:val="20"/>
                <w:color w:val="auto"/>
              </w:rPr>
            </w:pPr>
            <w:r>
              <w:rPr>
                <w:rFonts w:ascii="Calibri" w:cs="Calibri" w:eastAsia="Calibri" w:hAnsi="Calibri"/>
                <w:sz w:val="14"/>
                <w:szCs w:val="14"/>
                <w:color w:val="auto"/>
              </w:rPr>
              <w:t>CrowdStrike</w:t>
            </w:r>
          </w:p>
        </w:tc>
        <w:tc>
          <w:tcPr>
            <w:tcW w:w="10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40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Losses (gains) on deferred compensaton assets</w:t>
            </w:r>
          </w:p>
        </w:tc>
        <w:tc>
          <w:tcPr>
            <w:tcW w:w="10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(103)</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117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(413)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61</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Calibri" w:cs="Calibri" w:eastAsia="Calibri" w:hAnsi="Calibri"/>
                <w:sz w:val="14"/>
                <w:szCs w:val="14"/>
                <w:color w:val="auto"/>
              </w:rPr>
              <w:t>Non-GAAP net income atributable to CrowdStrike</w:t>
            </w:r>
          </w:p>
        </w:tc>
        <w:tc>
          <w:tcPr>
            <w:tcW w:w="1040" w:type="dxa"/>
            <w:vAlign w:val="bottom"/>
            <w:tcBorders>
              <w:top w:val="single" w:sz="8" w:color="auto"/>
              <w:bottom w:val="single" w:sz="8" w:color="auto"/>
            </w:tcBorders>
          </w:tcPr>
          <w:p>
            <w:pPr>
              <w:jc w:val="right"/>
              <w:ind w:right="868"/>
              <w:spacing w:after="0"/>
              <w:rPr>
                <w:sz w:val="20"/>
                <w:szCs w:val="20"/>
                <w:color w:val="auto"/>
              </w:rPr>
            </w:pPr>
            <w:r>
              <w:rPr>
                <w:rFonts w:ascii="Calibri" w:cs="Calibri" w:eastAsia="Calibri" w:hAnsi="Calibri"/>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234,258</w:t>
            </w:r>
          </w:p>
        </w:tc>
        <w:tc>
          <w:tcPr>
            <w:tcW w:w="1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868"/>
              <w:spacing w:after="0"/>
              <w:rPr>
                <w:sz w:val="20"/>
                <w:szCs w:val="20"/>
                <w:color w:val="auto"/>
              </w:rPr>
            </w:pPr>
            <w:r>
              <w:rPr>
                <w:rFonts w:ascii="Calibri" w:cs="Calibri" w:eastAsia="Calibri" w:hAnsi="Calibri"/>
                <w:sz w:val="14"/>
                <w:szCs w:val="14"/>
                <w:color w:val="auto"/>
                <w:w w:val="8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199,200</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Calibri" w:cs="Calibri" w:eastAsia="Calibri" w:hAnsi="Calibri"/>
                <w:sz w:val="14"/>
                <w:szCs w:val="14"/>
                <w:color w:val="auto"/>
                <w:w w:val="8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726,688</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Calibri" w:cs="Calibri" w:eastAsia="Calibri" w:hAnsi="Calibri"/>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515,548</w:t>
            </w:r>
          </w:p>
        </w:tc>
        <w:tc>
          <w:tcPr>
            <w:tcW w:w="0" w:type="dxa"/>
            <w:vAlign w:val="bottom"/>
          </w:tcPr>
          <w:p>
            <w:pPr>
              <w:spacing w:after="0"/>
              <w:rPr>
                <w:sz w:val="1"/>
                <w:szCs w:val="1"/>
                <w:color w:val="auto"/>
              </w:rPr>
            </w:pPr>
          </w:p>
        </w:tc>
      </w:tr>
      <w:tr>
        <w:trPr>
          <w:trHeight w:val="21"/>
        </w:trPr>
        <w:tc>
          <w:tcPr>
            <w:tcW w:w="44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400" w:type="dxa"/>
            <w:vAlign w:val="bottom"/>
          </w:tcPr>
          <w:p>
            <w:pPr>
              <w:ind w:left="20"/>
              <w:spacing w:after="0" w:line="122" w:lineRule="exact"/>
              <w:rPr>
                <w:sz w:val="20"/>
                <w:szCs w:val="20"/>
                <w:color w:val="auto"/>
              </w:rPr>
            </w:pPr>
            <w:r>
              <w:rPr>
                <w:rFonts w:ascii="Calibri" w:cs="Calibri" w:eastAsia="Calibri" w:hAnsi="Calibri"/>
                <w:sz w:val="13"/>
                <w:szCs w:val="13"/>
                <w:color w:val="auto"/>
              </w:rPr>
              <w:t>Weighted-average shares used in computng GAAP basic net income (loss)</w:t>
            </w:r>
          </w:p>
        </w:tc>
        <w:tc>
          <w:tcPr>
            <w:tcW w:w="10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Calibri" w:cs="Calibri" w:eastAsia="Calibri" w:hAnsi="Calibri"/>
                <w:sz w:val="14"/>
                <w:szCs w:val="14"/>
                <w:color w:val="auto"/>
              </w:rPr>
              <w:t>245,536</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Calibri" w:cs="Calibri" w:eastAsia="Calibri" w:hAnsi="Calibri"/>
                <w:sz w:val="14"/>
                <w:szCs w:val="14"/>
                <w:color w:val="auto"/>
              </w:rPr>
              <w:t>239,297</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Calibri" w:cs="Calibri" w:eastAsia="Calibri" w:hAnsi="Calibri"/>
                <w:sz w:val="14"/>
                <w:szCs w:val="14"/>
                <w:color w:val="auto"/>
              </w:rPr>
              <w:t>244,017</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Calibri" w:cs="Calibri" w:eastAsia="Calibri" w:hAnsi="Calibri"/>
                <w:sz w:val="14"/>
                <w:szCs w:val="14"/>
                <w:color w:val="auto"/>
              </w:rPr>
              <w:t>237,890</w:t>
            </w:r>
          </w:p>
        </w:tc>
        <w:tc>
          <w:tcPr>
            <w:tcW w:w="0" w:type="dxa"/>
            <w:vAlign w:val="bottom"/>
          </w:tcPr>
          <w:p>
            <w:pPr>
              <w:spacing w:after="0"/>
              <w:rPr>
                <w:sz w:val="1"/>
                <w:szCs w:val="1"/>
                <w:color w:val="auto"/>
              </w:rPr>
            </w:pPr>
          </w:p>
        </w:tc>
      </w:tr>
      <w:tr>
        <w:trPr>
          <w:trHeight w:val="170"/>
        </w:trPr>
        <w:tc>
          <w:tcPr>
            <w:tcW w:w="4400" w:type="dxa"/>
            <w:vAlign w:val="bottom"/>
          </w:tcPr>
          <w:p>
            <w:pPr>
              <w:ind w:left="20"/>
              <w:spacing w:after="0"/>
              <w:rPr>
                <w:sz w:val="20"/>
                <w:szCs w:val="20"/>
                <w:color w:val="auto"/>
              </w:rPr>
            </w:pPr>
            <w:r>
              <w:rPr>
                <w:rFonts w:ascii="Calibri" w:cs="Calibri" w:eastAsia="Calibri" w:hAnsi="Calibri"/>
                <w:sz w:val="14"/>
                <w:szCs w:val="14"/>
                <w:color w:val="auto"/>
              </w:rPr>
              <w:t>per share atributable to CrowdStrike common stockholders</w:t>
            </w:r>
          </w:p>
        </w:tc>
        <w:tc>
          <w:tcPr>
            <w:tcW w:w="10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400" w:type="dxa"/>
            <w:vAlign w:val="bottom"/>
          </w:tcPr>
          <w:p>
            <w:pPr>
              <w:ind w:left="20"/>
              <w:spacing w:after="0" w:line="122" w:lineRule="exact"/>
              <w:rPr>
                <w:sz w:val="20"/>
                <w:szCs w:val="20"/>
                <w:color w:val="auto"/>
              </w:rPr>
            </w:pPr>
            <w:r>
              <w:rPr>
                <w:rFonts w:ascii="Calibri" w:cs="Calibri" w:eastAsia="Calibri" w:hAnsi="Calibri"/>
                <w:sz w:val="13"/>
                <w:szCs w:val="13"/>
                <w:color w:val="auto"/>
              </w:rPr>
              <w:t>GAAP basic net income (loss) per share atributable to CrowdStrike</w:t>
            </w:r>
          </w:p>
        </w:tc>
        <w:tc>
          <w:tcPr>
            <w:tcW w:w="1040" w:type="dxa"/>
            <w:vAlign w:val="bottom"/>
            <w:vMerge w:val="restart"/>
          </w:tcPr>
          <w:p>
            <w:pPr>
              <w:jc w:val="right"/>
              <w:ind w:right="868"/>
              <w:spacing w:after="0"/>
              <w:rPr>
                <w:sz w:val="20"/>
                <w:szCs w:val="20"/>
                <w:color w:val="auto"/>
              </w:rPr>
            </w:pPr>
            <w:r>
              <w:rPr>
                <w:rFonts w:ascii="Calibri" w:cs="Calibri" w:eastAsia="Calibri" w:hAnsi="Calibri"/>
                <w:sz w:val="14"/>
                <w:szCs w:val="14"/>
                <w:color w:val="auto"/>
              </w:rPr>
              <w:t>$</w:t>
            </w:r>
          </w:p>
        </w:tc>
        <w:tc>
          <w:tcPr>
            <w:tcW w:w="600" w:type="dxa"/>
            <w:vAlign w:val="bottom"/>
            <w:vMerge w:val="restart"/>
          </w:tcPr>
          <w:p>
            <w:pPr>
              <w:jc w:val="right"/>
              <w:spacing w:after="0"/>
              <w:rPr>
                <w:sz w:val="20"/>
                <w:szCs w:val="20"/>
                <w:color w:val="auto"/>
              </w:rPr>
            </w:pPr>
            <w:r>
              <w:rPr>
                <w:rFonts w:ascii="Calibri" w:cs="Calibri" w:eastAsia="Calibri" w:hAnsi="Calibri"/>
                <w:sz w:val="14"/>
                <w:szCs w:val="14"/>
                <w:color w:val="auto"/>
              </w:rPr>
              <w:t>(0.07)</w:t>
            </w:r>
          </w:p>
        </w:tc>
        <w:tc>
          <w:tcPr>
            <w:tcW w:w="120" w:type="dxa"/>
            <w:vAlign w:val="bottom"/>
          </w:tcPr>
          <w:p>
            <w:pPr>
              <w:spacing w:after="0"/>
              <w:rPr>
                <w:sz w:val="10"/>
                <w:szCs w:val="10"/>
                <w:color w:val="auto"/>
              </w:rPr>
            </w:pPr>
          </w:p>
        </w:tc>
        <w:tc>
          <w:tcPr>
            <w:tcW w:w="1020" w:type="dxa"/>
            <w:vAlign w:val="bottom"/>
            <w:vMerge w:val="restart"/>
          </w:tcPr>
          <w:p>
            <w:pPr>
              <w:jc w:val="right"/>
              <w:ind w:right="868"/>
              <w:spacing w:after="0"/>
              <w:rPr>
                <w:sz w:val="20"/>
                <w:szCs w:val="20"/>
                <w:color w:val="auto"/>
              </w:rPr>
            </w:pPr>
            <w:r>
              <w:rPr>
                <w:rFonts w:ascii="Calibri" w:cs="Calibri" w:eastAsia="Calibri" w:hAnsi="Calibri"/>
                <w:sz w:val="14"/>
                <w:szCs w:val="14"/>
                <w:color w:val="auto"/>
                <w:w w:val="83"/>
              </w:rPr>
              <w:t>$</w:t>
            </w:r>
          </w:p>
        </w:tc>
        <w:tc>
          <w:tcPr>
            <w:tcW w:w="600" w:type="dxa"/>
            <w:vAlign w:val="bottom"/>
            <w:vMerge w:val="restart"/>
          </w:tcPr>
          <w:p>
            <w:pPr>
              <w:jc w:val="right"/>
              <w:spacing w:after="0"/>
              <w:rPr>
                <w:sz w:val="20"/>
                <w:szCs w:val="20"/>
                <w:color w:val="auto"/>
              </w:rPr>
            </w:pPr>
            <w:r>
              <w:rPr>
                <w:rFonts w:ascii="Calibri" w:cs="Calibri" w:eastAsia="Calibri" w:hAnsi="Calibri"/>
                <w:sz w:val="14"/>
                <w:szCs w:val="14"/>
                <w:color w:val="auto"/>
              </w:rPr>
              <w:t>0.11</w:t>
            </w:r>
          </w:p>
        </w:tc>
        <w:tc>
          <w:tcPr>
            <w:tcW w:w="100" w:type="dxa"/>
            <w:vAlign w:val="bottom"/>
          </w:tcPr>
          <w:p>
            <w:pPr>
              <w:spacing w:after="0"/>
              <w:rPr>
                <w:sz w:val="10"/>
                <w:szCs w:val="10"/>
                <w:color w:val="auto"/>
              </w:rPr>
            </w:pPr>
          </w:p>
        </w:tc>
        <w:tc>
          <w:tcPr>
            <w:tcW w:w="380" w:type="dxa"/>
            <w:vAlign w:val="bottom"/>
            <w:vMerge w:val="restart"/>
          </w:tcPr>
          <w:p>
            <w:pPr>
              <w:jc w:val="right"/>
              <w:ind w:right="228"/>
              <w:spacing w:after="0"/>
              <w:rPr>
                <w:sz w:val="20"/>
                <w:szCs w:val="20"/>
                <w:color w:val="auto"/>
              </w:rPr>
            </w:pPr>
            <w:r>
              <w:rPr>
                <w:rFonts w:ascii="Calibri" w:cs="Calibri" w:eastAsia="Calibri" w:hAnsi="Calibri"/>
                <w:sz w:val="14"/>
                <w:szCs w:val="14"/>
                <w:color w:val="auto"/>
                <w:w w:val="83"/>
              </w:rPr>
              <w:t>$</w:t>
            </w:r>
          </w:p>
        </w:tc>
        <w:tc>
          <w:tcPr>
            <w:tcW w:w="1260" w:type="dxa"/>
            <w:vAlign w:val="bottom"/>
            <w:vMerge w:val="restart"/>
          </w:tcPr>
          <w:p>
            <w:pPr>
              <w:jc w:val="right"/>
              <w:spacing w:after="0"/>
              <w:rPr>
                <w:sz w:val="20"/>
                <w:szCs w:val="20"/>
                <w:color w:val="auto"/>
              </w:rPr>
            </w:pPr>
            <w:r>
              <w:rPr>
                <w:rFonts w:ascii="Calibri" w:cs="Calibri" w:eastAsia="Calibri" w:hAnsi="Calibri"/>
                <w:sz w:val="14"/>
                <w:szCs w:val="14"/>
                <w:color w:val="auto"/>
              </w:rPr>
              <w:t>0.30</w:t>
            </w:r>
          </w:p>
        </w:tc>
        <w:tc>
          <w:tcPr>
            <w:tcW w:w="80" w:type="dxa"/>
            <w:vAlign w:val="bottom"/>
          </w:tcPr>
          <w:p>
            <w:pPr>
              <w:spacing w:after="0"/>
              <w:rPr>
                <w:sz w:val="10"/>
                <w:szCs w:val="10"/>
                <w:color w:val="auto"/>
              </w:rPr>
            </w:pPr>
          </w:p>
        </w:tc>
        <w:tc>
          <w:tcPr>
            <w:tcW w:w="380" w:type="dxa"/>
            <w:vAlign w:val="bottom"/>
            <w:vMerge w:val="restart"/>
          </w:tcPr>
          <w:p>
            <w:pPr>
              <w:jc w:val="right"/>
              <w:ind w:right="208"/>
              <w:spacing w:after="0"/>
              <w:rPr>
                <w:sz w:val="20"/>
                <w:szCs w:val="20"/>
                <w:color w:val="auto"/>
              </w:rPr>
            </w:pPr>
            <w:r>
              <w:rPr>
                <w:rFonts w:ascii="Calibri" w:cs="Calibri" w:eastAsia="Calibri" w:hAnsi="Calibri"/>
                <w:sz w:val="14"/>
                <w:szCs w:val="14"/>
                <w:color w:val="auto"/>
              </w:rPr>
              <w:t>$</w:t>
            </w:r>
          </w:p>
        </w:tc>
        <w:tc>
          <w:tcPr>
            <w:tcW w:w="1260" w:type="dxa"/>
            <w:vAlign w:val="bottom"/>
            <w:vMerge w:val="restart"/>
          </w:tcPr>
          <w:p>
            <w:pPr>
              <w:jc w:val="right"/>
              <w:spacing w:after="0"/>
              <w:rPr>
                <w:sz w:val="20"/>
                <w:szCs w:val="20"/>
                <w:color w:val="auto"/>
              </w:rPr>
            </w:pPr>
            <w:r>
              <w:rPr>
                <w:rFonts w:ascii="Calibri" w:cs="Calibri" w:eastAsia="Calibri" w:hAnsi="Calibri"/>
                <w:sz w:val="14"/>
                <w:szCs w:val="14"/>
                <w:color w:val="auto"/>
              </w:rPr>
              <w:t>0.15</w:t>
            </w:r>
          </w:p>
        </w:tc>
        <w:tc>
          <w:tcPr>
            <w:tcW w:w="0" w:type="dxa"/>
            <w:vAlign w:val="bottom"/>
          </w:tcPr>
          <w:p>
            <w:pPr>
              <w:spacing w:after="0"/>
              <w:rPr>
                <w:sz w:val="1"/>
                <w:szCs w:val="1"/>
                <w:color w:val="auto"/>
              </w:rPr>
            </w:pPr>
          </w:p>
        </w:tc>
      </w:tr>
      <w:tr>
        <w:trPr>
          <w:trHeight w:val="170"/>
        </w:trPr>
        <w:tc>
          <w:tcPr>
            <w:tcW w:w="4400" w:type="dxa"/>
            <w:vAlign w:val="bottom"/>
          </w:tcPr>
          <w:p>
            <w:pPr>
              <w:ind w:left="20"/>
              <w:spacing w:after="0"/>
              <w:rPr>
                <w:sz w:val="20"/>
                <w:szCs w:val="20"/>
                <w:color w:val="auto"/>
              </w:rPr>
            </w:pPr>
            <w:r>
              <w:rPr>
                <w:rFonts w:ascii="Calibri" w:cs="Calibri" w:eastAsia="Calibri" w:hAnsi="Calibri"/>
                <w:sz w:val="14"/>
                <w:szCs w:val="14"/>
                <w:color w:val="auto"/>
              </w:rPr>
              <w:t>common stockholders</w:t>
            </w:r>
          </w:p>
        </w:tc>
        <w:tc>
          <w:tcPr>
            <w:tcW w:w="10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400" w:type="dxa"/>
            <w:vAlign w:val="bottom"/>
          </w:tcPr>
          <w:p>
            <w:pPr>
              <w:ind w:left="20"/>
              <w:spacing w:after="0" w:line="122" w:lineRule="exact"/>
              <w:rPr>
                <w:sz w:val="20"/>
                <w:szCs w:val="20"/>
                <w:color w:val="auto"/>
              </w:rPr>
            </w:pPr>
            <w:r>
              <w:rPr>
                <w:rFonts w:ascii="Calibri" w:cs="Calibri" w:eastAsia="Calibri" w:hAnsi="Calibri"/>
                <w:sz w:val="13"/>
                <w:szCs w:val="13"/>
                <w:color w:val="auto"/>
              </w:rPr>
              <w:t>GAAP diluted net income (loss) per share atributable to CrowdStrike</w:t>
            </w:r>
          </w:p>
        </w:tc>
        <w:tc>
          <w:tcPr>
            <w:tcW w:w="1040" w:type="dxa"/>
            <w:vAlign w:val="bottom"/>
            <w:vMerge w:val="restart"/>
          </w:tcPr>
          <w:p>
            <w:pPr>
              <w:jc w:val="right"/>
              <w:ind w:right="868"/>
              <w:spacing w:after="0"/>
              <w:rPr>
                <w:sz w:val="20"/>
                <w:szCs w:val="20"/>
                <w:color w:val="auto"/>
              </w:rPr>
            </w:pPr>
            <w:r>
              <w:rPr>
                <w:rFonts w:ascii="Calibri" w:cs="Calibri" w:eastAsia="Calibri" w:hAnsi="Calibri"/>
                <w:sz w:val="14"/>
                <w:szCs w:val="14"/>
                <w:color w:val="auto"/>
              </w:rPr>
              <w:t>$</w:t>
            </w:r>
          </w:p>
        </w:tc>
        <w:tc>
          <w:tcPr>
            <w:tcW w:w="600" w:type="dxa"/>
            <w:vAlign w:val="bottom"/>
            <w:vMerge w:val="restart"/>
          </w:tcPr>
          <w:p>
            <w:pPr>
              <w:jc w:val="right"/>
              <w:spacing w:after="0"/>
              <w:rPr>
                <w:sz w:val="20"/>
                <w:szCs w:val="20"/>
                <w:color w:val="auto"/>
              </w:rPr>
            </w:pPr>
            <w:r>
              <w:rPr>
                <w:rFonts w:ascii="Calibri" w:cs="Calibri" w:eastAsia="Calibri" w:hAnsi="Calibri"/>
                <w:sz w:val="14"/>
                <w:szCs w:val="14"/>
                <w:color w:val="auto"/>
              </w:rPr>
              <w:t>(0.07)</w:t>
            </w:r>
          </w:p>
        </w:tc>
        <w:tc>
          <w:tcPr>
            <w:tcW w:w="120" w:type="dxa"/>
            <w:vAlign w:val="bottom"/>
          </w:tcPr>
          <w:p>
            <w:pPr>
              <w:spacing w:after="0"/>
              <w:rPr>
                <w:sz w:val="10"/>
                <w:szCs w:val="10"/>
                <w:color w:val="auto"/>
              </w:rPr>
            </w:pPr>
          </w:p>
        </w:tc>
        <w:tc>
          <w:tcPr>
            <w:tcW w:w="1020" w:type="dxa"/>
            <w:vAlign w:val="bottom"/>
            <w:vMerge w:val="restart"/>
          </w:tcPr>
          <w:p>
            <w:pPr>
              <w:jc w:val="right"/>
              <w:ind w:right="868"/>
              <w:spacing w:after="0"/>
              <w:rPr>
                <w:sz w:val="20"/>
                <w:szCs w:val="20"/>
                <w:color w:val="auto"/>
              </w:rPr>
            </w:pPr>
            <w:r>
              <w:rPr>
                <w:rFonts w:ascii="Calibri" w:cs="Calibri" w:eastAsia="Calibri" w:hAnsi="Calibri"/>
                <w:sz w:val="14"/>
                <w:szCs w:val="14"/>
                <w:color w:val="auto"/>
                <w:w w:val="83"/>
              </w:rPr>
              <w:t>$</w:t>
            </w:r>
          </w:p>
        </w:tc>
        <w:tc>
          <w:tcPr>
            <w:tcW w:w="600" w:type="dxa"/>
            <w:vAlign w:val="bottom"/>
            <w:vMerge w:val="restart"/>
          </w:tcPr>
          <w:p>
            <w:pPr>
              <w:jc w:val="right"/>
              <w:spacing w:after="0"/>
              <w:rPr>
                <w:sz w:val="20"/>
                <w:szCs w:val="20"/>
                <w:color w:val="auto"/>
              </w:rPr>
            </w:pPr>
            <w:r>
              <w:rPr>
                <w:rFonts w:ascii="Calibri" w:cs="Calibri" w:eastAsia="Calibri" w:hAnsi="Calibri"/>
                <w:sz w:val="14"/>
                <w:szCs w:val="14"/>
                <w:color w:val="auto"/>
              </w:rPr>
              <w:t>0.11</w:t>
            </w:r>
          </w:p>
        </w:tc>
        <w:tc>
          <w:tcPr>
            <w:tcW w:w="100" w:type="dxa"/>
            <w:vAlign w:val="bottom"/>
          </w:tcPr>
          <w:p>
            <w:pPr>
              <w:spacing w:after="0"/>
              <w:rPr>
                <w:sz w:val="10"/>
                <w:szCs w:val="10"/>
                <w:color w:val="auto"/>
              </w:rPr>
            </w:pPr>
          </w:p>
        </w:tc>
        <w:tc>
          <w:tcPr>
            <w:tcW w:w="380" w:type="dxa"/>
            <w:vAlign w:val="bottom"/>
            <w:vMerge w:val="restart"/>
          </w:tcPr>
          <w:p>
            <w:pPr>
              <w:jc w:val="right"/>
              <w:ind w:right="228"/>
              <w:spacing w:after="0"/>
              <w:rPr>
                <w:sz w:val="20"/>
                <w:szCs w:val="20"/>
                <w:color w:val="auto"/>
              </w:rPr>
            </w:pPr>
            <w:r>
              <w:rPr>
                <w:rFonts w:ascii="Calibri" w:cs="Calibri" w:eastAsia="Calibri" w:hAnsi="Calibri"/>
                <w:sz w:val="14"/>
                <w:szCs w:val="14"/>
                <w:color w:val="auto"/>
                <w:w w:val="83"/>
              </w:rPr>
              <w:t>$</w:t>
            </w:r>
          </w:p>
        </w:tc>
        <w:tc>
          <w:tcPr>
            <w:tcW w:w="1260" w:type="dxa"/>
            <w:vAlign w:val="bottom"/>
            <w:vMerge w:val="restart"/>
          </w:tcPr>
          <w:p>
            <w:pPr>
              <w:jc w:val="right"/>
              <w:spacing w:after="0"/>
              <w:rPr>
                <w:sz w:val="20"/>
                <w:szCs w:val="20"/>
                <w:color w:val="auto"/>
              </w:rPr>
            </w:pPr>
            <w:r>
              <w:rPr>
                <w:rFonts w:ascii="Calibri" w:cs="Calibri" w:eastAsia="Calibri" w:hAnsi="Calibri"/>
                <w:sz w:val="14"/>
                <w:szCs w:val="14"/>
                <w:color w:val="auto"/>
              </w:rPr>
              <w:t>0.29</w:t>
            </w:r>
          </w:p>
        </w:tc>
        <w:tc>
          <w:tcPr>
            <w:tcW w:w="80" w:type="dxa"/>
            <w:vAlign w:val="bottom"/>
          </w:tcPr>
          <w:p>
            <w:pPr>
              <w:spacing w:after="0"/>
              <w:rPr>
                <w:sz w:val="10"/>
                <w:szCs w:val="10"/>
                <w:color w:val="auto"/>
              </w:rPr>
            </w:pPr>
          </w:p>
        </w:tc>
        <w:tc>
          <w:tcPr>
            <w:tcW w:w="380" w:type="dxa"/>
            <w:vAlign w:val="bottom"/>
            <w:vMerge w:val="restart"/>
          </w:tcPr>
          <w:p>
            <w:pPr>
              <w:jc w:val="right"/>
              <w:ind w:right="208"/>
              <w:spacing w:after="0"/>
              <w:rPr>
                <w:sz w:val="20"/>
                <w:szCs w:val="20"/>
                <w:color w:val="auto"/>
              </w:rPr>
            </w:pPr>
            <w:r>
              <w:rPr>
                <w:rFonts w:ascii="Calibri" w:cs="Calibri" w:eastAsia="Calibri" w:hAnsi="Calibri"/>
                <w:sz w:val="14"/>
                <w:szCs w:val="14"/>
                <w:color w:val="auto"/>
              </w:rPr>
              <w:t>$</w:t>
            </w:r>
          </w:p>
        </w:tc>
        <w:tc>
          <w:tcPr>
            <w:tcW w:w="1260" w:type="dxa"/>
            <w:vAlign w:val="bottom"/>
            <w:vMerge w:val="restart"/>
          </w:tcPr>
          <w:p>
            <w:pPr>
              <w:jc w:val="right"/>
              <w:spacing w:after="0"/>
              <w:rPr>
                <w:sz w:val="20"/>
                <w:szCs w:val="20"/>
                <w:color w:val="auto"/>
              </w:rPr>
            </w:pPr>
            <w:r>
              <w:rPr>
                <w:rFonts w:ascii="Calibri" w:cs="Calibri" w:eastAsia="Calibri" w:hAnsi="Calibri"/>
                <w:sz w:val="14"/>
                <w:szCs w:val="14"/>
                <w:color w:val="auto"/>
              </w:rPr>
              <w:t>0.15</w:t>
            </w:r>
          </w:p>
        </w:tc>
        <w:tc>
          <w:tcPr>
            <w:tcW w:w="0" w:type="dxa"/>
            <w:vAlign w:val="bottom"/>
          </w:tcPr>
          <w:p>
            <w:pPr>
              <w:spacing w:after="0"/>
              <w:rPr>
                <w:sz w:val="1"/>
                <w:szCs w:val="1"/>
                <w:color w:val="auto"/>
              </w:rPr>
            </w:pPr>
          </w:p>
        </w:tc>
      </w:tr>
      <w:tr>
        <w:trPr>
          <w:trHeight w:val="170"/>
        </w:trPr>
        <w:tc>
          <w:tcPr>
            <w:tcW w:w="4400" w:type="dxa"/>
            <w:vAlign w:val="bottom"/>
          </w:tcPr>
          <w:p>
            <w:pPr>
              <w:ind w:left="20"/>
              <w:spacing w:after="0"/>
              <w:rPr>
                <w:sz w:val="20"/>
                <w:szCs w:val="20"/>
                <w:color w:val="auto"/>
              </w:rPr>
            </w:pPr>
            <w:r>
              <w:rPr>
                <w:rFonts w:ascii="Calibri" w:cs="Calibri" w:eastAsia="Calibri" w:hAnsi="Calibri"/>
                <w:sz w:val="14"/>
                <w:szCs w:val="14"/>
                <w:color w:val="auto"/>
              </w:rPr>
              <w:t>common stockholders</w:t>
            </w:r>
          </w:p>
        </w:tc>
        <w:tc>
          <w:tcPr>
            <w:tcW w:w="10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Stock-based compensaton</w:t>
            </w:r>
          </w:p>
        </w:tc>
        <w:tc>
          <w:tcPr>
            <w:tcW w:w="10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0.83</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0.65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2.36</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1.88</w:t>
            </w:r>
          </w:p>
        </w:tc>
        <w:tc>
          <w:tcPr>
            <w:tcW w:w="0" w:type="dxa"/>
            <w:vAlign w:val="bottom"/>
          </w:tcPr>
          <w:p>
            <w:pPr>
              <w:spacing w:after="0"/>
              <w:rPr>
                <w:sz w:val="1"/>
                <w:szCs w:val="1"/>
                <w:color w:val="auto"/>
              </w:rPr>
            </w:pPr>
          </w:p>
        </w:tc>
      </w:tr>
      <w:tr>
        <w:trPr>
          <w:trHeight w:val="170"/>
        </w:trPr>
        <w:tc>
          <w:tcPr>
            <w:tcW w:w="4400" w:type="dxa"/>
            <w:vAlign w:val="bottom"/>
          </w:tcPr>
          <w:p>
            <w:pPr>
              <w:ind w:left="140"/>
              <w:spacing w:after="0"/>
              <w:rPr>
                <w:sz w:val="20"/>
                <w:szCs w:val="20"/>
                <w:color w:val="auto"/>
              </w:rPr>
            </w:pPr>
            <w:r>
              <w:rPr>
                <w:rFonts w:ascii="Calibri" w:cs="Calibri" w:eastAsia="Calibri" w:hAnsi="Calibri"/>
                <w:sz w:val="14"/>
                <w:szCs w:val="14"/>
                <w:color w:val="auto"/>
              </w:rPr>
              <w:t>Amortzaton of acquired intangible assets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0.03</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0.02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0.07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0.05</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Acquisiton-related expenses, net</w:t>
            </w:r>
          </w:p>
        </w:tc>
        <w:tc>
          <w:tcPr>
            <w:tcW w:w="10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0.01</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0.01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0.02</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0.02</w:t>
            </w:r>
          </w:p>
        </w:tc>
        <w:tc>
          <w:tcPr>
            <w:tcW w:w="0" w:type="dxa"/>
            <w:vAlign w:val="bottom"/>
          </w:tcPr>
          <w:p>
            <w:pPr>
              <w:spacing w:after="0"/>
              <w:rPr>
                <w:sz w:val="1"/>
                <w:szCs w:val="1"/>
                <w:color w:val="auto"/>
              </w:rPr>
            </w:pPr>
          </w:p>
        </w:tc>
      </w:tr>
      <w:tr>
        <w:trPr>
          <w:trHeight w:val="170"/>
        </w:trPr>
        <w:tc>
          <w:tcPr>
            <w:tcW w:w="4400" w:type="dxa"/>
            <w:vAlign w:val="bottom"/>
          </w:tcPr>
          <w:p>
            <w:pPr>
              <w:ind w:left="140"/>
              <w:spacing w:after="0"/>
              <w:rPr>
                <w:sz w:val="20"/>
                <w:szCs w:val="20"/>
                <w:color w:val="auto"/>
              </w:rPr>
            </w:pPr>
            <w:r>
              <w:rPr>
                <w:rFonts w:ascii="Calibri" w:cs="Calibri" w:eastAsia="Calibri" w:hAnsi="Calibri"/>
                <w:sz w:val="14"/>
                <w:szCs w:val="14"/>
                <w:color w:val="auto"/>
              </w:rPr>
              <w:t>Amortzaton of debt issuance costs and discount</w:t>
            </w:r>
          </w:p>
        </w:tc>
        <w:tc>
          <w:tcPr>
            <w:tcW w:w="10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w:t>
            </w:r>
          </w:p>
        </w:tc>
        <w:tc>
          <w:tcPr>
            <w:tcW w:w="10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0.01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0.01</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Mark-to-market adjustments on deferred compensaton liabilites</w:t>
            </w:r>
          </w:p>
        </w:tc>
        <w:tc>
          <w:tcPr>
            <w:tcW w:w="10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Calibri" w:cs="Calibri" w:eastAsia="Calibri" w:hAnsi="Calibri"/>
                <w:sz w:val="14"/>
                <w:szCs w:val="14"/>
                <w:color w:val="auto"/>
              </w:rPr>
              <w:t>—</w:t>
            </w:r>
          </w:p>
        </w:tc>
        <w:tc>
          <w:tcPr>
            <w:tcW w:w="10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0"/>
        </w:trPr>
        <w:tc>
          <w:tcPr>
            <w:tcW w:w="4400" w:type="dxa"/>
            <w:vAlign w:val="bottom"/>
          </w:tcPr>
          <w:p>
            <w:pPr>
              <w:ind w:left="140"/>
              <w:spacing w:after="0"/>
              <w:rPr>
                <w:sz w:val="20"/>
                <w:szCs w:val="20"/>
                <w:color w:val="auto"/>
              </w:rPr>
            </w:pPr>
            <w:r>
              <w:rPr>
                <w:rFonts w:ascii="Calibri" w:cs="Calibri" w:eastAsia="Calibri" w:hAnsi="Calibri"/>
                <w:sz w:val="14"/>
                <w:szCs w:val="14"/>
                <w:color w:val="auto"/>
              </w:rPr>
              <w:t>Legal reserve and setlement charges</w:t>
            </w:r>
          </w:p>
        </w:tc>
        <w:tc>
          <w:tcPr>
            <w:tcW w:w="10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w:t>
            </w:r>
          </w:p>
        </w:tc>
        <w:tc>
          <w:tcPr>
            <w:tcW w:w="10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0.02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0.03</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July 19 Incident related costs, net</w:t>
            </w:r>
          </w:p>
        </w:tc>
        <w:tc>
          <w:tcPr>
            <w:tcW w:w="10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0.14</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0.16</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03"/>
        </w:trPr>
        <w:tc>
          <w:tcPr>
            <w:tcW w:w="4400" w:type="dxa"/>
            <w:vAlign w:val="bottom"/>
          </w:tcPr>
          <w:p>
            <w:pPr>
              <w:ind w:left="120"/>
              <w:spacing w:after="0" w:line="203" w:lineRule="exact"/>
              <w:rPr>
                <w:sz w:val="20"/>
                <w:szCs w:val="20"/>
                <w:color w:val="auto"/>
              </w:rPr>
            </w:pPr>
            <w:r>
              <w:rPr>
                <w:rFonts w:ascii="Calibri" w:cs="Calibri" w:eastAsia="Calibri" w:hAnsi="Calibri"/>
                <w:sz w:val="14"/>
                <w:szCs w:val="14"/>
                <w:color w:val="auto"/>
              </w:rPr>
              <w:t>Beneft for income taxes</w:t>
            </w:r>
            <w:r>
              <w:rPr>
                <w:rFonts w:ascii="Calibri" w:cs="Calibri" w:eastAsia="Calibri" w:hAnsi="Calibri"/>
                <w:sz w:val="18"/>
                <w:szCs w:val="18"/>
                <w:color w:val="auto"/>
                <w:vertAlign w:val="superscript"/>
              </w:rPr>
              <w:t>1</w:t>
            </w:r>
          </w:p>
        </w:tc>
        <w:tc>
          <w:tcPr>
            <w:tcW w:w="10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w:t>
            </w:r>
          </w:p>
        </w:tc>
        <w:tc>
          <w:tcPr>
            <w:tcW w:w="10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21"/>
        </w:trPr>
        <w:tc>
          <w:tcPr>
            <w:tcW w:w="4400" w:type="dxa"/>
            <w:vAlign w:val="bottom"/>
            <w:shd w:val="clear" w:color="auto" w:fill="CCEEFF"/>
          </w:tcPr>
          <w:p>
            <w:pPr>
              <w:ind w:left="140"/>
              <w:spacing w:after="0" w:line="122" w:lineRule="exact"/>
              <w:rPr>
                <w:sz w:val="20"/>
                <w:szCs w:val="20"/>
                <w:color w:val="auto"/>
              </w:rPr>
            </w:pPr>
            <w:r>
              <w:rPr>
                <w:rFonts w:ascii="Calibri" w:cs="Calibri" w:eastAsia="Calibri" w:hAnsi="Calibri"/>
                <w:sz w:val="13"/>
                <w:szCs w:val="13"/>
                <w:color w:val="auto"/>
              </w:rPr>
              <w:t>Gains and other income from strategic investments atributable to</w:t>
            </w:r>
          </w:p>
        </w:tc>
        <w:tc>
          <w:tcPr>
            <w:tcW w:w="10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Calibri" w:cs="Calibri" w:eastAsia="Calibri" w:hAnsi="Calibri"/>
                <w:sz w:val="14"/>
                <w:szCs w:val="14"/>
                <w:color w:val="auto"/>
              </w:rPr>
              <w:t>—</w:t>
            </w:r>
          </w:p>
        </w:tc>
        <w:tc>
          <w:tcPr>
            <w:tcW w:w="10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Calibri" w:cs="Calibri" w:eastAsia="Calibri" w:hAnsi="Calibri"/>
                <w:sz w:val="14"/>
                <w:szCs w:val="14"/>
                <w:color w:val="auto"/>
              </w:rPr>
              <w:t>—</w:t>
            </w:r>
          </w:p>
        </w:tc>
        <w:tc>
          <w:tcPr>
            <w:tcW w:w="38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(0.01)</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4"/>
                <w:szCs w:val="14"/>
                <w:color w:val="auto"/>
              </w:rPr>
              <w:t>CrowdStrike</w:t>
            </w:r>
          </w:p>
        </w:tc>
        <w:tc>
          <w:tcPr>
            <w:tcW w:w="10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vMerge w:val="continue"/>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400" w:type="dxa"/>
            <w:vAlign w:val="bottom"/>
          </w:tcPr>
          <w:p>
            <w:pPr>
              <w:ind w:left="140"/>
              <w:spacing w:after="0"/>
              <w:rPr>
                <w:sz w:val="20"/>
                <w:szCs w:val="20"/>
                <w:color w:val="auto"/>
              </w:rPr>
            </w:pPr>
            <w:r>
              <w:rPr>
                <w:rFonts w:ascii="Calibri" w:cs="Calibri" w:eastAsia="Calibri" w:hAnsi="Calibri"/>
                <w:sz w:val="14"/>
                <w:szCs w:val="14"/>
                <w:color w:val="auto"/>
              </w:rPr>
              <w:t>Losses (gains) on deferred compensaton assets</w:t>
            </w:r>
          </w:p>
        </w:tc>
        <w:tc>
          <w:tcPr>
            <w:tcW w:w="10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w:t>
            </w:r>
          </w:p>
        </w:tc>
        <w:tc>
          <w:tcPr>
            <w:tcW w:w="10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shd w:val="clear" w:color="auto" w:fill="CCEEFF"/>
          </w:tcPr>
          <w:p>
            <w:pPr>
              <w:ind w:left="120"/>
              <w:spacing w:after="0" w:line="203" w:lineRule="exact"/>
              <w:rPr>
                <w:sz w:val="20"/>
                <w:szCs w:val="20"/>
                <w:color w:val="auto"/>
              </w:rPr>
            </w:pPr>
            <w:r>
              <w:rPr>
                <w:rFonts w:ascii="Calibri" w:cs="Calibri" w:eastAsia="Calibri" w:hAnsi="Calibri"/>
                <w:sz w:val="14"/>
                <w:szCs w:val="14"/>
                <w:color w:val="auto"/>
              </w:rPr>
              <w:t>Other</w:t>
            </w:r>
            <w:r>
              <w:rPr>
                <w:rFonts w:ascii="Calibri" w:cs="Calibri" w:eastAsia="Calibri" w:hAnsi="Calibri"/>
                <w:sz w:val="18"/>
                <w:szCs w:val="18"/>
                <w:color w:val="auto"/>
                <w:vertAlign w:val="superscript"/>
              </w:rPr>
              <w:t>2</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(0.01)</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0.01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(0.01)</w:t>
            </w:r>
          </w:p>
        </w:tc>
        <w:tc>
          <w:tcPr>
            <w:tcW w:w="0" w:type="dxa"/>
            <w:vAlign w:val="bottom"/>
          </w:tcPr>
          <w:p>
            <w:pPr>
              <w:spacing w:after="0"/>
              <w:rPr>
                <w:sz w:val="1"/>
                <w:szCs w:val="1"/>
                <w:color w:val="auto"/>
              </w:rPr>
            </w:pPr>
          </w:p>
        </w:tc>
      </w:tr>
      <w:tr>
        <w:trPr>
          <w:trHeight w:val="102"/>
        </w:trPr>
        <w:tc>
          <w:tcPr>
            <w:tcW w:w="4400" w:type="dxa"/>
            <w:vAlign w:val="bottom"/>
          </w:tcPr>
          <w:p>
            <w:pPr>
              <w:ind w:left="20"/>
              <w:spacing w:after="0" w:line="102" w:lineRule="exact"/>
              <w:rPr>
                <w:sz w:val="20"/>
                <w:szCs w:val="20"/>
                <w:color w:val="auto"/>
              </w:rPr>
            </w:pPr>
            <w:r>
              <w:rPr>
                <w:rFonts w:ascii="Calibri" w:cs="Calibri" w:eastAsia="Calibri" w:hAnsi="Calibri"/>
                <w:sz w:val="11"/>
                <w:szCs w:val="11"/>
                <w:color w:val="auto"/>
              </w:rPr>
              <w:t>Non-GAAP diluted net income per share atributable to CrowdStrike</w:t>
            </w:r>
          </w:p>
        </w:tc>
        <w:tc>
          <w:tcPr>
            <w:tcW w:w="1040" w:type="dxa"/>
            <w:vAlign w:val="bottom"/>
            <w:tcBorders>
              <w:top w:val="single" w:sz="8" w:color="auto"/>
            </w:tcBorders>
            <w:vMerge w:val="restart"/>
          </w:tcPr>
          <w:p>
            <w:pPr>
              <w:jc w:val="right"/>
              <w:ind w:right="868"/>
              <w:spacing w:after="0"/>
              <w:rPr>
                <w:sz w:val="20"/>
                <w:szCs w:val="20"/>
                <w:color w:val="auto"/>
              </w:rPr>
            </w:pPr>
            <w:r>
              <w:rPr>
                <w:rFonts w:ascii="Calibri" w:cs="Calibri" w:eastAsia="Calibri" w:hAnsi="Calibri"/>
                <w:sz w:val="14"/>
                <w:szCs w:val="14"/>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4"/>
                <w:szCs w:val="14"/>
                <w:color w:val="auto"/>
              </w:rPr>
              <w:t>0.93</w:t>
            </w:r>
          </w:p>
        </w:tc>
        <w:tc>
          <w:tcPr>
            <w:tcW w:w="120" w:type="dxa"/>
            <w:vAlign w:val="bottom"/>
          </w:tcPr>
          <w:p>
            <w:pPr>
              <w:spacing w:after="0"/>
              <w:rPr>
                <w:sz w:val="8"/>
                <w:szCs w:val="8"/>
                <w:color w:val="auto"/>
              </w:rPr>
            </w:pPr>
          </w:p>
        </w:tc>
        <w:tc>
          <w:tcPr>
            <w:tcW w:w="1020" w:type="dxa"/>
            <w:vAlign w:val="bottom"/>
            <w:tcBorders>
              <w:top w:val="single" w:sz="8" w:color="auto"/>
            </w:tcBorders>
            <w:vMerge w:val="restart"/>
          </w:tcPr>
          <w:p>
            <w:pPr>
              <w:jc w:val="right"/>
              <w:ind w:right="868"/>
              <w:spacing w:after="0"/>
              <w:rPr>
                <w:sz w:val="20"/>
                <w:szCs w:val="20"/>
                <w:color w:val="auto"/>
              </w:rPr>
            </w:pPr>
            <w:r>
              <w:rPr>
                <w:rFonts w:ascii="Calibri" w:cs="Calibri" w:eastAsia="Calibri" w:hAnsi="Calibri"/>
                <w:sz w:val="14"/>
                <w:szCs w:val="14"/>
                <w:color w:val="auto"/>
                <w:w w:val="83"/>
              </w:rPr>
              <w:t>$</w:t>
            </w:r>
          </w:p>
        </w:tc>
        <w:tc>
          <w:tcPr>
            <w:tcW w:w="6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4"/>
                <w:szCs w:val="14"/>
                <w:color w:val="auto"/>
              </w:rPr>
              <w:t>0.82</w:t>
            </w:r>
          </w:p>
        </w:tc>
        <w:tc>
          <w:tcPr>
            <w:tcW w:w="100" w:type="dxa"/>
            <w:vAlign w:val="bottom"/>
          </w:tcPr>
          <w:p>
            <w:pPr>
              <w:spacing w:after="0"/>
              <w:rPr>
                <w:sz w:val="8"/>
                <w:szCs w:val="8"/>
                <w:color w:val="auto"/>
              </w:rPr>
            </w:pPr>
          </w:p>
        </w:tc>
        <w:tc>
          <w:tcPr>
            <w:tcW w:w="380" w:type="dxa"/>
            <w:vAlign w:val="bottom"/>
            <w:tcBorders>
              <w:top w:val="single" w:sz="8" w:color="auto"/>
            </w:tcBorders>
            <w:vMerge w:val="restart"/>
          </w:tcPr>
          <w:p>
            <w:pPr>
              <w:jc w:val="right"/>
              <w:ind w:right="228"/>
              <w:spacing w:after="0"/>
              <w:rPr>
                <w:sz w:val="20"/>
                <w:szCs w:val="20"/>
                <w:color w:val="auto"/>
              </w:rPr>
            </w:pPr>
            <w:r>
              <w:rPr>
                <w:rFonts w:ascii="Calibri" w:cs="Calibri" w:eastAsia="Calibri" w:hAnsi="Calibri"/>
                <w:sz w:val="14"/>
                <w:szCs w:val="14"/>
                <w:color w:val="auto"/>
                <w:w w:val="83"/>
              </w:rPr>
              <w:t>$</w:t>
            </w:r>
          </w:p>
        </w:tc>
        <w:tc>
          <w:tcPr>
            <w:tcW w:w="126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4"/>
                <w:szCs w:val="14"/>
                <w:color w:val="auto"/>
              </w:rPr>
              <w:t>2.90</w:t>
            </w:r>
          </w:p>
        </w:tc>
        <w:tc>
          <w:tcPr>
            <w:tcW w:w="80" w:type="dxa"/>
            <w:vAlign w:val="bottom"/>
          </w:tcPr>
          <w:p>
            <w:pPr>
              <w:spacing w:after="0"/>
              <w:rPr>
                <w:sz w:val="8"/>
                <w:szCs w:val="8"/>
                <w:color w:val="auto"/>
              </w:rPr>
            </w:pPr>
          </w:p>
        </w:tc>
        <w:tc>
          <w:tcPr>
            <w:tcW w:w="380" w:type="dxa"/>
            <w:vAlign w:val="bottom"/>
            <w:tcBorders>
              <w:top w:val="single" w:sz="8" w:color="auto"/>
            </w:tcBorders>
            <w:vMerge w:val="restart"/>
          </w:tcPr>
          <w:p>
            <w:pPr>
              <w:jc w:val="right"/>
              <w:ind w:right="208"/>
              <w:spacing w:after="0"/>
              <w:rPr>
                <w:sz w:val="20"/>
                <w:szCs w:val="20"/>
                <w:color w:val="auto"/>
              </w:rPr>
            </w:pPr>
            <w:r>
              <w:rPr>
                <w:rFonts w:ascii="Calibri" w:cs="Calibri" w:eastAsia="Calibri" w:hAnsi="Calibri"/>
                <w:sz w:val="14"/>
                <w:szCs w:val="14"/>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4"/>
                <w:szCs w:val="14"/>
                <w:color w:val="auto"/>
              </w:rPr>
              <w:t>2.13</w:t>
            </w:r>
          </w:p>
        </w:tc>
        <w:tc>
          <w:tcPr>
            <w:tcW w:w="0" w:type="dxa"/>
            <w:vAlign w:val="bottom"/>
          </w:tcPr>
          <w:p>
            <w:pPr>
              <w:spacing w:after="0"/>
              <w:rPr>
                <w:sz w:val="1"/>
                <w:szCs w:val="1"/>
                <w:color w:val="auto"/>
              </w:rPr>
            </w:pPr>
          </w:p>
        </w:tc>
      </w:tr>
      <w:tr>
        <w:trPr>
          <w:trHeight w:val="188"/>
        </w:trPr>
        <w:tc>
          <w:tcPr>
            <w:tcW w:w="4400" w:type="dxa"/>
            <w:vAlign w:val="bottom"/>
          </w:tcPr>
          <w:p>
            <w:pPr>
              <w:ind w:left="20"/>
              <w:spacing w:after="0"/>
              <w:rPr>
                <w:sz w:val="20"/>
                <w:szCs w:val="20"/>
                <w:color w:val="auto"/>
              </w:rPr>
            </w:pPr>
            <w:r>
              <w:rPr>
                <w:rFonts w:ascii="Calibri" w:cs="Calibri" w:eastAsia="Calibri" w:hAnsi="Calibri"/>
                <w:sz w:val="14"/>
                <w:szCs w:val="14"/>
                <w:color w:val="auto"/>
              </w:rPr>
              <w:t>common stockholders</w:t>
            </w:r>
          </w:p>
        </w:tc>
        <w:tc>
          <w:tcPr>
            <w:tcW w:w="104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400" w:type="dxa"/>
            <w:vAlign w:val="bottom"/>
          </w:tcPr>
          <w:p>
            <w:pPr>
              <w:ind w:left="20"/>
              <w:spacing w:after="0" w:line="122" w:lineRule="exact"/>
              <w:rPr>
                <w:sz w:val="20"/>
                <w:szCs w:val="20"/>
                <w:color w:val="auto"/>
              </w:rPr>
            </w:pPr>
            <w:r>
              <w:rPr>
                <w:rFonts w:ascii="Calibri" w:cs="Calibri" w:eastAsia="Calibri" w:hAnsi="Calibri"/>
                <w:sz w:val="13"/>
                <w:szCs w:val="13"/>
                <w:color w:val="auto"/>
              </w:rPr>
              <w:t>Weighted-average shares used to calculate Non-GAAP diluted net income</w:t>
            </w:r>
          </w:p>
        </w:tc>
        <w:tc>
          <w:tcPr>
            <w:tcW w:w="10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Calibri" w:cs="Calibri" w:eastAsia="Calibri" w:hAnsi="Calibri"/>
                <w:sz w:val="14"/>
                <w:szCs w:val="14"/>
                <w:color w:val="auto"/>
              </w:rPr>
              <w:t>250,777</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Calibri" w:cs="Calibri" w:eastAsia="Calibri" w:hAnsi="Calibri"/>
                <w:sz w:val="14"/>
                <w:szCs w:val="14"/>
                <w:color w:val="auto"/>
              </w:rPr>
              <w:t>243,799</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Calibri" w:cs="Calibri" w:eastAsia="Calibri" w:hAnsi="Calibri"/>
                <w:sz w:val="14"/>
                <w:szCs w:val="14"/>
                <w:color w:val="auto"/>
              </w:rPr>
              <w:t>250,747</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Calibri" w:cs="Calibri" w:eastAsia="Calibri" w:hAnsi="Calibri"/>
                <w:sz w:val="14"/>
                <w:szCs w:val="14"/>
                <w:color w:val="auto"/>
              </w:rPr>
              <w:t>242,196</w:t>
            </w:r>
          </w:p>
        </w:tc>
        <w:tc>
          <w:tcPr>
            <w:tcW w:w="0" w:type="dxa"/>
            <w:vAlign w:val="bottom"/>
          </w:tcPr>
          <w:p>
            <w:pPr>
              <w:spacing w:after="0"/>
              <w:rPr>
                <w:sz w:val="1"/>
                <w:szCs w:val="1"/>
                <w:color w:val="auto"/>
              </w:rPr>
            </w:pPr>
          </w:p>
        </w:tc>
      </w:tr>
      <w:tr>
        <w:trPr>
          <w:trHeight w:val="170"/>
        </w:trPr>
        <w:tc>
          <w:tcPr>
            <w:tcW w:w="4400" w:type="dxa"/>
            <w:vAlign w:val="bottom"/>
          </w:tcPr>
          <w:p>
            <w:pPr>
              <w:ind w:left="20"/>
              <w:spacing w:after="0"/>
              <w:rPr>
                <w:sz w:val="20"/>
                <w:szCs w:val="20"/>
                <w:color w:val="auto"/>
              </w:rPr>
            </w:pPr>
            <w:r>
              <w:rPr>
                <w:rFonts w:ascii="Calibri" w:cs="Calibri" w:eastAsia="Calibri" w:hAnsi="Calibri"/>
                <w:sz w:val="14"/>
                <w:szCs w:val="14"/>
                <w:color w:val="auto"/>
              </w:rPr>
              <w:t>per share atributable to CrowdStrike common stockholders</w:t>
            </w:r>
          </w:p>
        </w:tc>
        <w:tc>
          <w:tcPr>
            <w:tcW w:w="10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w:t>
      </w:r>
    </w:p>
    <w:p>
      <w:pPr>
        <w:spacing w:after="0" w:line="121" w:lineRule="exact"/>
        <w:rPr>
          <w:sz w:val="20"/>
          <w:szCs w:val="20"/>
          <w:color w:val="auto"/>
        </w:rPr>
      </w:pPr>
    </w:p>
    <w:p>
      <w:pPr>
        <w:ind w:right="20" w:firstLine="8"/>
        <w:spacing w:after="0" w:line="246" w:lineRule="auto"/>
        <w:tabs>
          <w:tab w:leader="none" w:pos="124" w:val="left"/>
        </w:tabs>
        <w:numPr>
          <w:ilvl w:val="0"/>
          <w:numId w:val="20"/>
        </w:numPr>
        <w:rPr>
          <w:rFonts w:ascii="Calibri" w:cs="Calibri" w:eastAsia="Calibri" w:hAnsi="Calibri"/>
          <w:sz w:val="12"/>
          <w:szCs w:val="12"/>
          <w:color w:val="auto"/>
        </w:rPr>
      </w:pPr>
      <w:r>
        <w:rPr>
          <w:rFonts w:ascii="Calibri" w:cs="Calibri" w:eastAsia="Calibri" w:hAnsi="Calibri"/>
          <w:sz w:val="12"/>
          <w:szCs w:val="12"/>
          <w:color w:val="auto"/>
        </w:rPr>
        <w:t>CrowdStrike uses its GAAP provision for income taxes for the purpose of determining its non-GAAP income tax expense. The tax costs for intellectual property integraton relatng to acquisitons are included in the GAAP provision for income taxes. The income tax benefts related to stock-based compensaton, amortzaton of acquired intangibles assets, including purchased patents, acquisiton related expenses, amortzaton of debt</w:t>
      </w:r>
    </w:p>
    <w:p>
      <w:pPr>
        <w:spacing w:after="0" w:line="10" w:lineRule="exact"/>
        <w:rPr>
          <w:rFonts w:ascii="Calibri" w:cs="Calibri" w:eastAsia="Calibri" w:hAnsi="Calibri"/>
          <w:sz w:val="12"/>
          <w:szCs w:val="12"/>
          <w:color w:val="auto"/>
        </w:rPr>
      </w:pPr>
    </w:p>
    <w:p>
      <w:pPr>
        <w:ind w:right="420"/>
        <w:spacing w:after="0" w:line="224" w:lineRule="auto"/>
        <w:rPr>
          <w:rFonts w:ascii="Calibri" w:cs="Calibri" w:eastAsia="Calibri" w:hAnsi="Calibri"/>
          <w:sz w:val="12"/>
          <w:szCs w:val="12"/>
          <w:color w:val="auto"/>
        </w:rPr>
      </w:pPr>
      <w:r>
        <w:rPr>
          <w:rFonts w:ascii="Calibri" w:cs="Calibri" w:eastAsia="Calibri" w:hAnsi="Calibri"/>
          <w:sz w:val="13"/>
          <w:szCs w:val="13"/>
          <w:color w:val="auto"/>
        </w:rPr>
        <w:t>issuance costs and discount, gains and other income from strategic investments atributable to CrowdStrike, July 19 Incident related costs and (recoveries), net, and legal reserve and setlement charges or benefts included in the GAAP provision for income taxes were not material for all periods presented.</w:t>
      </w:r>
    </w:p>
    <w:p>
      <w:pPr>
        <w:spacing w:after="0" w:line="108" w:lineRule="exact"/>
        <w:rPr>
          <w:rFonts w:ascii="Calibri" w:cs="Calibri" w:eastAsia="Calibri" w:hAnsi="Calibri"/>
          <w:sz w:val="12"/>
          <w:szCs w:val="12"/>
          <w:color w:val="auto"/>
        </w:rPr>
      </w:pPr>
    </w:p>
    <w:p>
      <w:pPr>
        <w:ind w:right="20" w:firstLine="8"/>
        <w:spacing w:after="0" w:line="224" w:lineRule="auto"/>
        <w:tabs>
          <w:tab w:leader="none" w:pos="124" w:val="left"/>
        </w:tabs>
        <w:numPr>
          <w:ilvl w:val="0"/>
          <w:numId w:val="20"/>
        </w:numPr>
        <w:rPr>
          <w:rFonts w:ascii="Calibri" w:cs="Calibri" w:eastAsia="Calibri" w:hAnsi="Calibri"/>
          <w:sz w:val="13"/>
          <w:szCs w:val="13"/>
          <w:color w:val="auto"/>
        </w:rPr>
      </w:pPr>
      <w:r>
        <w:rPr>
          <w:rFonts w:ascii="Calibri" w:cs="Calibri" w:eastAsia="Calibri" w:hAnsi="Calibri"/>
          <w:sz w:val="13"/>
          <w:szCs w:val="13"/>
          <w:color w:val="auto"/>
        </w:rPr>
        <w:t>For periods in which CrowdStrike had diluted non-GAAP net income per share atributable to CrowdStrike common stockholders, the sum of the impact of individual reconciling items may not total to diluted Non-GAAP net income per share atributable to CrowdStrike common stockholders because of rounding diferences.</w:t>
      </w:r>
    </w:p>
    <w:p>
      <w:pPr>
        <w:sectPr>
          <w:pgSz w:w="11900" w:h="16838" w:orient="portrait"/>
          <w:cols w:equalWidth="0" w:num="1">
            <w:col w:w="11240"/>
          </w:cols>
          <w:pgMar w:left="320" w:top="1267" w:right="339" w:bottom="1440" w:gutter="0" w:footer="0" w:header="0"/>
        </w:sectPr>
      </w:pPr>
    </w:p>
    <w:bookmarkStart w:id="17" w:name="page18"/>
    <w:bookmarkEnd w:id="17"/>
    <w:p>
      <w:pPr>
        <w:jc w:val="center"/>
        <w:spacing w:after="0"/>
        <w:rPr>
          <w:sz w:val="20"/>
          <w:szCs w:val="20"/>
          <w:color w:val="auto"/>
        </w:rPr>
      </w:pPr>
      <w:r>
        <w:rPr>
          <w:rFonts w:ascii="Calibri" w:cs="Calibri" w:eastAsia="Calibri" w:hAnsi="Calibri"/>
          <w:sz w:val="18"/>
          <w:szCs w:val="18"/>
          <w:b w:val="1"/>
          <w:bCs w:val="1"/>
          <w:color w:val="auto"/>
        </w:rPr>
        <w:t>CROWDSTRIKE HOLDINGS, INC.</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GAAP to Non-GAAP Reconciliatons (contnued)</w:t>
      </w:r>
    </w:p>
    <w:p>
      <w:pPr>
        <w:jc w:val="center"/>
        <w:spacing w:after="0" w:line="235" w:lineRule="auto"/>
        <w:rPr>
          <w:sz w:val="20"/>
          <w:szCs w:val="20"/>
          <w:color w:val="auto"/>
        </w:rPr>
      </w:pPr>
      <w:r>
        <w:rPr>
          <w:rFonts w:ascii="Calibri" w:cs="Calibri" w:eastAsia="Calibri" w:hAnsi="Calibri"/>
          <w:sz w:val="18"/>
          <w:szCs w:val="18"/>
          <w:color w:val="auto"/>
        </w:rPr>
        <w:t>(in thousands, except percentages)</w:t>
      </w:r>
    </w:p>
    <w:p>
      <w:pPr>
        <w:jc w:val="center"/>
        <w:spacing w:after="0" w:line="236" w:lineRule="auto"/>
        <w:rPr>
          <w:sz w:val="20"/>
          <w:szCs w:val="20"/>
          <w:color w:val="auto"/>
        </w:rPr>
      </w:pPr>
      <w:r>
        <w:rPr>
          <w:rFonts w:ascii="Calibri" w:cs="Calibri" w:eastAsia="Calibri" w:hAnsi="Calibri"/>
          <w:sz w:val="18"/>
          <w:szCs w:val="18"/>
          <w:color w:val="auto"/>
        </w:rPr>
        <w:t>(unaudited)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60" w:type="dxa"/>
            <w:vAlign w:val="bottom"/>
            <w:gridSpan w:val="5"/>
          </w:tcPr>
          <w:p>
            <w:pPr>
              <w:ind w:left="320"/>
              <w:spacing w:after="0"/>
              <w:rPr>
                <w:sz w:val="20"/>
                <w:szCs w:val="20"/>
                <w:color w:val="auto"/>
              </w:rPr>
            </w:pPr>
            <w:r>
              <w:rPr>
                <w:rFonts w:ascii="Calibri" w:cs="Calibri" w:eastAsia="Calibri" w:hAnsi="Calibri"/>
                <w:sz w:val="16"/>
                <w:szCs w:val="16"/>
                <w:b w:val="1"/>
                <w:bCs w:val="1"/>
                <w:color w:val="auto"/>
              </w:rPr>
              <w:t>Three Months Ended October 31,</w:t>
            </w:r>
          </w:p>
        </w:tc>
        <w:tc>
          <w:tcPr>
            <w:tcW w:w="420" w:type="dxa"/>
            <w:vAlign w:val="bottom"/>
          </w:tcPr>
          <w:p>
            <w:pPr>
              <w:spacing w:after="0"/>
              <w:rPr>
                <w:sz w:val="16"/>
                <w:szCs w:val="16"/>
                <w:color w:val="auto"/>
              </w:rPr>
            </w:pPr>
          </w:p>
        </w:tc>
        <w:tc>
          <w:tcPr>
            <w:tcW w:w="3280" w:type="dxa"/>
            <w:vAlign w:val="bottom"/>
            <w:gridSpan w:val="4"/>
          </w:tcPr>
          <w:p>
            <w:pPr>
              <w:jc w:val="right"/>
              <w:ind w:right="700"/>
              <w:spacing w:after="0"/>
              <w:rPr>
                <w:sz w:val="20"/>
                <w:szCs w:val="20"/>
                <w:color w:val="auto"/>
              </w:rPr>
            </w:pPr>
            <w:r>
              <w:rPr>
                <w:rFonts w:ascii="Calibri" w:cs="Calibri" w:eastAsia="Calibri" w:hAnsi="Calibri"/>
                <w:sz w:val="16"/>
                <w:szCs w:val="16"/>
                <w:b w:val="1"/>
                <w:bCs w:val="1"/>
                <w:color w:val="auto"/>
              </w:rPr>
              <w:t>Nine Months Ended October 31,</w:t>
            </w:r>
          </w:p>
        </w:tc>
      </w:tr>
      <w:tr>
        <w:trPr>
          <w:trHeight w:val="28"/>
        </w:trPr>
        <w:tc>
          <w:tcPr>
            <w:tcW w:w="37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3"/>
        </w:trPr>
        <w:tc>
          <w:tcPr>
            <w:tcW w:w="3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660"/>
              <w:spacing w:after="0" w:line="164" w:lineRule="exact"/>
              <w:rPr>
                <w:sz w:val="20"/>
                <w:szCs w:val="20"/>
                <w:color w:val="auto"/>
              </w:rPr>
            </w:pPr>
            <w:r>
              <w:rPr>
                <w:rFonts w:ascii="Calibri" w:cs="Calibri" w:eastAsia="Calibri" w:hAnsi="Calibri"/>
                <w:sz w:val="14"/>
                <w:szCs w:val="14"/>
                <w:b w:val="1"/>
                <w:bCs w:val="1"/>
                <w:color w:val="auto"/>
              </w:rPr>
              <w:t>2024</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660"/>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680"/>
              <w:spacing w:after="0" w:line="164" w:lineRule="exact"/>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680"/>
              <w:spacing w:after="0" w:line="164" w:lineRule="exact"/>
              <w:rPr>
                <w:sz w:val="20"/>
                <w:szCs w:val="20"/>
                <w:color w:val="auto"/>
              </w:rPr>
            </w:pPr>
            <w:r>
              <w:rPr>
                <w:rFonts w:ascii="Calibri" w:cs="Calibri" w:eastAsia="Calibri" w:hAnsi="Calibri"/>
                <w:sz w:val="14"/>
                <w:szCs w:val="14"/>
                <w:b w:val="1"/>
                <w:bCs w:val="1"/>
                <w:color w:val="auto"/>
              </w:rPr>
              <w:t>2023</w:t>
            </w:r>
          </w:p>
        </w:tc>
      </w:tr>
      <w:tr>
        <w:trPr>
          <w:trHeight w:val="33"/>
        </w:trPr>
        <w:tc>
          <w:tcPr>
            <w:tcW w:w="37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9"/>
        </w:trPr>
        <w:tc>
          <w:tcPr>
            <w:tcW w:w="376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GAAP net cash provided by operatng actvites</w:t>
            </w: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60" w:type="dxa"/>
            <w:vAlign w:val="bottom"/>
            <w:tcBorders>
              <w:bottom w:val="single" w:sz="8" w:color="CCEEFF"/>
            </w:tcBorders>
            <w:shd w:val="clear" w:color="auto" w:fill="CCEEFF"/>
          </w:tcPr>
          <w:p>
            <w:pPr>
              <w:jc w:val="right"/>
              <w:ind w:right="80"/>
              <w:spacing w:after="0" w:line="187" w:lineRule="exact"/>
              <w:rPr>
                <w:sz w:val="20"/>
                <w:szCs w:val="20"/>
                <w:color w:val="auto"/>
              </w:rPr>
            </w:pPr>
            <w:r>
              <w:rPr>
                <w:rFonts w:ascii="Calibri" w:cs="Calibri" w:eastAsia="Calibri" w:hAnsi="Calibri"/>
                <w:sz w:val="16"/>
                <w:szCs w:val="16"/>
                <w:color w:val="auto"/>
              </w:rPr>
              <w:t>326,136</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60" w:type="dxa"/>
            <w:vAlign w:val="bottom"/>
            <w:tcBorders>
              <w:bottom w:val="single" w:sz="8" w:color="CCEEFF"/>
            </w:tcBorders>
            <w:shd w:val="clear" w:color="auto" w:fill="CCEEFF"/>
          </w:tcPr>
          <w:p>
            <w:pPr>
              <w:jc w:val="right"/>
              <w:ind w:right="80"/>
              <w:spacing w:after="0" w:line="187" w:lineRule="exact"/>
              <w:rPr>
                <w:sz w:val="20"/>
                <w:szCs w:val="20"/>
                <w:color w:val="auto"/>
              </w:rPr>
            </w:pPr>
            <w:r>
              <w:rPr>
                <w:rFonts w:ascii="Calibri" w:cs="Calibri" w:eastAsia="Calibri" w:hAnsi="Calibri"/>
                <w:sz w:val="16"/>
                <w:szCs w:val="16"/>
                <w:color w:val="auto"/>
              </w:rPr>
              <w:t>273,518</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80" w:type="dxa"/>
            <w:vAlign w:val="bottom"/>
            <w:tcBorders>
              <w:bottom w:val="single" w:sz="8" w:color="CCEEFF"/>
            </w:tcBorders>
            <w:shd w:val="clear" w:color="auto" w:fill="CCEEFF"/>
          </w:tcPr>
          <w:p>
            <w:pPr>
              <w:jc w:val="right"/>
              <w:ind w:right="100"/>
              <w:spacing w:after="0" w:line="187" w:lineRule="exact"/>
              <w:rPr>
                <w:sz w:val="20"/>
                <w:szCs w:val="20"/>
                <w:color w:val="auto"/>
              </w:rPr>
            </w:pPr>
            <w:r>
              <w:rPr>
                <w:rFonts w:ascii="Calibri" w:cs="Calibri" w:eastAsia="Calibri" w:hAnsi="Calibri"/>
                <w:sz w:val="16"/>
                <w:szCs w:val="16"/>
                <w:color w:val="auto"/>
              </w:rPr>
              <w:t>1,036,005</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80" w:type="dxa"/>
            <w:vAlign w:val="bottom"/>
            <w:tcBorders>
              <w:bottom w:val="single" w:sz="8" w:color="CCEEFF"/>
            </w:tcBorders>
            <w:shd w:val="clear" w:color="auto" w:fill="CCEEFF"/>
          </w:tcPr>
          <w:p>
            <w:pPr>
              <w:jc w:val="right"/>
              <w:ind w:right="100"/>
              <w:spacing w:after="0" w:line="187" w:lineRule="exact"/>
              <w:rPr>
                <w:sz w:val="20"/>
                <w:szCs w:val="20"/>
                <w:color w:val="auto"/>
              </w:rPr>
            </w:pPr>
            <w:r>
              <w:rPr>
                <w:rFonts w:ascii="Calibri" w:cs="Calibri" w:eastAsia="Calibri" w:hAnsi="Calibri"/>
                <w:sz w:val="16"/>
                <w:szCs w:val="16"/>
                <w:color w:val="auto"/>
              </w:rPr>
              <w:t>819,191</w:t>
            </w:r>
          </w:p>
        </w:tc>
      </w:tr>
      <w:tr>
        <w:trPr>
          <w:trHeight w:val="193"/>
        </w:trPr>
        <w:tc>
          <w:tcPr>
            <w:tcW w:w="3760" w:type="dxa"/>
            <w:vAlign w:val="bottom"/>
          </w:tcPr>
          <w:p>
            <w:pPr>
              <w:ind w:left="140"/>
              <w:spacing w:after="0" w:line="193" w:lineRule="exact"/>
              <w:rPr>
                <w:sz w:val="20"/>
                <w:szCs w:val="20"/>
                <w:color w:val="auto"/>
              </w:rPr>
            </w:pPr>
            <w:r>
              <w:rPr>
                <w:rFonts w:ascii="Calibri" w:cs="Calibri" w:eastAsia="Calibri" w:hAnsi="Calibri"/>
                <w:sz w:val="16"/>
                <w:szCs w:val="16"/>
                <w:color w:val="auto"/>
              </w:rPr>
              <w:t>Purchases of property and equipment</w:t>
            </w:r>
          </w:p>
        </w:tc>
        <w:tc>
          <w:tcPr>
            <w:tcW w:w="420" w:type="dxa"/>
            <w:vAlign w:val="bottom"/>
          </w:tcPr>
          <w:p>
            <w:pPr>
              <w:spacing w:after="0"/>
              <w:rPr>
                <w:sz w:val="16"/>
                <w:szCs w:val="16"/>
                <w:color w:val="auto"/>
              </w:rPr>
            </w:pPr>
          </w:p>
        </w:tc>
        <w:tc>
          <w:tcPr>
            <w:tcW w:w="1360" w:type="dxa"/>
            <w:vAlign w:val="bottom"/>
          </w:tcPr>
          <w:p>
            <w:pPr>
              <w:jc w:val="right"/>
              <w:ind w:right="60"/>
              <w:spacing w:after="0" w:line="193" w:lineRule="exact"/>
              <w:rPr>
                <w:sz w:val="20"/>
                <w:szCs w:val="20"/>
                <w:color w:val="auto"/>
              </w:rPr>
            </w:pPr>
            <w:r>
              <w:rPr>
                <w:rFonts w:ascii="Calibri" w:cs="Calibri" w:eastAsia="Calibri" w:hAnsi="Calibri"/>
                <w:sz w:val="16"/>
                <w:szCs w:val="16"/>
                <w:color w:val="auto"/>
              </w:rPr>
              <w:t>(78,704)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40"/>
              <w:spacing w:after="0" w:line="193" w:lineRule="exact"/>
              <w:rPr>
                <w:sz w:val="20"/>
                <w:szCs w:val="20"/>
                <w:color w:val="auto"/>
              </w:rPr>
            </w:pPr>
            <w:r>
              <w:rPr>
                <w:rFonts w:ascii="Calibri" w:cs="Calibri" w:eastAsia="Calibri" w:hAnsi="Calibri"/>
                <w:sz w:val="16"/>
                <w:szCs w:val="16"/>
                <w:color w:val="auto"/>
              </w:rPr>
              <w:t>(21,264)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60"/>
              <w:spacing w:after="0" w:line="193" w:lineRule="exact"/>
              <w:rPr>
                <w:sz w:val="20"/>
                <w:szCs w:val="20"/>
                <w:color w:val="auto"/>
              </w:rPr>
            </w:pPr>
            <w:r>
              <w:rPr>
                <w:rFonts w:ascii="Calibri" w:cs="Calibri" w:eastAsia="Calibri" w:hAnsi="Calibri"/>
                <w:sz w:val="16"/>
                <w:szCs w:val="16"/>
                <w:color w:val="auto"/>
              </w:rPr>
              <w:t>(167,641)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60"/>
              <w:spacing w:after="0" w:line="193" w:lineRule="exact"/>
              <w:rPr>
                <w:sz w:val="20"/>
                <w:szCs w:val="20"/>
                <w:color w:val="auto"/>
              </w:rPr>
            </w:pPr>
            <w:r>
              <w:rPr>
                <w:rFonts w:ascii="Calibri" w:cs="Calibri" w:eastAsia="Calibri" w:hAnsi="Calibri"/>
                <w:sz w:val="16"/>
                <w:szCs w:val="16"/>
                <w:color w:val="auto"/>
              </w:rPr>
              <w:t>(123,945)</w:t>
            </w:r>
          </w:p>
        </w:tc>
      </w:tr>
      <w:tr>
        <w:trPr>
          <w:trHeight w:val="23"/>
        </w:trPr>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7"/>
        </w:trPr>
        <w:tc>
          <w:tcPr>
            <w:tcW w:w="3760" w:type="dxa"/>
            <w:vAlign w:val="bottom"/>
            <w:shd w:val="clear" w:color="auto" w:fill="CCEEFF"/>
          </w:tcPr>
          <w:p>
            <w:pPr>
              <w:ind w:left="140"/>
              <w:spacing w:after="0" w:line="157" w:lineRule="exact"/>
              <w:rPr>
                <w:sz w:val="20"/>
                <w:szCs w:val="20"/>
                <w:color w:val="auto"/>
              </w:rPr>
            </w:pPr>
            <w:r>
              <w:rPr>
                <w:rFonts w:ascii="Calibri" w:cs="Calibri" w:eastAsia="Calibri" w:hAnsi="Calibri"/>
                <w:sz w:val="16"/>
                <w:szCs w:val="16"/>
                <w:color w:val="auto"/>
              </w:rPr>
              <w:t>Capitalized internal-use sofware and website</w:t>
            </w: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201"/>
        </w:trPr>
        <w:tc>
          <w:tcPr>
            <w:tcW w:w="376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development costs</w:t>
            </w:r>
          </w:p>
        </w:tc>
        <w:tc>
          <w:tcPr>
            <w:tcW w:w="4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60"/>
              <w:spacing w:after="0" w:line="193" w:lineRule="exact"/>
              <w:rPr>
                <w:sz w:val="20"/>
                <w:szCs w:val="20"/>
                <w:color w:val="auto"/>
              </w:rPr>
            </w:pPr>
            <w:r>
              <w:rPr>
                <w:rFonts w:ascii="Calibri" w:cs="Calibri" w:eastAsia="Calibri" w:hAnsi="Calibri"/>
                <w:sz w:val="16"/>
                <w:szCs w:val="16"/>
                <w:color w:val="auto"/>
              </w:rPr>
              <w:t>(16,271)</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40"/>
              <w:spacing w:after="0" w:line="193" w:lineRule="exact"/>
              <w:rPr>
                <w:sz w:val="20"/>
                <w:szCs w:val="20"/>
                <w:color w:val="auto"/>
              </w:rPr>
            </w:pPr>
            <w:r>
              <w:rPr>
                <w:rFonts w:ascii="Calibri" w:cs="Calibri" w:eastAsia="Calibri" w:hAnsi="Calibri"/>
                <w:sz w:val="16"/>
                <w:szCs w:val="16"/>
                <w:color w:val="auto"/>
              </w:rPr>
              <w:t>(12,630)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60"/>
              <w:spacing w:after="0" w:line="193" w:lineRule="exact"/>
              <w:rPr>
                <w:sz w:val="20"/>
                <w:szCs w:val="20"/>
                <w:color w:val="auto"/>
              </w:rPr>
            </w:pPr>
            <w:r>
              <w:rPr>
                <w:rFonts w:ascii="Calibri" w:cs="Calibri" w:eastAsia="Calibri" w:hAnsi="Calibri"/>
                <w:sz w:val="16"/>
                <w:szCs w:val="16"/>
                <w:color w:val="auto"/>
              </w:rPr>
              <w:t>(41,266)</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60"/>
              <w:spacing w:after="0" w:line="193" w:lineRule="exact"/>
              <w:rPr>
                <w:sz w:val="20"/>
                <w:szCs w:val="20"/>
                <w:color w:val="auto"/>
              </w:rPr>
            </w:pPr>
            <w:r>
              <w:rPr>
                <w:rFonts w:ascii="Calibri" w:cs="Calibri" w:eastAsia="Calibri" w:hAnsi="Calibri"/>
                <w:sz w:val="16"/>
                <w:szCs w:val="16"/>
                <w:color w:val="auto"/>
              </w:rPr>
              <w:t>(38,605)</w:t>
            </w:r>
          </w:p>
        </w:tc>
      </w:tr>
      <w:tr>
        <w:trPr>
          <w:trHeight w:val="193"/>
        </w:trPr>
        <w:tc>
          <w:tcPr>
            <w:tcW w:w="3760" w:type="dxa"/>
            <w:vAlign w:val="bottom"/>
          </w:tcPr>
          <w:p>
            <w:pPr>
              <w:ind w:left="140"/>
              <w:spacing w:after="0" w:line="193" w:lineRule="exact"/>
              <w:rPr>
                <w:sz w:val="20"/>
                <w:szCs w:val="20"/>
                <w:color w:val="auto"/>
              </w:rPr>
            </w:pPr>
            <w:r>
              <w:rPr>
                <w:rFonts w:ascii="Calibri" w:cs="Calibri" w:eastAsia="Calibri" w:hAnsi="Calibri"/>
                <w:sz w:val="16"/>
                <w:szCs w:val="16"/>
                <w:color w:val="auto"/>
              </w:rPr>
              <w:t>Purchases of deferred compensaton investments</w:t>
            </w:r>
          </w:p>
        </w:tc>
        <w:tc>
          <w:tcPr>
            <w:tcW w:w="420" w:type="dxa"/>
            <w:vAlign w:val="bottom"/>
          </w:tcPr>
          <w:p>
            <w:pPr>
              <w:spacing w:after="0"/>
              <w:rPr>
                <w:sz w:val="16"/>
                <w:szCs w:val="16"/>
                <w:color w:val="auto"/>
              </w:rPr>
            </w:pPr>
          </w:p>
        </w:tc>
        <w:tc>
          <w:tcPr>
            <w:tcW w:w="1360" w:type="dxa"/>
            <w:vAlign w:val="bottom"/>
          </w:tcPr>
          <w:p>
            <w:pPr>
              <w:jc w:val="right"/>
              <w:ind w:right="60"/>
              <w:spacing w:after="0" w:line="193" w:lineRule="exact"/>
              <w:rPr>
                <w:sz w:val="20"/>
                <w:szCs w:val="20"/>
                <w:color w:val="auto"/>
              </w:rPr>
            </w:pPr>
            <w:r>
              <w:rPr>
                <w:rFonts w:ascii="Calibri" w:cs="Calibri" w:eastAsia="Calibri" w:hAnsi="Calibri"/>
                <w:sz w:val="16"/>
                <w:szCs w:val="16"/>
                <w:color w:val="auto"/>
              </w:rPr>
              <w:t>(606)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40"/>
              <w:spacing w:after="0" w:line="193" w:lineRule="exact"/>
              <w:rPr>
                <w:sz w:val="20"/>
                <w:szCs w:val="20"/>
                <w:color w:val="auto"/>
              </w:rPr>
            </w:pPr>
            <w:r>
              <w:rPr>
                <w:rFonts w:ascii="Calibri" w:cs="Calibri" w:eastAsia="Calibri" w:hAnsi="Calibri"/>
                <w:sz w:val="16"/>
                <w:szCs w:val="16"/>
                <w:color w:val="auto"/>
              </w:rPr>
              <w:t>(586)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60"/>
              <w:spacing w:after="0" w:line="193" w:lineRule="exact"/>
              <w:rPr>
                <w:sz w:val="20"/>
                <w:szCs w:val="20"/>
                <w:color w:val="auto"/>
              </w:rPr>
            </w:pPr>
            <w:r>
              <w:rPr>
                <w:rFonts w:ascii="Calibri" w:cs="Calibri" w:eastAsia="Calibri" w:hAnsi="Calibri"/>
                <w:sz w:val="16"/>
                <w:szCs w:val="16"/>
                <w:color w:val="auto"/>
              </w:rPr>
              <w:t>(1,815)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60"/>
              <w:spacing w:after="0" w:line="193" w:lineRule="exact"/>
              <w:rPr>
                <w:sz w:val="20"/>
                <w:szCs w:val="20"/>
                <w:color w:val="auto"/>
              </w:rPr>
            </w:pPr>
            <w:r>
              <w:rPr>
                <w:rFonts w:ascii="Calibri" w:cs="Calibri" w:eastAsia="Calibri" w:hAnsi="Calibri"/>
                <w:sz w:val="16"/>
                <w:szCs w:val="16"/>
                <w:color w:val="auto"/>
              </w:rPr>
              <w:t>(1,462)</w:t>
            </w:r>
          </w:p>
        </w:tc>
      </w:tr>
      <w:tr>
        <w:trPr>
          <w:trHeight w:val="23"/>
        </w:trPr>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7"/>
        </w:trPr>
        <w:tc>
          <w:tcPr>
            <w:tcW w:w="3760" w:type="dxa"/>
            <w:vAlign w:val="bottom"/>
            <w:shd w:val="clear" w:color="auto" w:fill="CCEEFF"/>
          </w:tcPr>
          <w:p>
            <w:pPr>
              <w:ind w:left="140"/>
              <w:spacing w:after="0" w:line="157" w:lineRule="exact"/>
              <w:rPr>
                <w:sz w:val="20"/>
                <w:szCs w:val="20"/>
                <w:color w:val="auto"/>
              </w:rPr>
            </w:pPr>
            <w:r>
              <w:rPr>
                <w:rFonts w:ascii="Calibri" w:cs="Calibri" w:eastAsia="Calibri" w:hAnsi="Calibri"/>
                <w:sz w:val="16"/>
                <w:szCs w:val="16"/>
                <w:color w:val="auto"/>
              </w:rPr>
              <w:t>Proceeds from sales of deferred compensaton</w:t>
            </w: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221"/>
        </w:trPr>
        <w:tc>
          <w:tcPr>
            <w:tcW w:w="376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investments</w:t>
            </w:r>
          </w:p>
        </w:tc>
        <w:tc>
          <w:tcPr>
            <w:tcW w:w="4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80"/>
              <w:spacing w:after="0" w:line="193" w:lineRule="exact"/>
              <w:rPr>
                <w:sz w:val="20"/>
                <w:szCs w:val="20"/>
                <w:color w:val="auto"/>
              </w:rPr>
            </w:pPr>
            <w:r>
              <w:rPr>
                <w:rFonts w:ascii="Calibri" w:cs="Calibri" w:eastAsia="Calibri" w:hAnsi="Calibri"/>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60"/>
              <w:spacing w:after="0" w:line="193" w:lineRule="exact"/>
              <w:rPr>
                <w:sz w:val="20"/>
                <w:szCs w:val="20"/>
                <w:color w:val="auto"/>
              </w:rPr>
            </w:pPr>
            <w:r>
              <w:rPr>
                <w:rFonts w:ascii="Calibri" w:cs="Calibri" w:eastAsia="Calibri" w:hAnsi="Calibri"/>
                <w:sz w:val="16"/>
                <w:szCs w:val="16"/>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00"/>
              <w:spacing w:after="0" w:line="193" w:lineRule="exact"/>
              <w:rPr>
                <w:sz w:val="20"/>
                <w:szCs w:val="20"/>
                <w:color w:val="auto"/>
              </w:rPr>
            </w:pPr>
            <w:r>
              <w:rPr>
                <w:rFonts w:ascii="Calibri" w:cs="Calibri" w:eastAsia="Calibri" w:hAnsi="Calibri"/>
                <w:sz w:val="16"/>
                <w:szCs w:val="16"/>
                <w:color w:val="auto"/>
              </w:rPr>
              <w:t>—</w:t>
            </w:r>
          </w:p>
        </w:tc>
      </w:tr>
      <w:tr>
        <w:trPr>
          <w:trHeight w:val="209"/>
        </w:trPr>
        <w:tc>
          <w:tcPr>
            <w:tcW w:w="3760" w:type="dxa"/>
            <w:vAlign w:val="bottom"/>
          </w:tcPr>
          <w:p>
            <w:pPr>
              <w:ind w:left="20"/>
              <w:spacing w:after="0"/>
              <w:rPr>
                <w:sz w:val="20"/>
                <w:szCs w:val="20"/>
                <w:color w:val="auto"/>
              </w:rPr>
            </w:pPr>
            <w:r>
              <w:rPr>
                <w:rFonts w:ascii="Calibri" w:cs="Calibri" w:eastAsia="Calibri" w:hAnsi="Calibri"/>
                <w:sz w:val="16"/>
                <w:szCs w:val="16"/>
                <w:color w:val="auto"/>
              </w:rPr>
              <w:t>Free cash fow</w:t>
            </w:r>
          </w:p>
        </w:tc>
        <w:tc>
          <w:tcPr>
            <w:tcW w:w="420" w:type="dxa"/>
            <w:vAlign w:val="bottom"/>
            <w:tcBorders>
              <w:top w:val="single" w:sz="8" w:color="auto"/>
              <w:bottom w:val="single" w:sz="8" w:color="auto"/>
            </w:tcBorders>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Borders>
              <w:top w:val="single" w:sz="8" w:color="auto"/>
              <w:bottom w:val="single" w:sz="8" w:color="auto"/>
            </w:tcBorders>
          </w:tcPr>
          <w:p>
            <w:pPr>
              <w:jc w:val="right"/>
              <w:ind w:right="80"/>
              <w:spacing w:after="0" w:line="193" w:lineRule="exact"/>
              <w:rPr>
                <w:sz w:val="20"/>
                <w:szCs w:val="20"/>
                <w:color w:val="auto"/>
              </w:rPr>
            </w:pPr>
            <w:r>
              <w:rPr>
                <w:rFonts w:ascii="Calibri" w:cs="Calibri" w:eastAsia="Calibri" w:hAnsi="Calibri"/>
                <w:sz w:val="16"/>
                <w:szCs w:val="16"/>
                <w:color w:val="auto"/>
              </w:rPr>
              <w:t>230,555</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Borders>
              <w:top w:val="single" w:sz="8" w:color="auto"/>
              <w:bottom w:val="single" w:sz="8" w:color="auto"/>
            </w:tcBorders>
          </w:tcPr>
          <w:p>
            <w:pPr>
              <w:jc w:val="right"/>
              <w:ind w:right="80"/>
              <w:spacing w:after="0" w:line="193" w:lineRule="exact"/>
              <w:rPr>
                <w:sz w:val="20"/>
                <w:szCs w:val="20"/>
                <w:color w:val="auto"/>
              </w:rPr>
            </w:pPr>
            <w:r>
              <w:rPr>
                <w:rFonts w:ascii="Calibri" w:cs="Calibri" w:eastAsia="Calibri" w:hAnsi="Calibri"/>
                <w:sz w:val="16"/>
                <w:szCs w:val="16"/>
                <w:color w:val="auto"/>
              </w:rPr>
              <w:t>239,038</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80" w:type="dxa"/>
            <w:vAlign w:val="bottom"/>
            <w:tcBorders>
              <w:top w:val="single" w:sz="8" w:color="auto"/>
              <w:bottom w:val="single" w:sz="8" w:color="auto"/>
            </w:tcBorders>
          </w:tcPr>
          <w:p>
            <w:pPr>
              <w:jc w:val="right"/>
              <w:ind w:right="100"/>
              <w:spacing w:after="0" w:line="193" w:lineRule="exact"/>
              <w:rPr>
                <w:sz w:val="20"/>
                <w:szCs w:val="20"/>
                <w:color w:val="auto"/>
              </w:rPr>
            </w:pPr>
            <w:r>
              <w:rPr>
                <w:rFonts w:ascii="Calibri" w:cs="Calibri" w:eastAsia="Calibri" w:hAnsi="Calibri"/>
                <w:sz w:val="16"/>
                <w:szCs w:val="16"/>
                <w:color w:val="auto"/>
              </w:rPr>
              <w:t>825,242</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80" w:type="dxa"/>
            <w:vAlign w:val="bottom"/>
            <w:tcBorders>
              <w:top w:val="single" w:sz="8" w:color="auto"/>
              <w:bottom w:val="single" w:sz="8" w:color="auto"/>
            </w:tcBorders>
          </w:tcPr>
          <w:p>
            <w:pPr>
              <w:jc w:val="right"/>
              <w:ind w:right="100"/>
              <w:spacing w:after="0" w:line="193" w:lineRule="exact"/>
              <w:rPr>
                <w:sz w:val="20"/>
                <w:szCs w:val="20"/>
                <w:color w:val="auto"/>
              </w:rPr>
            </w:pPr>
            <w:r>
              <w:rPr>
                <w:rFonts w:ascii="Calibri" w:cs="Calibri" w:eastAsia="Calibri" w:hAnsi="Calibri"/>
                <w:sz w:val="16"/>
                <w:szCs w:val="16"/>
                <w:color w:val="auto"/>
              </w:rPr>
              <w:t>655,179</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3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193"/>
        </w:trPr>
        <w:tc>
          <w:tcPr>
            <w:tcW w:w="3760" w:type="dxa"/>
            <w:vAlign w:val="bottom"/>
          </w:tcPr>
          <w:p>
            <w:pPr>
              <w:ind w:left="20"/>
              <w:spacing w:after="0" w:line="193" w:lineRule="exact"/>
              <w:rPr>
                <w:sz w:val="20"/>
                <w:szCs w:val="20"/>
                <w:color w:val="auto"/>
              </w:rPr>
            </w:pPr>
            <w:r>
              <w:rPr>
                <w:rFonts w:ascii="Calibri" w:cs="Calibri" w:eastAsia="Calibri" w:hAnsi="Calibri"/>
                <w:sz w:val="16"/>
                <w:szCs w:val="16"/>
                <w:color w:val="auto"/>
              </w:rPr>
              <w:t>GAAP net cash used in investng actvites</w:t>
            </w:r>
          </w:p>
        </w:tc>
        <w:tc>
          <w:tcPr>
            <w:tcW w:w="420" w:type="dxa"/>
            <w:vAlign w:val="bottom"/>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Pr>
          <w:p>
            <w:pPr>
              <w:jc w:val="right"/>
              <w:ind w:right="60"/>
              <w:spacing w:after="0" w:line="193" w:lineRule="exact"/>
              <w:rPr>
                <w:sz w:val="20"/>
                <w:szCs w:val="20"/>
                <w:color w:val="auto"/>
              </w:rPr>
            </w:pPr>
            <w:r>
              <w:rPr>
                <w:rFonts w:ascii="Calibri" w:cs="Calibri" w:eastAsia="Calibri" w:hAnsi="Calibri"/>
                <w:sz w:val="16"/>
                <w:szCs w:val="16"/>
                <w:color w:val="auto"/>
              </w:rPr>
              <w:t>(105,581)</w:t>
            </w:r>
          </w:p>
        </w:tc>
        <w:tc>
          <w:tcPr>
            <w:tcW w:w="120" w:type="dxa"/>
            <w:vAlign w:val="bottom"/>
          </w:tcPr>
          <w:p>
            <w:pPr>
              <w:spacing w:after="0"/>
              <w:rPr>
                <w:sz w:val="16"/>
                <w:szCs w:val="16"/>
                <w:color w:val="auto"/>
              </w:rPr>
            </w:pPr>
          </w:p>
        </w:tc>
        <w:tc>
          <w:tcPr>
            <w:tcW w:w="420" w:type="dxa"/>
            <w:vAlign w:val="bottom"/>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Pr>
          <w:p>
            <w:pPr>
              <w:jc w:val="right"/>
              <w:ind w:right="40"/>
              <w:spacing w:after="0" w:line="193" w:lineRule="exact"/>
              <w:rPr>
                <w:sz w:val="20"/>
                <w:szCs w:val="20"/>
                <w:color w:val="auto"/>
              </w:rPr>
            </w:pPr>
            <w:r>
              <w:rPr>
                <w:rFonts w:ascii="Calibri" w:cs="Calibri" w:eastAsia="Calibri" w:hAnsi="Calibri"/>
                <w:sz w:val="16"/>
                <w:szCs w:val="16"/>
                <w:color w:val="auto"/>
              </w:rPr>
              <w:t>(468,836)</w:t>
            </w:r>
          </w:p>
        </w:tc>
        <w:tc>
          <w:tcPr>
            <w:tcW w:w="100" w:type="dxa"/>
            <w:vAlign w:val="bottom"/>
          </w:tcPr>
          <w:p>
            <w:pPr>
              <w:spacing w:after="0"/>
              <w:rPr>
                <w:sz w:val="16"/>
                <w:szCs w:val="16"/>
                <w:color w:val="auto"/>
              </w:rPr>
            </w:pPr>
          </w:p>
        </w:tc>
        <w:tc>
          <w:tcPr>
            <w:tcW w:w="420" w:type="dxa"/>
            <w:vAlign w:val="bottom"/>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80" w:type="dxa"/>
            <w:vAlign w:val="bottom"/>
          </w:tcPr>
          <w:p>
            <w:pPr>
              <w:jc w:val="right"/>
              <w:ind w:right="60"/>
              <w:spacing w:after="0" w:line="193" w:lineRule="exact"/>
              <w:rPr>
                <w:sz w:val="20"/>
                <w:szCs w:val="20"/>
                <w:color w:val="auto"/>
              </w:rPr>
            </w:pPr>
            <w:r>
              <w:rPr>
                <w:rFonts w:ascii="Calibri" w:cs="Calibri" w:eastAsia="Calibri" w:hAnsi="Calibri"/>
                <w:sz w:val="16"/>
                <w:szCs w:val="16"/>
                <w:color w:val="auto"/>
              </w:rPr>
              <w:t>(211,569)</w:t>
            </w:r>
          </w:p>
        </w:tc>
        <w:tc>
          <w:tcPr>
            <w:tcW w:w="100" w:type="dxa"/>
            <w:vAlign w:val="bottom"/>
          </w:tcPr>
          <w:p>
            <w:pPr>
              <w:spacing w:after="0"/>
              <w:rPr>
                <w:sz w:val="16"/>
                <w:szCs w:val="16"/>
                <w:color w:val="auto"/>
              </w:rPr>
            </w:pPr>
          </w:p>
        </w:tc>
        <w:tc>
          <w:tcPr>
            <w:tcW w:w="420" w:type="dxa"/>
            <w:vAlign w:val="bottom"/>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80" w:type="dxa"/>
            <w:vAlign w:val="bottom"/>
          </w:tcPr>
          <w:p>
            <w:pPr>
              <w:jc w:val="right"/>
              <w:ind w:right="60"/>
              <w:spacing w:after="0" w:line="193" w:lineRule="exact"/>
              <w:rPr>
                <w:sz w:val="20"/>
                <w:szCs w:val="20"/>
                <w:color w:val="auto"/>
              </w:rPr>
            </w:pPr>
            <w:r>
              <w:rPr>
                <w:rFonts w:ascii="Calibri" w:cs="Calibri" w:eastAsia="Calibri" w:hAnsi="Calibri"/>
                <w:sz w:val="16"/>
                <w:szCs w:val="16"/>
                <w:color w:val="auto"/>
              </w:rPr>
              <w:t>(361,045)</w:t>
            </w:r>
          </w:p>
        </w:tc>
      </w:tr>
      <w:tr>
        <w:trPr>
          <w:trHeight w:val="23"/>
        </w:trPr>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3"/>
        </w:trPr>
        <w:tc>
          <w:tcPr>
            <w:tcW w:w="3760" w:type="dxa"/>
            <w:vAlign w:val="bottom"/>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GAAP net cash provided by fnancing actvites</w:t>
            </w:r>
          </w:p>
        </w:tc>
        <w:tc>
          <w:tcPr>
            <w:tcW w:w="420" w:type="dxa"/>
            <w:vAlign w:val="bottom"/>
            <w:shd w:val="clear" w:color="auto" w:fill="CCEEFF"/>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shd w:val="clear" w:color="auto" w:fill="CCEEFF"/>
          </w:tcPr>
          <w:p>
            <w:pPr>
              <w:jc w:val="right"/>
              <w:ind w:right="80"/>
              <w:spacing w:after="0" w:line="193" w:lineRule="exact"/>
              <w:rPr>
                <w:sz w:val="20"/>
                <w:szCs w:val="20"/>
                <w:color w:val="auto"/>
              </w:rPr>
            </w:pPr>
            <w:r>
              <w:rPr>
                <w:rFonts w:ascii="Calibri" w:cs="Calibri" w:eastAsia="Calibri" w:hAnsi="Calibri"/>
                <w:sz w:val="16"/>
                <w:szCs w:val="16"/>
                <w:color w:val="auto"/>
              </w:rPr>
              <w:t>844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shd w:val="clear" w:color="auto" w:fill="CCEEFF"/>
          </w:tcPr>
          <w:p>
            <w:pPr>
              <w:jc w:val="right"/>
              <w:ind w:right="80"/>
              <w:spacing w:after="0" w:line="193" w:lineRule="exact"/>
              <w:rPr>
                <w:sz w:val="20"/>
                <w:szCs w:val="20"/>
                <w:color w:val="auto"/>
              </w:rPr>
            </w:pPr>
            <w:r>
              <w:rPr>
                <w:rFonts w:ascii="Calibri" w:cs="Calibri" w:eastAsia="Calibri" w:hAnsi="Calibri"/>
                <w:sz w:val="16"/>
                <w:szCs w:val="16"/>
                <w:color w:val="auto"/>
              </w:rPr>
              <w:t>2,053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80" w:type="dxa"/>
            <w:vAlign w:val="bottom"/>
            <w:shd w:val="clear" w:color="auto" w:fill="CCEEFF"/>
          </w:tcPr>
          <w:p>
            <w:pPr>
              <w:jc w:val="right"/>
              <w:ind w:right="100"/>
              <w:spacing w:after="0" w:line="193" w:lineRule="exact"/>
              <w:rPr>
                <w:sz w:val="20"/>
                <w:szCs w:val="20"/>
                <w:color w:val="auto"/>
              </w:rPr>
            </w:pPr>
            <w:r>
              <w:rPr>
                <w:rFonts w:ascii="Calibri" w:cs="Calibri" w:eastAsia="Calibri" w:hAnsi="Calibri"/>
                <w:sz w:val="16"/>
                <w:szCs w:val="16"/>
                <w:color w:val="auto"/>
              </w:rPr>
              <w:t>60,822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1380" w:type="dxa"/>
            <w:vAlign w:val="bottom"/>
            <w:shd w:val="clear" w:color="auto" w:fill="CCEEFF"/>
          </w:tcPr>
          <w:p>
            <w:pPr>
              <w:jc w:val="right"/>
              <w:ind w:right="100"/>
              <w:spacing w:after="0" w:line="193" w:lineRule="exact"/>
              <w:rPr>
                <w:sz w:val="20"/>
                <w:szCs w:val="20"/>
                <w:color w:val="auto"/>
              </w:rPr>
            </w:pPr>
            <w:r>
              <w:rPr>
                <w:rFonts w:ascii="Calibri" w:cs="Calibri" w:eastAsia="Calibri" w:hAnsi="Calibri"/>
                <w:sz w:val="16"/>
                <w:szCs w:val="16"/>
                <w:color w:val="auto"/>
              </w:rPr>
              <w:t>59,698</w:t>
            </w:r>
          </w:p>
        </w:tc>
      </w:tr>
      <w:tr>
        <w:trPr>
          <w:trHeight w:val="23"/>
        </w:trPr>
        <w:tc>
          <w:tcPr>
            <w:tcW w:w="37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shd w:val="clear" w:color="auto" w:fill="CCEEFF"/>
          </w:tcPr>
          <w:p>
            <w:pPr>
              <w:ind w:left="20"/>
              <w:spacing w:after="0"/>
              <w:rPr>
                <w:sz w:val="20"/>
                <w:szCs w:val="20"/>
                <w:color w:val="auto"/>
              </w:rPr>
            </w:pPr>
            <w:r>
              <w:rPr>
                <w:rFonts w:ascii="Calibri" w:cs="Calibri" w:eastAsia="Calibri" w:hAnsi="Calibri"/>
                <w:sz w:val="16"/>
                <w:szCs w:val="16"/>
                <w:color w:val="auto"/>
              </w:rPr>
              <w:t>GAAP net cash provided by operatng actvites as a</w:t>
            </w:r>
          </w:p>
        </w:tc>
        <w:tc>
          <w:tcPr>
            <w:tcW w:w="18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1"/>
        </w:trPr>
        <w:tc>
          <w:tcPr>
            <w:tcW w:w="44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percentage of revenue</w:t>
            </w:r>
          </w:p>
        </w:tc>
        <w:tc>
          <w:tcPr>
            <w:tcW w:w="1860" w:type="dxa"/>
            <w:vAlign w:val="bottom"/>
            <w:tcBorders>
              <w:bottom w:val="single" w:sz="8" w:color="CCEEFF"/>
            </w:tcBorders>
            <w:shd w:val="clear" w:color="auto" w:fill="CCEEFF"/>
          </w:tcPr>
          <w:p>
            <w:pPr>
              <w:jc w:val="right"/>
              <w:ind w:right="719"/>
              <w:spacing w:after="0" w:line="193" w:lineRule="exact"/>
              <w:rPr>
                <w:sz w:val="20"/>
                <w:szCs w:val="20"/>
                <w:color w:val="auto"/>
              </w:rPr>
            </w:pPr>
            <w:r>
              <w:rPr>
                <w:rFonts w:ascii="Calibri" w:cs="Calibri" w:eastAsia="Calibri" w:hAnsi="Calibri"/>
                <w:sz w:val="16"/>
                <w:szCs w:val="16"/>
                <w:color w:val="auto"/>
              </w:rPr>
              <w:t>32 %</w:t>
            </w:r>
          </w:p>
        </w:tc>
        <w:tc>
          <w:tcPr>
            <w:tcW w:w="1900" w:type="dxa"/>
            <w:vAlign w:val="bottom"/>
            <w:tcBorders>
              <w:bottom w:val="single" w:sz="8" w:color="CCEEFF"/>
            </w:tcBorders>
            <w:shd w:val="clear" w:color="auto" w:fill="CCEEFF"/>
          </w:tcPr>
          <w:p>
            <w:pPr>
              <w:jc w:val="right"/>
              <w:ind w:right="719"/>
              <w:spacing w:after="0" w:line="193" w:lineRule="exact"/>
              <w:rPr>
                <w:sz w:val="20"/>
                <w:szCs w:val="20"/>
                <w:color w:val="auto"/>
              </w:rPr>
            </w:pPr>
            <w:r>
              <w:rPr>
                <w:rFonts w:ascii="Calibri" w:cs="Calibri" w:eastAsia="Calibri" w:hAnsi="Calibri"/>
                <w:sz w:val="16"/>
                <w:szCs w:val="16"/>
                <w:color w:val="auto"/>
              </w:rPr>
              <w:t>35 %</w:t>
            </w:r>
          </w:p>
        </w:tc>
        <w:tc>
          <w:tcPr>
            <w:tcW w:w="1900" w:type="dxa"/>
            <w:vAlign w:val="bottom"/>
            <w:tcBorders>
              <w:bottom w:val="single" w:sz="8" w:color="CCEEFF"/>
            </w:tcBorders>
            <w:shd w:val="clear" w:color="auto" w:fill="CCEEFF"/>
          </w:tcPr>
          <w:p>
            <w:pPr>
              <w:jc w:val="right"/>
              <w:ind w:right="719"/>
              <w:spacing w:after="0" w:line="193" w:lineRule="exact"/>
              <w:rPr>
                <w:sz w:val="20"/>
                <w:szCs w:val="20"/>
                <w:color w:val="auto"/>
              </w:rPr>
            </w:pPr>
            <w:r>
              <w:rPr>
                <w:rFonts w:ascii="Calibri" w:cs="Calibri" w:eastAsia="Calibri" w:hAnsi="Calibri"/>
                <w:sz w:val="16"/>
                <w:szCs w:val="16"/>
                <w:color w:val="auto"/>
              </w:rPr>
              <w:t>36 %</w:t>
            </w: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37 %</w:t>
            </w:r>
          </w:p>
        </w:tc>
      </w:tr>
      <w:tr>
        <w:trPr>
          <w:trHeight w:val="157"/>
        </w:trPr>
        <w:tc>
          <w:tcPr>
            <w:tcW w:w="4460" w:type="dxa"/>
            <w:vAlign w:val="bottom"/>
          </w:tcPr>
          <w:p>
            <w:pPr>
              <w:ind w:left="140"/>
              <w:spacing w:after="0" w:line="157" w:lineRule="exact"/>
              <w:rPr>
                <w:sz w:val="20"/>
                <w:szCs w:val="20"/>
                <w:color w:val="auto"/>
              </w:rPr>
            </w:pPr>
            <w:r>
              <w:rPr>
                <w:rFonts w:ascii="Calibri" w:cs="Calibri" w:eastAsia="Calibri" w:hAnsi="Calibri"/>
                <w:sz w:val="16"/>
                <w:szCs w:val="16"/>
                <w:color w:val="auto"/>
              </w:rPr>
              <w:t>Purchases of property and equipment as a percentage</w:t>
            </w:r>
          </w:p>
        </w:tc>
        <w:tc>
          <w:tcPr>
            <w:tcW w:w="18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3"/>
        </w:trPr>
        <w:tc>
          <w:tcPr>
            <w:tcW w:w="4460" w:type="dxa"/>
            <w:vAlign w:val="bottom"/>
          </w:tcPr>
          <w:p>
            <w:pPr>
              <w:ind w:left="140"/>
              <w:spacing w:after="0" w:line="193" w:lineRule="exact"/>
              <w:rPr>
                <w:sz w:val="20"/>
                <w:szCs w:val="20"/>
                <w:color w:val="auto"/>
              </w:rPr>
            </w:pPr>
            <w:r>
              <w:rPr>
                <w:rFonts w:ascii="Calibri" w:cs="Calibri" w:eastAsia="Calibri" w:hAnsi="Calibri"/>
                <w:sz w:val="16"/>
                <w:szCs w:val="16"/>
                <w:color w:val="auto"/>
              </w:rPr>
              <w:t>of revenue</w:t>
            </w:r>
          </w:p>
        </w:tc>
        <w:tc>
          <w:tcPr>
            <w:tcW w:w="1860" w:type="dxa"/>
            <w:vAlign w:val="bottom"/>
          </w:tcPr>
          <w:p>
            <w:pPr>
              <w:jc w:val="right"/>
              <w:ind w:right="719"/>
              <w:spacing w:after="0" w:line="193" w:lineRule="exact"/>
              <w:rPr>
                <w:sz w:val="20"/>
                <w:szCs w:val="20"/>
                <w:color w:val="auto"/>
              </w:rPr>
            </w:pPr>
            <w:r>
              <w:rPr>
                <w:rFonts w:ascii="Calibri" w:cs="Calibri" w:eastAsia="Calibri" w:hAnsi="Calibri"/>
                <w:sz w:val="16"/>
                <w:szCs w:val="16"/>
                <w:color w:val="auto"/>
              </w:rPr>
              <w:t>(8)%</w:t>
            </w:r>
          </w:p>
        </w:tc>
        <w:tc>
          <w:tcPr>
            <w:tcW w:w="1900" w:type="dxa"/>
            <w:vAlign w:val="bottom"/>
          </w:tcPr>
          <w:p>
            <w:pPr>
              <w:jc w:val="right"/>
              <w:ind w:right="719"/>
              <w:spacing w:after="0" w:line="193" w:lineRule="exact"/>
              <w:rPr>
                <w:sz w:val="20"/>
                <w:szCs w:val="20"/>
                <w:color w:val="auto"/>
              </w:rPr>
            </w:pPr>
            <w:r>
              <w:rPr>
                <w:rFonts w:ascii="Calibri" w:cs="Calibri" w:eastAsia="Calibri" w:hAnsi="Calibri"/>
                <w:sz w:val="16"/>
                <w:szCs w:val="16"/>
                <w:color w:val="auto"/>
              </w:rPr>
              <w:t>(3)%</w:t>
            </w:r>
          </w:p>
        </w:tc>
        <w:tc>
          <w:tcPr>
            <w:tcW w:w="1900" w:type="dxa"/>
            <w:vAlign w:val="bottom"/>
          </w:tcPr>
          <w:p>
            <w:pPr>
              <w:jc w:val="right"/>
              <w:ind w:right="719"/>
              <w:spacing w:after="0" w:line="193" w:lineRule="exact"/>
              <w:rPr>
                <w:sz w:val="20"/>
                <w:szCs w:val="20"/>
                <w:color w:val="auto"/>
              </w:rPr>
            </w:pPr>
            <w:r>
              <w:rPr>
                <w:rFonts w:ascii="Calibri" w:cs="Calibri" w:eastAsia="Calibri" w:hAnsi="Calibri"/>
                <w:sz w:val="16"/>
                <w:szCs w:val="16"/>
                <w:color w:val="auto"/>
              </w:rPr>
              <w:t>(6)%</w:t>
            </w: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(6)%</w:t>
            </w:r>
          </w:p>
        </w:tc>
      </w:tr>
      <w:tr>
        <w:trPr>
          <w:trHeight w:val="28"/>
        </w:trPr>
        <w:tc>
          <w:tcPr>
            <w:tcW w:w="4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7"/>
        </w:trPr>
        <w:tc>
          <w:tcPr>
            <w:tcW w:w="4460" w:type="dxa"/>
            <w:vAlign w:val="bottom"/>
            <w:shd w:val="clear" w:color="auto" w:fill="CCEEFF"/>
          </w:tcPr>
          <w:p>
            <w:pPr>
              <w:ind w:left="140"/>
              <w:spacing w:after="0" w:line="157" w:lineRule="exact"/>
              <w:rPr>
                <w:sz w:val="20"/>
                <w:szCs w:val="20"/>
                <w:color w:val="auto"/>
              </w:rPr>
            </w:pPr>
            <w:r>
              <w:rPr>
                <w:rFonts w:ascii="Calibri" w:cs="Calibri" w:eastAsia="Calibri" w:hAnsi="Calibri"/>
                <w:sz w:val="16"/>
                <w:szCs w:val="16"/>
                <w:color w:val="auto"/>
              </w:rPr>
              <w:t>Capitalized internal-use sofware and website</w:t>
            </w:r>
          </w:p>
        </w:tc>
        <w:tc>
          <w:tcPr>
            <w:tcW w:w="18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01"/>
        </w:trPr>
        <w:tc>
          <w:tcPr>
            <w:tcW w:w="446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development costs as a percentage of revenue</w:t>
            </w:r>
          </w:p>
        </w:tc>
        <w:tc>
          <w:tcPr>
            <w:tcW w:w="1860" w:type="dxa"/>
            <w:vAlign w:val="bottom"/>
            <w:tcBorders>
              <w:bottom w:val="single" w:sz="8" w:color="CCEEFF"/>
            </w:tcBorders>
            <w:shd w:val="clear" w:color="auto" w:fill="CCEEFF"/>
          </w:tcPr>
          <w:p>
            <w:pPr>
              <w:jc w:val="right"/>
              <w:ind w:right="719"/>
              <w:spacing w:after="0" w:line="193" w:lineRule="exact"/>
              <w:rPr>
                <w:sz w:val="20"/>
                <w:szCs w:val="20"/>
                <w:color w:val="auto"/>
              </w:rPr>
            </w:pPr>
            <w:r>
              <w:rPr>
                <w:rFonts w:ascii="Calibri" w:cs="Calibri" w:eastAsia="Calibri" w:hAnsi="Calibri"/>
                <w:sz w:val="16"/>
                <w:szCs w:val="16"/>
                <w:color w:val="auto"/>
              </w:rPr>
              <w:t>(2)%</w:t>
            </w:r>
          </w:p>
        </w:tc>
        <w:tc>
          <w:tcPr>
            <w:tcW w:w="1900" w:type="dxa"/>
            <w:vAlign w:val="bottom"/>
            <w:tcBorders>
              <w:bottom w:val="single" w:sz="8" w:color="CCEEFF"/>
            </w:tcBorders>
            <w:shd w:val="clear" w:color="auto" w:fill="CCEEFF"/>
          </w:tcPr>
          <w:p>
            <w:pPr>
              <w:jc w:val="right"/>
              <w:ind w:right="719"/>
              <w:spacing w:after="0" w:line="193" w:lineRule="exact"/>
              <w:rPr>
                <w:sz w:val="20"/>
                <w:szCs w:val="20"/>
                <w:color w:val="auto"/>
              </w:rPr>
            </w:pPr>
            <w:r>
              <w:rPr>
                <w:rFonts w:ascii="Calibri" w:cs="Calibri" w:eastAsia="Calibri" w:hAnsi="Calibri"/>
                <w:sz w:val="16"/>
                <w:szCs w:val="16"/>
                <w:color w:val="auto"/>
              </w:rPr>
              <w:t>(2)%</w:t>
            </w:r>
          </w:p>
        </w:tc>
        <w:tc>
          <w:tcPr>
            <w:tcW w:w="1900" w:type="dxa"/>
            <w:vAlign w:val="bottom"/>
            <w:tcBorders>
              <w:bottom w:val="single" w:sz="8" w:color="CCEEFF"/>
            </w:tcBorders>
            <w:shd w:val="clear" w:color="auto" w:fill="CCEEFF"/>
          </w:tcPr>
          <w:p>
            <w:pPr>
              <w:jc w:val="right"/>
              <w:ind w:right="719"/>
              <w:spacing w:after="0" w:line="193" w:lineRule="exact"/>
              <w:rPr>
                <w:sz w:val="20"/>
                <w:szCs w:val="20"/>
                <w:color w:val="auto"/>
              </w:rPr>
            </w:pPr>
            <w:r>
              <w:rPr>
                <w:rFonts w:ascii="Calibri" w:cs="Calibri" w:eastAsia="Calibri" w:hAnsi="Calibri"/>
                <w:sz w:val="16"/>
                <w:szCs w:val="16"/>
                <w:color w:val="auto"/>
              </w:rPr>
              <w:t>(1)%</w:t>
            </w: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w:t>
            </w:r>
          </w:p>
        </w:tc>
      </w:tr>
      <w:tr>
        <w:trPr>
          <w:trHeight w:val="157"/>
        </w:trPr>
        <w:tc>
          <w:tcPr>
            <w:tcW w:w="4460" w:type="dxa"/>
            <w:vAlign w:val="bottom"/>
          </w:tcPr>
          <w:p>
            <w:pPr>
              <w:ind w:left="140"/>
              <w:spacing w:after="0" w:line="157" w:lineRule="exact"/>
              <w:rPr>
                <w:sz w:val="20"/>
                <w:szCs w:val="20"/>
                <w:color w:val="auto"/>
              </w:rPr>
            </w:pPr>
            <w:r>
              <w:rPr>
                <w:rFonts w:ascii="Calibri" w:cs="Calibri" w:eastAsia="Calibri" w:hAnsi="Calibri"/>
                <w:sz w:val="16"/>
                <w:szCs w:val="16"/>
                <w:color w:val="auto"/>
              </w:rPr>
              <w:t>Purchases of deferred compensaton investments as a</w:t>
            </w:r>
          </w:p>
        </w:tc>
        <w:tc>
          <w:tcPr>
            <w:tcW w:w="18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4"/>
        </w:trPr>
        <w:tc>
          <w:tcPr>
            <w:tcW w:w="4460" w:type="dxa"/>
            <w:vAlign w:val="bottom"/>
          </w:tcPr>
          <w:p>
            <w:pPr>
              <w:ind w:left="140"/>
              <w:spacing w:after="0" w:line="193" w:lineRule="exact"/>
              <w:rPr>
                <w:sz w:val="20"/>
                <w:szCs w:val="20"/>
                <w:color w:val="auto"/>
              </w:rPr>
            </w:pPr>
            <w:r>
              <w:rPr>
                <w:rFonts w:ascii="Calibri" w:cs="Calibri" w:eastAsia="Calibri" w:hAnsi="Calibri"/>
                <w:sz w:val="16"/>
                <w:szCs w:val="16"/>
                <w:color w:val="auto"/>
              </w:rPr>
              <w:t>percentage of revenue</w:t>
            </w:r>
          </w:p>
        </w:tc>
        <w:tc>
          <w:tcPr>
            <w:tcW w:w="1860" w:type="dxa"/>
            <w:vAlign w:val="bottom"/>
          </w:tcPr>
          <w:p>
            <w:pPr>
              <w:jc w:val="right"/>
              <w:ind w:right="719"/>
              <w:spacing w:after="0" w:line="193" w:lineRule="exact"/>
              <w:rPr>
                <w:sz w:val="20"/>
                <w:szCs w:val="20"/>
                <w:color w:val="auto"/>
              </w:rPr>
            </w:pPr>
            <w:r>
              <w:rPr>
                <w:rFonts w:ascii="Calibri" w:cs="Calibri" w:eastAsia="Calibri" w:hAnsi="Calibri"/>
                <w:sz w:val="16"/>
                <w:szCs w:val="16"/>
                <w:color w:val="auto"/>
              </w:rPr>
              <w:t>— %</w:t>
            </w:r>
          </w:p>
        </w:tc>
        <w:tc>
          <w:tcPr>
            <w:tcW w:w="1900" w:type="dxa"/>
            <w:vAlign w:val="bottom"/>
          </w:tcPr>
          <w:p>
            <w:pPr>
              <w:jc w:val="right"/>
              <w:ind w:right="719"/>
              <w:spacing w:after="0" w:line="193" w:lineRule="exact"/>
              <w:rPr>
                <w:sz w:val="20"/>
                <w:szCs w:val="20"/>
                <w:color w:val="auto"/>
              </w:rPr>
            </w:pPr>
            <w:r>
              <w:rPr>
                <w:rFonts w:ascii="Calibri" w:cs="Calibri" w:eastAsia="Calibri" w:hAnsi="Calibri"/>
                <w:sz w:val="16"/>
                <w:szCs w:val="16"/>
                <w:color w:val="auto"/>
              </w:rPr>
              <w:t>— %</w:t>
            </w:r>
          </w:p>
        </w:tc>
        <w:tc>
          <w:tcPr>
            <w:tcW w:w="1900" w:type="dxa"/>
            <w:vAlign w:val="bottom"/>
          </w:tcPr>
          <w:p>
            <w:pPr>
              <w:jc w:val="right"/>
              <w:ind w:right="719"/>
              <w:spacing w:after="0" w:line="193" w:lineRule="exact"/>
              <w:rPr>
                <w:sz w:val="20"/>
                <w:szCs w:val="20"/>
                <w:color w:val="auto"/>
              </w:rPr>
            </w:pPr>
            <w:r>
              <w:rPr>
                <w:rFonts w:ascii="Calibri" w:cs="Calibri" w:eastAsia="Calibri" w:hAnsi="Calibri"/>
                <w:sz w:val="16"/>
                <w:szCs w:val="16"/>
                <w:color w:val="auto"/>
              </w:rPr>
              <w:t>— %</w:t>
            </w: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 %</w:t>
            </w:r>
          </w:p>
        </w:tc>
      </w:tr>
      <w:tr>
        <w:trPr>
          <w:trHeight w:val="27"/>
        </w:trPr>
        <w:tc>
          <w:tcPr>
            <w:tcW w:w="4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7"/>
        </w:trPr>
        <w:tc>
          <w:tcPr>
            <w:tcW w:w="4460" w:type="dxa"/>
            <w:vAlign w:val="bottom"/>
            <w:shd w:val="clear" w:color="auto" w:fill="CCEEFF"/>
          </w:tcPr>
          <w:p>
            <w:pPr>
              <w:ind w:left="140"/>
              <w:spacing w:after="0" w:line="157" w:lineRule="exact"/>
              <w:rPr>
                <w:sz w:val="20"/>
                <w:szCs w:val="20"/>
                <w:color w:val="auto"/>
              </w:rPr>
            </w:pPr>
            <w:r>
              <w:rPr>
                <w:rFonts w:ascii="Calibri" w:cs="Calibri" w:eastAsia="Calibri" w:hAnsi="Calibri"/>
                <w:sz w:val="16"/>
                <w:szCs w:val="16"/>
                <w:color w:val="auto"/>
              </w:rPr>
              <w:t>Proceeds from sale of deferred compensaton</w:t>
            </w:r>
          </w:p>
        </w:tc>
        <w:tc>
          <w:tcPr>
            <w:tcW w:w="18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01"/>
        </w:trPr>
        <w:tc>
          <w:tcPr>
            <w:tcW w:w="446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investments</w:t>
            </w:r>
          </w:p>
        </w:tc>
        <w:tc>
          <w:tcPr>
            <w:tcW w:w="1860" w:type="dxa"/>
            <w:vAlign w:val="bottom"/>
            <w:tcBorders>
              <w:bottom w:val="single" w:sz="8" w:color="CCEEFF"/>
            </w:tcBorders>
            <w:shd w:val="clear" w:color="auto" w:fill="CCEEFF"/>
          </w:tcPr>
          <w:p>
            <w:pPr>
              <w:jc w:val="right"/>
              <w:ind w:right="719"/>
              <w:spacing w:after="0" w:line="193" w:lineRule="exact"/>
              <w:rPr>
                <w:sz w:val="20"/>
                <w:szCs w:val="20"/>
                <w:color w:val="auto"/>
              </w:rPr>
            </w:pPr>
            <w:r>
              <w:rPr>
                <w:rFonts w:ascii="Calibri" w:cs="Calibri" w:eastAsia="Calibri" w:hAnsi="Calibri"/>
                <w:sz w:val="16"/>
                <w:szCs w:val="16"/>
                <w:color w:val="auto"/>
              </w:rPr>
              <w:t>— %</w:t>
            </w:r>
          </w:p>
        </w:tc>
        <w:tc>
          <w:tcPr>
            <w:tcW w:w="1900" w:type="dxa"/>
            <w:vAlign w:val="bottom"/>
            <w:tcBorders>
              <w:bottom w:val="single" w:sz="8" w:color="CCEEFF"/>
            </w:tcBorders>
            <w:shd w:val="clear" w:color="auto" w:fill="CCEEFF"/>
          </w:tcPr>
          <w:p>
            <w:pPr>
              <w:jc w:val="right"/>
              <w:ind w:right="719"/>
              <w:spacing w:after="0" w:line="193" w:lineRule="exact"/>
              <w:rPr>
                <w:sz w:val="20"/>
                <w:szCs w:val="20"/>
                <w:color w:val="auto"/>
              </w:rPr>
            </w:pPr>
            <w:r>
              <w:rPr>
                <w:rFonts w:ascii="Calibri" w:cs="Calibri" w:eastAsia="Calibri" w:hAnsi="Calibri"/>
                <w:sz w:val="16"/>
                <w:szCs w:val="16"/>
                <w:color w:val="auto"/>
              </w:rPr>
              <w:t>— %</w:t>
            </w:r>
          </w:p>
        </w:tc>
        <w:tc>
          <w:tcPr>
            <w:tcW w:w="1900" w:type="dxa"/>
            <w:vAlign w:val="bottom"/>
            <w:tcBorders>
              <w:bottom w:val="single" w:sz="8" w:color="CCEEFF"/>
            </w:tcBorders>
            <w:shd w:val="clear" w:color="auto" w:fill="CCEEFF"/>
          </w:tcPr>
          <w:p>
            <w:pPr>
              <w:jc w:val="right"/>
              <w:ind w:right="719"/>
              <w:spacing w:after="0" w:line="193" w:lineRule="exact"/>
              <w:rPr>
                <w:sz w:val="20"/>
                <w:szCs w:val="20"/>
                <w:color w:val="auto"/>
              </w:rPr>
            </w:pPr>
            <w:r>
              <w:rPr>
                <w:rFonts w:ascii="Calibri" w:cs="Calibri" w:eastAsia="Calibri" w:hAnsi="Calibri"/>
                <w:sz w:val="16"/>
                <w:szCs w:val="16"/>
                <w:color w:val="auto"/>
              </w:rPr>
              <w:t>— %</w:t>
            </w: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 %</w:t>
            </w:r>
          </w:p>
        </w:tc>
      </w:tr>
      <w:tr>
        <w:trPr>
          <w:trHeight w:val="194"/>
        </w:trPr>
        <w:tc>
          <w:tcPr>
            <w:tcW w:w="4460" w:type="dxa"/>
            <w:vAlign w:val="bottom"/>
          </w:tcPr>
          <w:p>
            <w:pPr>
              <w:ind w:left="20"/>
              <w:spacing w:after="0" w:line="193" w:lineRule="exact"/>
              <w:rPr>
                <w:sz w:val="20"/>
                <w:szCs w:val="20"/>
                <w:color w:val="auto"/>
              </w:rPr>
            </w:pPr>
            <w:r>
              <w:rPr>
                <w:rFonts w:ascii="Calibri" w:cs="Calibri" w:eastAsia="Calibri" w:hAnsi="Calibri"/>
                <w:sz w:val="16"/>
                <w:szCs w:val="16"/>
                <w:color w:val="auto"/>
              </w:rPr>
              <w:t>Free cash fow margin</w:t>
            </w:r>
          </w:p>
        </w:tc>
        <w:tc>
          <w:tcPr>
            <w:tcW w:w="1860" w:type="dxa"/>
            <w:vAlign w:val="bottom"/>
          </w:tcPr>
          <w:p>
            <w:pPr>
              <w:jc w:val="right"/>
              <w:ind w:right="719"/>
              <w:spacing w:after="0" w:line="193" w:lineRule="exact"/>
              <w:rPr>
                <w:sz w:val="20"/>
                <w:szCs w:val="20"/>
                <w:color w:val="auto"/>
              </w:rPr>
            </w:pPr>
            <w:r>
              <w:rPr>
                <w:rFonts w:ascii="Calibri" w:cs="Calibri" w:eastAsia="Calibri" w:hAnsi="Calibri"/>
                <w:sz w:val="16"/>
                <w:szCs w:val="16"/>
                <w:color w:val="auto"/>
              </w:rPr>
              <w:t>23 %</w:t>
            </w:r>
          </w:p>
        </w:tc>
        <w:tc>
          <w:tcPr>
            <w:tcW w:w="1900" w:type="dxa"/>
            <w:vAlign w:val="bottom"/>
          </w:tcPr>
          <w:p>
            <w:pPr>
              <w:jc w:val="right"/>
              <w:ind w:right="719"/>
              <w:spacing w:after="0" w:line="193" w:lineRule="exact"/>
              <w:rPr>
                <w:sz w:val="20"/>
                <w:szCs w:val="20"/>
                <w:color w:val="auto"/>
              </w:rPr>
            </w:pPr>
            <w:r>
              <w:rPr>
                <w:rFonts w:ascii="Calibri" w:cs="Calibri" w:eastAsia="Calibri" w:hAnsi="Calibri"/>
                <w:sz w:val="16"/>
                <w:szCs w:val="16"/>
                <w:color w:val="auto"/>
              </w:rPr>
              <w:t>30 %</w:t>
            </w:r>
          </w:p>
        </w:tc>
        <w:tc>
          <w:tcPr>
            <w:tcW w:w="1900" w:type="dxa"/>
            <w:vAlign w:val="bottom"/>
          </w:tcPr>
          <w:p>
            <w:pPr>
              <w:jc w:val="right"/>
              <w:ind w:right="719"/>
              <w:spacing w:after="0" w:line="193" w:lineRule="exact"/>
              <w:rPr>
                <w:sz w:val="20"/>
                <w:szCs w:val="20"/>
                <w:color w:val="auto"/>
              </w:rPr>
            </w:pPr>
            <w:r>
              <w:rPr>
                <w:rFonts w:ascii="Calibri" w:cs="Calibri" w:eastAsia="Calibri" w:hAnsi="Calibri"/>
                <w:sz w:val="16"/>
                <w:szCs w:val="16"/>
                <w:color w:val="auto"/>
              </w:rPr>
              <w:t>29 %</w:t>
            </w: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30 %</w:t>
            </w:r>
          </w:p>
        </w:tc>
      </w:tr>
    </w:tbl>
    <w:p>
      <w:pPr>
        <w:spacing w:after="0" w:line="1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t>
      </w:r>
    </w:p>
    <w:p>
      <w:pPr>
        <w:sectPr>
          <w:pgSz w:w="11900" w:h="16838" w:orient="portrait"/>
          <w:cols w:equalWidth="0" w:num="1">
            <w:col w:w="11240"/>
          </w:cols>
          <w:pgMar w:left="320" w:top="1206" w:right="33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b w:val="1"/>
          <w:bCs w:val="1"/>
          <w:color w:val="auto"/>
        </w:rPr>
        <w:t>Explanaton of Non-GAAP Financial Measures</w:t>
      </w:r>
    </w:p>
    <w:p>
      <w:pPr>
        <w:spacing w:after="0" w:line="244"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In additon to determining results in accordance with U.S. generally accepted accountng principles (“GAAP”), CrowdStrike believes the following non-GAAP measures are useful in evaluatng its operatng performance. CrowdStrike uses the following non-GAAP fnancial informaton to evaluate its ongoing operatons and for internal planning and forecastng purposes. CrowdStrike believes that non-GAAP fnancial informaton, when taken collectvely, may be helpful to investors because it provides consistency and comparability with past fnancial performance and facilitates period-to-period comparisons of operatons, as these measures eliminate the efects of certain variables unrelated to CrowdStrike’s overall operatng performance. However, non-GAAP fnancial informaton is presented for supplemental informatonal purposes only, has limitatons as an analytcal tool, and should not be considered in isolaton or as a substtute for fnancial informaton presented in accordance with GAAP.</w:t>
      </w:r>
    </w:p>
    <w:p>
      <w:pPr>
        <w:spacing w:after="0" w:line="249" w:lineRule="exact"/>
        <w:rPr>
          <w:sz w:val="20"/>
          <w:szCs w:val="20"/>
          <w:color w:val="auto"/>
        </w:rPr>
      </w:pPr>
    </w:p>
    <w:p>
      <w:pPr>
        <w:ind w:right="100"/>
        <w:spacing w:after="0" w:line="258" w:lineRule="auto"/>
        <w:rPr>
          <w:sz w:val="20"/>
          <w:szCs w:val="20"/>
          <w:color w:val="auto"/>
        </w:rPr>
      </w:pPr>
      <w:r>
        <w:rPr>
          <w:rFonts w:ascii="Calibri" w:cs="Calibri" w:eastAsia="Calibri" w:hAnsi="Calibri"/>
          <w:sz w:val="17"/>
          <w:szCs w:val="17"/>
          <w:color w:val="auto"/>
        </w:rPr>
        <w:t>Other companies, including companies in CrowdStrike’s industry, may calculate similarly ttled non-GAAP measures diferently or may use other measures to evaluate their performance, all of which could reduce the usefulness of CrowdStrike’s non-GAAP fnancial measures as tools for comparison.</w:t>
      </w:r>
    </w:p>
    <w:p>
      <w:pPr>
        <w:spacing w:after="0" w:line="229"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Investors are encouraged to review the related GAAP fnancial measures and the reconciliaton of these non-GAAP fnancial measures to their most directly comparable GAAP fnancial measures and not rely on any single fnancial measure to evaluate CrowdStrike’s business.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Non-GAAP Subscripton Gross Proft and Non-GAAP Subscripton Gross Margin</w:t>
      </w:r>
    </w:p>
    <w:p>
      <w:pPr>
        <w:spacing w:after="0" w:line="244"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CrowdStrike defnes non-GAAP subscripton gross proft and non-GAAP subscripton gross margin as GAAP subscripton gross proft and GAAP subscripton gross margin, respectvely, excluding stock-based compensaton expense, and amortzaton of acquired intangible assets.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Non-GAAP Income from Operatons</w:t>
      </w:r>
    </w:p>
    <w:p>
      <w:pPr>
        <w:spacing w:after="0" w:line="24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CrowdStrike defnes non-GAAP income from operatons as GAAP income (loss) from operatons excluding stock-based compensaton expense, amortzaton of acquired intangible assets (including purchased patents), acquisiton-related expenses (credits), net, mark-to-market adjustments on deferred compensaton liabilites, legal reserve and setlement charges or benefts, and July 19 Incident related costs and (recoveries), net.</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Non-GAAP Net Income Atributable to CrowdStrike</w:t>
      </w:r>
    </w:p>
    <w:p>
      <w:pPr>
        <w:spacing w:after="0" w:line="24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212529"/>
        </w:rPr>
        <w:t xml:space="preserve">The company defnes non-GAAP net income atributable to CrowdStrike as GAAP net income (loss) atributable to CrowdStrike excluding stock-based compensaton expense, amortzaton of acquired intangible assets (including purchased patents), acquisiton-related expenses (credits), net, amortzaton of debt issuance costs and discount, mark-to-market adjustments on deferred compensaton liabilites, legal reserve and setlement charges or benefts, July 19 </w:t>
      </w:r>
      <w:r>
        <w:rPr>
          <w:rFonts w:ascii="Calibri" w:cs="Calibri" w:eastAsia="Calibri" w:hAnsi="Calibri"/>
          <w:sz w:val="18"/>
          <w:szCs w:val="18"/>
          <w:color w:val="000000"/>
        </w:rPr>
        <w:t>Incident related costs and (recoveries), net</w:t>
      </w:r>
      <w:r>
        <w:rPr>
          <w:rFonts w:ascii="Calibri" w:cs="Calibri" w:eastAsia="Calibri" w:hAnsi="Calibri"/>
          <w:sz w:val="18"/>
          <w:szCs w:val="18"/>
          <w:color w:val="212529"/>
        </w:rPr>
        <w:t>, acquisiton-related provision (beneft) for income taxes, losses (gains) and other income from strategic</w:t>
      </w:r>
      <w:r>
        <w:rPr>
          <w:rFonts w:ascii="Calibri" w:cs="Calibri" w:eastAsia="Calibri" w:hAnsi="Calibri"/>
          <w:sz w:val="18"/>
          <w:szCs w:val="18"/>
          <w:color w:val="000000"/>
        </w:rPr>
        <w:t xml:space="preserve"> </w:t>
      </w:r>
      <w:r>
        <w:rPr>
          <w:rFonts w:ascii="Calibri" w:cs="Calibri" w:eastAsia="Calibri" w:hAnsi="Calibri"/>
          <w:sz w:val="18"/>
          <w:szCs w:val="18"/>
          <w:color w:val="212529"/>
        </w:rPr>
        <w:t>investments, and losses (gains) on deferred compensaton assets.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Non-GAAP Net Income per Share Atributable to CrowdStrike Common Stockholders, Diluted</w:t>
      </w:r>
    </w:p>
    <w:p>
      <w:pPr>
        <w:spacing w:after="0" w:line="24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212529"/>
        </w:rPr>
        <w:t>CrowdStrike defnes non-GAAP net income per share atributable to CrowdStrike common stockholders, as non-GAAP net income atributable to CrowdStrike divided by the weighted-average shares outstanding, which includes the dilutve efect of potentally dilutve common stock equivalents outstanding during the period.</w:t>
      </w:r>
    </w:p>
    <w:p>
      <w:pPr>
        <w:sectPr>
          <w:pgSz w:w="11900" w:h="16838" w:orient="portrait"/>
          <w:cols w:equalWidth="0" w:num="1">
            <w:col w:w="11200"/>
          </w:cols>
          <w:pgMar w:left="320" w:top="1098" w:right="37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b w:val="1"/>
          <w:bCs w:val="1"/>
          <w:i w:val="1"/>
          <w:iCs w:val="1"/>
          <w:color w:val="auto"/>
        </w:rPr>
        <w:t>Free Cash Flow</w:t>
      </w:r>
    </w:p>
    <w:p>
      <w:pPr>
        <w:spacing w:after="0" w:line="24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Free cash fow is a non-GAAP fnancial measure that CrowdStrike defnes as net cash provided by operatng actvites less purchases of property and equipment, capitalized internal-use sofware and website development costs, purchases of deferred compensaton investments, and proceeds from sale of deferred compensaton investments. CrowdStrike monitors free cash fow as one measure of its overall business performance, which enables CrowdStrike to analyze its future performance without the efects of non-cash items and allow CrowdStrike to beter understand the cash needs of its business. While CrowdStrike believes that free cash fow is useful in evaluatng its business, free cash fow is a non-GAAP fnancial measure that has limitatons as an analytcal tool, and free cash fow should not be considered as an alternatve to, or substtute for, net cash provided by operatng actvites in accordance with GAAP. The utlity of free cash fow as a measure of CrowdStrike’s liquidity is further limited as it does not represent the total increase or decrease in CrowdStrike’s cash balance for any given period. In additon, other companies, including companies in CrowdStrike's industry, may calculate free cash fow diferently or not at all, which reduces the usefulness of free cash fow as a tool for comparison.</w:t>
      </w:r>
    </w:p>
    <w:p>
      <w:pPr>
        <w:spacing w:after="0" w:line="2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Explanaton of Operatonal Measures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Annual Recurring Revenue</w:t>
      </w:r>
    </w:p>
    <w:p>
      <w:pPr>
        <w:spacing w:after="0" w:line="24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ARR is calculated as the annualized value of CrowdStrike’s customer subscripton contracts as of the measurement date, assuming any contract that expires during the next 12 months is renewed on its existng terms. To the extent that CrowdStrike is negotatng a renewal with a customer afer the expiraton of the subscripton, CrowdStrike contnues to include that revenue in ARR if CrowdStrike is actvely in discussion with such an organizaton for a new subscripton or renewal, or untl such organizaton notfes CrowdStrike that it is not renewing its subscripton.</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Magic Number</w:t>
      </w:r>
    </w:p>
    <w:p>
      <w:pPr>
        <w:spacing w:after="0" w:line="244"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Magic Number is calculated by performing the following calculaton for the most recent four quarters and taking the average: annualizing the diference between a quarter’s Subscripton Revenue and the prior quarter’s Subscripton Revenue, and then dividing the resultng number by the previous quarter’s Non-GAAP Sales &amp; Marketng Expense. Magic Number = Average of previous four quarters: ((Quarter GAAP Subscripton Revenue – Prior Quarter GAAP Subscripton Revenue) x 4) / Prior Quarter Non-GAAP Sales &amp; Marketng Expense.</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Free Cash Flow Rule of 40</w:t>
      </w:r>
    </w:p>
    <w:p>
      <w:pPr>
        <w:spacing w:after="0" w:line="244"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Free cash fow rule of 40 is calculated by taking the current quarter total revenue year over year growth rate percentage and summing it with the current quarter free cash fow margin percentage.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Dollar-Based Gross Retenton Rate</w:t>
      </w:r>
    </w:p>
    <w:p>
      <w:pPr>
        <w:spacing w:after="0" w:line="244"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Dollar-based gross retenton rate as of the period end is calculated by startng with the ARR from all subscripton customers as of 12 months prior to such period, or Prior Period ARR. Then deduct from the Prior Period ARR any ARR from subscripton customers who are no longer customers as of the current period end, or Current Period Remaining ARR. Then divide the total Current Period Remaining ARR by the total Prior Period ARR to arrive at our dollar-based gross retenton rate, which is the percentage of ARR from all subscripton customers as of the year prior that is not lost to customer churn.</w:t>
      </w:r>
    </w:p>
    <w:sectPr>
      <w:pgSz w:w="11900" w:h="16838" w:orient="portrait"/>
      <w:cols w:equalWidth="0" w:num="1">
        <w:col w:w="11240"/>
      </w:cols>
      <w:pgMar w:left="320" w:top="13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04"/>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2"/>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2"/>
    </w:lvl>
  </w:abstractNum>
  <w:abstractNum w:abstractNumId="11">
    <w:nsid w:val="6B68079A"/>
    <w:multiLevelType w:val="hybridMultilevel"/>
    <w:lvl w:ilvl="0">
      <w:lvlJc w:val="left"/>
      <w:lvlText w:val="(%1)"/>
      <w:numFmt w:val="decimal"/>
      <w:start w:val="3"/>
    </w:lvl>
  </w:abstractNum>
  <w:abstractNum w:abstractNumId="12">
    <w:nsid w:val="4E6AFB66"/>
    <w:multiLevelType w:val="hybridMultilevel"/>
    <w:lvl w:ilvl="0">
      <w:lvlJc w:val="left"/>
      <w:lvlText w:val="(%1)"/>
      <w:numFmt w:val="decimal"/>
      <w:start w:val="4"/>
    </w:lvl>
  </w:abstractNum>
  <w:abstractNum w:abstractNumId="13">
    <w:nsid w:val="25E45D32"/>
    <w:multiLevelType w:val="hybridMultilevel"/>
    <w:lvl w:ilvl="0">
      <w:lvlJc w:val="left"/>
      <w:lvlText w:val="(%1)"/>
      <w:numFmt w:val="decimal"/>
      <w:start w:val="5"/>
    </w:lvl>
  </w:abstractNum>
  <w:abstractNum w:abstractNumId="14">
    <w:nsid w:val="519B500D"/>
    <w:multiLevelType w:val="hybridMultilevel"/>
    <w:lvl w:ilvl="0">
      <w:lvlJc w:val="left"/>
      <w:lvlText w:val="(%1)"/>
      <w:numFmt w:val="decimal"/>
      <w:start w:val="6"/>
    </w:lvl>
  </w:abstractNum>
  <w:abstractNum w:abstractNumId="15">
    <w:nsid w:val="431BD7B7"/>
    <w:multiLevelType w:val="hybridMultilevel"/>
    <w:lvl w:ilvl="0">
      <w:lvlJc w:val="left"/>
      <w:lvlText w:val="(%1)"/>
      <w:numFmt w:val="decimal"/>
      <w:start w:val="7"/>
    </w:lvl>
  </w:abstractNum>
  <w:abstractNum w:abstractNumId="16">
    <w:nsid w:val="3F2DBA31"/>
    <w:multiLevelType w:val="hybridMultilevel"/>
    <w:lvl w:ilvl="0">
      <w:lvlJc w:val="left"/>
      <w:lvlText w:val="(%1)"/>
      <w:numFmt w:val="decimal"/>
      <w:start w:val="8"/>
    </w:lvl>
  </w:abstractNum>
  <w:abstractNum w:abstractNumId="17">
    <w:nsid w:val="7C83E458"/>
    <w:multiLevelType w:val="hybridMultilevel"/>
    <w:lvl w:ilvl="0">
      <w:lvlJc w:val="left"/>
      <w:lvlText w:val="(%1)"/>
      <w:numFmt w:val="decimal"/>
      <w:start w:val="9"/>
    </w:lvl>
  </w:abstractNum>
  <w:abstractNum w:abstractNumId="18">
    <w:nsid w:val="257130A3"/>
    <w:multiLevelType w:val="hybridMultilevel"/>
    <w:lvl w:ilvl="0">
      <w:lvlJc w:val="left"/>
      <w:lvlText w:val="(%1)"/>
      <w:numFmt w:val="decimal"/>
      <w:start w:val="10"/>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2024-11-26T17:55:47Z</dcterms:created>
  <dcterms:modified xsi:type="dcterms:W3CDTF">2024-11-26T17:55:47Z</dcterms:modified>
</cp:coreProperties>
</file>