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480060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p>
      <w:pPr>
        <w:spacing w:after="0" w:line="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4"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35" w:lineRule="exact"/>
        <w:rPr>
          <w:sz w:val="24"/>
          <w:szCs w:val="24"/>
          <w:color w:val="auto"/>
        </w:rPr>
      </w:pPr>
    </w:p>
    <w:p>
      <w:pPr>
        <w:ind w:left="340" w:hanging="234"/>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QUARTERLY REPORT PURSUANT TO SECTION 13 OR 15(d) OF THE SECURITIES EXCHANGE ACT OF 1934</w:t>
      </w:r>
    </w:p>
    <w:p>
      <w:pPr>
        <w:spacing w:after="0" w:line="1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quarterly period ended October 31, 2024</w:t>
      </w:r>
    </w:p>
    <w:p>
      <w:pPr>
        <w:spacing w:after="0" w:line="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50" w:lineRule="exact"/>
        <w:rPr>
          <w:sz w:val="24"/>
          <w:szCs w:val="24"/>
          <w:color w:val="auto"/>
        </w:rPr>
      </w:pPr>
    </w:p>
    <w:p>
      <w:pPr>
        <w:ind w:left="340" w:hanging="234"/>
        <w:spacing w:after="0"/>
        <w:tabs>
          <w:tab w:leader="none" w:pos="3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TRANSITION REPORT PURSUANT TO SECTION 13 OR 15(d) OF THE SECURITIES EXCHANGE ACT OF 1934</w:t>
      </w:r>
    </w:p>
    <w:p>
      <w:pPr>
        <w:spacing w:after="0" w:line="157"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For the transition period from to</w:t>
            </w:r>
          </w:p>
        </w:tc>
        <w:tc>
          <w:tcPr>
            <w:tcW w:w="2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2"/>
        </w:trPr>
        <w:tc>
          <w:tcPr>
            <w:tcW w:w="1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Commission File Number: 001-38933</w:t>
            </w: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110"/>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40" w:type="dxa"/>
            <w:vAlign w:val="bottom"/>
            <w:gridSpan w:val="5"/>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301"/>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20"/>
                <w:szCs w:val="20"/>
                <w:b w:val="1"/>
                <w:bCs w:val="1"/>
                <w:color w:val="auto"/>
                <w:w w:val="99"/>
              </w:rPr>
              <w:t>CROWDSTRIKE HOLDINGS, INC.</w:t>
            </w: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3"/>
        </w:trPr>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2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10"/>
        </w:trPr>
        <w:tc>
          <w:tcPr>
            <w:tcW w:w="1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40" w:type="dxa"/>
            <w:vAlign w:val="bottom"/>
            <w:gridSpan w:val="5"/>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___________________________________________________________________________________________________</w:t>
            </w:r>
          </w:p>
        </w:tc>
        <w:tc>
          <w:tcPr>
            <w:tcW w:w="2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760" w:type="dxa"/>
            <w:vAlign w:val="bottom"/>
          </w:tcPr>
          <w:p>
            <w:pPr>
              <w:spacing w:after="0"/>
              <w:rPr>
                <w:sz w:val="9"/>
                <w:szCs w:val="9"/>
                <w:color w:val="auto"/>
              </w:rPr>
            </w:pPr>
          </w:p>
        </w:tc>
      </w:tr>
      <w:tr>
        <w:trPr>
          <w:trHeight w:val="194"/>
        </w:trPr>
        <w:tc>
          <w:tcPr>
            <w:tcW w:w="1440" w:type="dxa"/>
            <w:vAlign w:val="bottom"/>
          </w:tcPr>
          <w:p>
            <w:pPr>
              <w:spacing w:after="0"/>
              <w:rPr>
                <w:sz w:val="16"/>
                <w:szCs w:val="16"/>
                <w:color w:val="auto"/>
              </w:rPr>
            </w:pPr>
          </w:p>
        </w:tc>
        <w:tc>
          <w:tcPr>
            <w:tcW w:w="194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5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45-3788918</w:t>
            </w:r>
          </w:p>
        </w:tc>
        <w:tc>
          <w:tcPr>
            <w:tcW w:w="760" w:type="dxa"/>
            <w:vAlign w:val="bottom"/>
          </w:tcPr>
          <w:p>
            <w:pPr>
              <w:spacing w:after="0"/>
              <w:rPr>
                <w:sz w:val="16"/>
                <w:szCs w:val="16"/>
                <w:color w:val="auto"/>
              </w:rPr>
            </w:pPr>
          </w:p>
        </w:tc>
      </w:tr>
      <w:tr>
        <w:trPr>
          <w:trHeight w:val="132"/>
        </w:trPr>
        <w:tc>
          <w:tcPr>
            <w:tcW w:w="3380" w:type="dxa"/>
            <w:vAlign w:val="bottom"/>
            <w:gridSpan w:val="3"/>
          </w:tcPr>
          <w:p>
            <w:pPr>
              <w:jc w:val="center"/>
              <w:ind w:left="636"/>
              <w:spacing w:after="0" w:line="132"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4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20" w:type="dxa"/>
            <w:vAlign w:val="bottom"/>
            <w:gridSpan w:val="2"/>
          </w:tcPr>
          <w:p>
            <w:pPr>
              <w:jc w:val="center"/>
              <w:ind w:right="1120"/>
              <w:spacing w:after="0" w:line="132"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3380" w:type="dxa"/>
            <w:vAlign w:val="bottom"/>
            <w:gridSpan w:val="3"/>
          </w:tcPr>
          <w:p>
            <w:pPr>
              <w:jc w:val="center"/>
              <w:ind w:left="676"/>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20" w:type="dxa"/>
            <w:vAlign w:val="bottom"/>
            <w:gridSpan w:val="2"/>
          </w:tcPr>
          <w:p>
            <w:pPr>
              <w:jc w:val="center"/>
              <w:ind w:right="1080"/>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312"/>
        </w:trPr>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206 E. 9th Street, Suite 1400, Austin, Texas 78701</w:t>
            </w: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3"/>
        </w:trPr>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2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90"/>
        </w:trPr>
        <w:tc>
          <w:tcPr>
            <w:tcW w:w="1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640" w:type="dxa"/>
            <w:vAlign w:val="bottom"/>
            <w:gridSpan w:val="5"/>
          </w:tcPr>
          <w:p>
            <w:pPr>
              <w:jc w:val="center"/>
              <w:ind w:right="120"/>
              <w:spacing w:after="0" w:line="91" w:lineRule="exact"/>
              <w:rPr>
                <w:sz w:val="20"/>
                <w:szCs w:val="20"/>
                <w:color w:val="auto"/>
              </w:rPr>
            </w:pPr>
            <w:r>
              <w:rPr>
                <w:rFonts w:ascii="Times New Roman" w:cs="Times New Roman" w:eastAsia="Times New Roman" w:hAnsi="Times New Roman"/>
                <w:sz w:val="8"/>
                <w:szCs w:val="8"/>
                <w:b w:val="1"/>
                <w:bCs w:val="1"/>
                <w:color w:val="auto"/>
              </w:rPr>
              <w:t>__________________________________________________________________________________________________</w:t>
            </w:r>
          </w:p>
        </w:tc>
        <w:tc>
          <w:tcPr>
            <w:tcW w:w="260" w:type="dxa"/>
            <w:vAlign w:val="bottom"/>
          </w:tcPr>
          <w:p>
            <w:pPr>
              <w:spacing w:after="0"/>
              <w:rPr>
                <w:sz w:val="7"/>
                <w:szCs w:val="7"/>
                <w:color w:val="auto"/>
              </w:rPr>
            </w:pPr>
          </w:p>
        </w:tc>
        <w:tc>
          <w:tcPr>
            <w:tcW w:w="2260" w:type="dxa"/>
            <w:vAlign w:val="bottom"/>
          </w:tcPr>
          <w:p>
            <w:pPr>
              <w:spacing w:after="0"/>
              <w:rPr>
                <w:sz w:val="7"/>
                <w:szCs w:val="7"/>
                <w:color w:val="auto"/>
              </w:rPr>
            </w:pPr>
          </w:p>
        </w:tc>
        <w:tc>
          <w:tcPr>
            <w:tcW w:w="760" w:type="dxa"/>
            <w:vAlign w:val="bottom"/>
          </w:tcPr>
          <w:p>
            <w:pPr>
              <w:spacing w:after="0"/>
              <w:rPr>
                <w:sz w:val="7"/>
                <w:szCs w:val="7"/>
                <w:color w:val="auto"/>
              </w:rPr>
            </w:pPr>
          </w:p>
        </w:tc>
      </w:tr>
      <w:tr>
        <w:trPr>
          <w:trHeight w:val="176"/>
        </w:trPr>
        <w:tc>
          <w:tcPr>
            <w:tcW w:w="1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(888) 512-8906</w:t>
            </w:r>
          </w:p>
        </w:tc>
        <w:tc>
          <w:tcPr>
            <w:tcW w:w="2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5"/>
        </w:trPr>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2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2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6"/>
        </w:trPr>
        <w:tc>
          <w:tcPr>
            <w:tcW w:w="1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29"/>
        </w:trPr>
        <w:tc>
          <w:tcPr>
            <w:tcW w:w="1440" w:type="dxa"/>
            <w:vAlign w:val="bottom"/>
            <w:tcBorders>
              <w:left w:val="single" w:sz="8" w:color="auto"/>
            </w:tcBorders>
          </w:tcPr>
          <w:p>
            <w:pPr>
              <w:spacing w:after="0"/>
              <w:rPr>
                <w:sz w:val="11"/>
                <w:szCs w:val="11"/>
                <w:color w:val="auto"/>
              </w:rPr>
            </w:pPr>
          </w:p>
        </w:tc>
        <w:tc>
          <w:tcPr>
            <w:tcW w:w="1940" w:type="dxa"/>
            <w:vAlign w:val="bottom"/>
            <w:gridSpan w:val="2"/>
          </w:tcPr>
          <w:p>
            <w:pPr>
              <w:jc w:val="center"/>
              <w:ind w:right="1020"/>
              <w:spacing w:after="0" w:line="129" w:lineRule="exact"/>
              <w:rPr>
                <w:sz w:val="20"/>
                <w:szCs w:val="20"/>
                <w:color w:val="auto"/>
              </w:rPr>
            </w:pPr>
            <w:r>
              <w:rPr>
                <w:rFonts w:ascii="Times New Roman" w:cs="Times New Roman" w:eastAsia="Times New Roman" w:hAnsi="Times New Roman"/>
                <w:sz w:val="13"/>
                <w:szCs w:val="13"/>
                <w:color w:val="auto"/>
                <w:w w:val="97"/>
              </w:rPr>
              <w:t>Title of each class</w:t>
            </w:r>
          </w:p>
        </w:tc>
        <w:tc>
          <w:tcPr>
            <w:tcW w:w="4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2360" w:type="dxa"/>
            <w:vAlign w:val="bottom"/>
            <w:tcBorders>
              <w:right w:val="single" w:sz="8" w:color="auto"/>
            </w:tcBorders>
            <w:gridSpan w:val="2"/>
          </w:tcPr>
          <w:p>
            <w:pPr>
              <w:jc w:val="center"/>
              <w:ind w:right="1420"/>
              <w:spacing w:after="0" w:line="129" w:lineRule="exact"/>
              <w:rPr>
                <w:sz w:val="20"/>
                <w:szCs w:val="20"/>
                <w:color w:val="auto"/>
              </w:rPr>
            </w:pPr>
            <w:r>
              <w:rPr>
                <w:rFonts w:ascii="Times New Roman" w:cs="Times New Roman" w:eastAsia="Times New Roman" w:hAnsi="Times New Roman"/>
                <w:sz w:val="13"/>
                <w:szCs w:val="13"/>
                <w:color w:val="auto"/>
                <w:w w:val="97"/>
              </w:rPr>
              <w:t>Trading symbol(s)</w:t>
            </w:r>
          </w:p>
        </w:tc>
        <w:tc>
          <w:tcPr>
            <w:tcW w:w="480" w:type="dxa"/>
            <w:vAlign w:val="bottom"/>
          </w:tcPr>
          <w:p>
            <w:pPr>
              <w:spacing w:after="0"/>
              <w:rPr>
                <w:sz w:val="11"/>
                <w:szCs w:val="11"/>
                <w:color w:val="auto"/>
              </w:rPr>
            </w:pPr>
          </w:p>
        </w:tc>
        <w:tc>
          <w:tcPr>
            <w:tcW w:w="3280" w:type="dxa"/>
            <w:vAlign w:val="bottom"/>
            <w:tcBorders>
              <w:right w:val="single" w:sz="8" w:color="auto"/>
            </w:tcBorders>
            <w:gridSpan w:val="3"/>
          </w:tcPr>
          <w:p>
            <w:pPr>
              <w:jc w:val="center"/>
              <w:ind w:right="500"/>
              <w:spacing w:after="0" w:line="129" w:lineRule="exact"/>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1440" w:type="dxa"/>
            <w:vAlign w:val="bottom"/>
            <w:tcBorders>
              <w:left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right w:val="single" w:sz="8" w:color="auto"/>
            </w:tcBorders>
          </w:tcPr>
          <w:p>
            <w:pPr>
              <w:spacing w:after="0" w:line="20" w:lineRule="exact"/>
              <w:rPr>
                <w:sz w:val="1"/>
                <w:szCs w:val="1"/>
                <w:color w:val="auto"/>
              </w:rPr>
            </w:pPr>
          </w:p>
        </w:tc>
      </w:tr>
      <w:tr>
        <w:trPr>
          <w:trHeight w:val="148"/>
        </w:trPr>
        <w:tc>
          <w:tcPr>
            <w:tcW w:w="3380" w:type="dxa"/>
            <w:vAlign w:val="bottom"/>
            <w:tcBorders>
              <w:left w:val="single" w:sz="8" w:color="auto"/>
            </w:tcBorders>
            <w:gridSpan w:val="3"/>
          </w:tcPr>
          <w:p>
            <w:pPr>
              <w:jc w:val="center"/>
              <w:ind w:left="356"/>
              <w:spacing w:after="0" w:line="148" w:lineRule="exact"/>
              <w:rPr>
                <w:sz w:val="20"/>
                <w:szCs w:val="20"/>
                <w:color w:val="auto"/>
              </w:rPr>
            </w:pPr>
            <w:r>
              <w:rPr>
                <w:rFonts w:ascii="Times New Roman" w:cs="Times New Roman" w:eastAsia="Times New Roman" w:hAnsi="Times New Roman"/>
                <w:sz w:val="13"/>
                <w:szCs w:val="13"/>
                <w:color w:val="auto"/>
                <w:w w:val="97"/>
              </w:rPr>
              <w:t>Class A common stock, par value $0.0005 per share</w:t>
            </w:r>
          </w:p>
        </w:tc>
        <w:tc>
          <w:tcPr>
            <w:tcW w:w="420" w:type="dxa"/>
            <w:vAlign w:val="bottom"/>
            <w:tcBorders>
              <w:right w:val="single" w:sz="8" w:color="auto"/>
            </w:tcBorders>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Borders>
              <w:right w:val="single" w:sz="8" w:color="auto"/>
            </w:tcBorders>
            <w:gridSpan w:val="2"/>
          </w:tcPr>
          <w:p>
            <w:pPr>
              <w:jc w:val="center"/>
              <w:ind w:right="1420"/>
              <w:spacing w:after="0" w:line="148" w:lineRule="exact"/>
              <w:rPr>
                <w:sz w:val="20"/>
                <w:szCs w:val="20"/>
                <w:color w:val="auto"/>
              </w:rPr>
            </w:pPr>
            <w:r>
              <w:rPr>
                <w:rFonts w:ascii="Times New Roman" w:cs="Times New Roman" w:eastAsia="Times New Roman" w:hAnsi="Times New Roman"/>
                <w:sz w:val="13"/>
                <w:szCs w:val="13"/>
                <w:color w:val="auto"/>
                <w:w w:val="97"/>
              </w:rPr>
              <w:t>CRWD</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20" w:type="dxa"/>
            <w:vAlign w:val="bottom"/>
            <w:tcBorders>
              <w:right w:val="single" w:sz="8" w:color="auto"/>
            </w:tcBorders>
            <w:gridSpan w:val="2"/>
          </w:tcPr>
          <w:p>
            <w:pPr>
              <w:jc w:val="center"/>
              <w:ind w:right="760"/>
              <w:spacing w:after="0" w:line="148" w:lineRule="exact"/>
              <w:rPr>
                <w:sz w:val="20"/>
                <w:szCs w:val="20"/>
                <w:color w:val="auto"/>
              </w:rPr>
            </w:pPr>
            <w:r>
              <w:rPr>
                <w:rFonts w:ascii="Times New Roman" w:cs="Times New Roman" w:eastAsia="Times New Roman" w:hAnsi="Times New Roman"/>
                <w:sz w:val="13"/>
                <w:szCs w:val="13"/>
                <w:color w:val="auto"/>
                <w:w w:val="98"/>
              </w:rPr>
              <w:t>The Nasdaq Stock Market LLC</w:t>
            </w:r>
          </w:p>
        </w:tc>
      </w:tr>
      <w:tr>
        <w:trPr>
          <w:trHeight w:val="191"/>
        </w:trPr>
        <w:tc>
          <w:tcPr>
            <w:tcW w:w="1440" w:type="dxa"/>
            <w:vAlign w:val="bottom"/>
            <w:tcBorders>
              <w:left w:val="single" w:sz="8" w:color="auto"/>
            </w:tcBorders>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1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3"/>
                <w:szCs w:val="13"/>
                <w:color w:val="auto"/>
                <w:w w:val="97"/>
              </w:rPr>
              <w:t>(Nasdaq Global Select Market)</w:t>
            </w:r>
          </w:p>
        </w:tc>
      </w:tr>
      <w:tr>
        <w:trPr>
          <w:trHeight w:val="36"/>
        </w:trPr>
        <w:tc>
          <w:tcPr>
            <w:tcW w:w="1440" w:type="dxa"/>
            <w:vAlign w:val="bottom"/>
            <w:tcBorders>
              <w:left w:val="single" w:sz="8" w:color="auto"/>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20" w:type="dxa"/>
            <w:vAlign w:val="bottom"/>
            <w:tcBorders>
              <w:bottom w:val="single" w:sz="8" w:color="auto"/>
              <w:right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r>
    </w:tbl>
    <w:p>
      <w:pPr>
        <w:spacing w:after="0" w:line="286" w:lineRule="exact"/>
        <w:rPr>
          <w:sz w:val="24"/>
          <w:szCs w:val="24"/>
          <w:color w:val="auto"/>
        </w:rPr>
      </w:pPr>
    </w:p>
    <w:p>
      <w:pPr>
        <w:ind w:right="380" w:firstLine="509"/>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10" w:lineRule="exact"/>
        <w:rPr>
          <w:sz w:val="24"/>
          <w:szCs w:val="24"/>
          <w:color w:val="auto"/>
        </w:rPr>
      </w:pPr>
    </w:p>
    <w:p>
      <w:pPr>
        <w:ind w:right="380" w:firstLine="509"/>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80" w:firstLine="509"/>
        <w:spacing w:after="0" w:line="273"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is a large accelerated filer, an accelerated filer, a non-accelerated filer, a smaller reporting company, or an emerging growth company. See the definitions of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large 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accelerated filer,</w:t>
      </w:r>
      <w:r>
        <w:rPr>
          <w:rFonts w:ascii="Times New Roman" w:cs="Times New Roman" w:eastAsia="Times New Roman" w:hAnsi="Times New Roman"/>
          <w:sz w:val="14"/>
          <w:szCs w:val="14"/>
          <w:color w:val="auto"/>
        </w:rPr>
        <w:t>” “</w:t>
      </w:r>
      <w:r>
        <w:rPr>
          <w:rFonts w:ascii="Times New Roman" w:cs="Times New Roman" w:eastAsia="Times New Roman" w:hAnsi="Times New Roman"/>
          <w:sz w:val="13"/>
          <w:szCs w:val="13"/>
          <w:color w:val="auto"/>
        </w:rPr>
        <w:t>smaller reporting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emerging growth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3"/>
          <w:szCs w:val="13"/>
          <w:color w:val="auto"/>
        </w:rPr>
        <w:t xml:space="preserve"> in Rule 12b-2 of the Exchange Act.</w:t>
      </w:r>
    </w:p>
    <w:p>
      <w:pPr>
        <w:spacing w:after="0" w:line="1" w:lineRule="exact"/>
        <w:rPr>
          <w:sz w:val="24"/>
          <w:szCs w:val="24"/>
          <w:color w:val="auto"/>
        </w:rPr>
      </w:pPr>
    </w:p>
    <w:tbl>
      <w:tblPr>
        <w:tblLayout w:type="fixed"/>
        <w:tblInd w:w="2060" w:type="dxa"/>
        <w:tblCellMar>
          <w:top w:w="0" w:type="dxa"/>
          <w:left w:w="0" w:type="dxa"/>
          <w:bottom w:w="0" w:type="dxa"/>
          <w:right w:w="0" w:type="dxa"/>
        </w:tblCellMar>
      </w:tblPr>
      <w:tr>
        <w:trPr>
          <w:trHeight w:val="188"/>
        </w:trPr>
        <w:tc>
          <w:tcPr>
            <w:tcW w:w="2240" w:type="dxa"/>
            <w:vAlign w:val="bottom"/>
          </w:tcPr>
          <w:p>
            <w:pPr>
              <w:jc w:val="center"/>
              <w:ind w:right="976"/>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218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7"/>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240" w:type="dxa"/>
            <w:vAlign w:val="bottom"/>
          </w:tcPr>
          <w:p>
            <w:pPr>
              <w:jc w:val="center"/>
              <w:ind w:right="976"/>
              <w:spacing w:after="0"/>
              <w:rPr>
                <w:sz w:val="20"/>
                <w:szCs w:val="20"/>
                <w:color w:val="auto"/>
              </w:rPr>
            </w:pPr>
            <w:r>
              <w:rPr>
                <w:rFonts w:ascii="Times New Roman" w:cs="Times New Roman" w:eastAsia="Times New Roman" w:hAnsi="Times New Roman"/>
                <w:sz w:val="13"/>
                <w:szCs w:val="13"/>
                <w:color w:val="auto"/>
                <w:w w:val="99"/>
              </w:rPr>
              <w:t>Non-accelerated Filer</w:t>
            </w:r>
          </w:p>
        </w:tc>
        <w:tc>
          <w:tcPr>
            <w:tcW w:w="218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rPr>
              <w:t>☐</w:t>
            </w:r>
          </w:p>
        </w:tc>
        <w:tc>
          <w:tcPr>
            <w:tcW w:w="3360" w:type="dxa"/>
            <w:vAlign w:val="bottom"/>
          </w:tcPr>
          <w:p>
            <w:pPr>
              <w:jc w:val="center"/>
              <w:ind w:left="16"/>
              <w:spacing w:after="0"/>
              <w:rPr>
                <w:sz w:val="20"/>
                <w:szCs w:val="20"/>
                <w:color w:val="auto"/>
              </w:rPr>
            </w:pPr>
            <w:r>
              <w:rPr>
                <w:rFonts w:ascii="Times New Roman" w:cs="Times New Roman" w:eastAsia="Times New Roman" w:hAnsi="Times New Roman"/>
                <w:sz w:val="13"/>
                <w:szCs w:val="13"/>
                <w:color w:val="auto"/>
                <w:w w:val="98"/>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2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360" w:type="dxa"/>
            <w:vAlign w:val="bottom"/>
          </w:tcPr>
          <w:p>
            <w:pPr>
              <w:jc w:val="center"/>
              <w:ind w:left="36"/>
              <w:spacing w:after="0"/>
              <w:rPr>
                <w:sz w:val="20"/>
                <w:szCs w:val="20"/>
                <w:color w:val="auto"/>
              </w:rPr>
            </w:pPr>
            <w:r>
              <w:rPr>
                <w:rFonts w:ascii="Times New Roman" w:cs="Times New Roman" w:eastAsia="Times New Roman" w:hAnsi="Times New Roman"/>
                <w:sz w:val="13"/>
                <w:szCs w:val="13"/>
                <w:color w:val="auto"/>
                <w:w w:val="96"/>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7" w:lineRule="exact"/>
        <w:rPr>
          <w:sz w:val="24"/>
          <w:szCs w:val="24"/>
          <w:color w:val="auto"/>
        </w:rPr>
      </w:pPr>
    </w:p>
    <w:p>
      <w:pPr>
        <w:ind w:right="360" w:firstLine="509"/>
        <w:spacing w:after="0" w:line="18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520"/>
        <w:spacing w:after="0" w:line="150" w:lineRule="exact"/>
        <w:tabs>
          <w:tab w:leader="none" w:pos="66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4"/>
          <w:szCs w:val="14"/>
          <w:color w:val="auto"/>
        </w:rPr>
        <w:t xml:space="preserve">☐ </w:t>
      </w:r>
      <w:r>
        <w:rPr>
          <w:rFonts w:ascii="Times New Roman" w:cs="Times New Roman" w:eastAsia="Times New Roman" w:hAnsi="Times New Roman"/>
          <w:sz w:val="12"/>
          <w:szCs w:val="12"/>
          <w:color w:val="auto"/>
        </w:rPr>
        <w:t>No</w:t>
      </w:r>
      <w:r>
        <w:rPr>
          <w:rFonts w:ascii="MS PGothic" w:cs="MS PGothic" w:eastAsia="MS PGothic" w:hAnsi="MS PGothic"/>
          <w:sz w:val="14"/>
          <w:szCs w:val="14"/>
          <w:color w:val="auto"/>
        </w:rPr>
        <w:t xml:space="preserve">  ☑</w:t>
      </w:r>
    </w:p>
    <w:p>
      <w:pPr>
        <w:spacing w:after="0" w:line="126" w:lineRule="exact"/>
        <w:rPr>
          <w:sz w:val="24"/>
          <w:szCs w:val="24"/>
          <w:color w:val="auto"/>
        </w:rPr>
      </w:pPr>
    </w:p>
    <w:p>
      <w:pPr>
        <w:ind w:right="580" w:firstLine="509"/>
        <w:spacing w:after="0" w:line="264" w:lineRule="auto"/>
        <w:rPr>
          <w:sz w:val="20"/>
          <w:szCs w:val="20"/>
          <w:color w:val="auto"/>
        </w:rPr>
      </w:pPr>
      <w:r>
        <w:rPr>
          <w:rFonts w:ascii="Times New Roman" w:cs="Times New Roman" w:eastAsia="Times New Roman" w:hAnsi="Times New Roman"/>
          <w:sz w:val="13"/>
          <w:szCs w:val="13"/>
          <w:color w:val="auto"/>
        </w:rPr>
        <w:t>As of November 15, 2024, the number of shares of the registrant’s Class A common stock outstanding was 233,851,230, and the number of shares of the registrant’s Class B common stock outstanding was 12,460,182.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661035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20320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300"/>
          </w:cols>
          <w:pgMar w:left="300" w:top="295"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60" w:type="dxa"/>
            <w:vAlign w:val="bottom"/>
          </w:tcPr>
          <w:p>
            <w:pPr>
              <w:ind w:left="760"/>
              <w:spacing w:after="0"/>
              <w:rPr>
                <w:sz w:val="20"/>
                <w:szCs w:val="20"/>
                <w:color w:val="auto"/>
              </w:rPr>
            </w:pPr>
            <w:r>
              <w:rPr>
                <w:rFonts w:ascii="Times New Roman" w:cs="Times New Roman" w:eastAsia="Times New Roman" w:hAnsi="Times New Roman"/>
                <w:sz w:val="11"/>
                <w:szCs w:val="11"/>
                <w:color w:val="auto"/>
              </w:rPr>
              <w:t>Page No.</w:t>
            </w:r>
          </w:p>
        </w:tc>
      </w:tr>
      <w:tr>
        <w:trPr>
          <w:trHeight w:val="168"/>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320" w:type="dxa"/>
            <w:vAlign w:val="bottom"/>
            <w:gridSpan w:val="11"/>
          </w:tcPr>
          <w:p>
            <w:pPr>
              <w:jc w:val="center"/>
              <w:ind w:right="3040"/>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1460" w:type="dxa"/>
            <w:vAlign w:val="bottom"/>
          </w:tcPr>
          <w:p>
            <w:pPr>
              <w:spacing w:after="0"/>
              <w:rPr>
                <w:sz w:val="14"/>
                <w:szCs w:val="14"/>
                <w:color w:val="auto"/>
              </w:rPr>
            </w:pPr>
          </w:p>
        </w:tc>
      </w:tr>
      <w:tr>
        <w:trPr>
          <w:trHeight w:val="235"/>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1.</w:t>
            </w: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1460" w:type="dxa"/>
            <w:vAlign w:val="bottom"/>
            <w:shd w:val="clear" w:color="auto" w:fill="CCEEFF"/>
          </w:tcPr>
          <w:p>
            <w:pPr>
              <w:spacing w:after="0"/>
              <w:rPr>
                <w:sz w:val="12"/>
                <w:szCs w:val="12"/>
                <w:color w:val="auto"/>
              </w:rPr>
            </w:pP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Balance Sheets as of October 31, 2024 and January 31, 2024</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85"/>
              </w:rPr>
              <w:t>6</w:t>
            </w: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Operations for the Three and Nine Months Ended October 31, 2024 and October 31, 2023</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85"/>
              </w:rPr>
              <w:t>7</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5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Comprehensive Income for the Three and Nine Months Ended October 31, 2024 and October 31, 2023</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85"/>
              </w:rPr>
              <w:t>8</w:t>
            </w: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 for the Three and Nine Months Ended October 31, 2024 and October 31, 2023</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85"/>
              </w:rPr>
              <w:t>9</w:t>
            </w:r>
          </w:p>
        </w:tc>
      </w:tr>
      <w:tr>
        <w:trPr>
          <w:trHeight w:val="32"/>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5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October 31, 2024 and October 31, 2023</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11</w:t>
            </w: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12</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31</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47</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100" w:type="dxa"/>
            <w:vAlign w:val="bottom"/>
          </w:tcPr>
          <w:p>
            <w:pPr>
              <w:spacing w:after="0"/>
              <w:rPr>
                <w:sz w:val="12"/>
                <w:szCs w:val="12"/>
                <w:color w:val="auto"/>
              </w:rPr>
            </w:pP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Controls and Procedures</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47</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0" w:type="dxa"/>
            <w:vAlign w:val="bottom"/>
            <w:gridSpan w:val="10"/>
          </w:tcPr>
          <w:p>
            <w:pPr>
              <w:jc w:val="center"/>
              <w:ind w:right="3180"/>
              <w:spacing w:after="0" w:line="149" w:lineRule="exact"/>
              <w:rPr>
                <w:sz w:val="20"/>
                <w:szCs w:val="20"/>
                <w:color w:val="auto"/>
              </w:rPr>
            </w:pPr>
            <w:r>
              <w:rPr>
                <w:rFonts w:ascii="Times New Roman" w:cs="Times New Roman" w:eastAsia="Times New Roman" w:hAnsi="Times New Roman"/>
                <w:sz w:val="14"/>
                <w:szCs w:val="14"/>
                <w:color w:val="0000FF"/>
                <w:w w:val="99"/>
              </w:rPr>
              <w:t>PART II. OTHER INFORMATION</w:t>
            </w:r>
          </w:p>
        </w:tc>
        <w:tc>
          <w:tcPr>
            <w:tcW w:w="1460" w:type="dxa"/>
            <w:vAlign w:val="bottom"/>
          </w:tcPr>
          <w:p>
            <w:pPr>
              <w:spacing w:after="0"/>
              <w:rPr>
                <w:sz w:val="12"/>
                <w:szCs w:val="12"/>
                <w:color w:val="auto"/>
              </w:rPr>
            </w:pPr>
          </w:p>
        </w:tc>
      </w:tr>
      <w:tr>
        <w:trPr>
          <w:trHeight w:val="33"/>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1.</w:t>
            </w: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Legal Proceedings</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48</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6"/>
              </w:rPr>
              <w:t>Item 1A.</w:t>
            </w: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Risk Factors</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48</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0000FF"/>
              </w:rPr>
              <w:t>Item 2.</w:t>
            </w: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Unregistered Shares of Equity Securities and Use of Proceeds</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83</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3.</w:t>
            </w: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83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5"/>
              </w:rPr>
              <w:t>Item 4.</w:t>
            </w:r>
          </w:p>
        </w:tc>
        <w:tc>
          <w:tcPr>
            <w:tcW w:w="100" w:type="dxa"/>
            <w:vAlign w:val="bottom"/>
          </w:tcPr>
          <w:p>
            <w:pPr>
              <w:spacing w:after="0"/>
              <w:rPr>
                <w:sz w:val="12"/>
                <w:szCs w:val="12"/>
                <w:color w:val="auto"/>
              </w:rPr>
            </w:pP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Mine Safety Disclosures</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83</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49"/>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w w:val="95"/>
              </w:rPr>
              <w:t>Item 5.</w:t>
            </w:r>
          </w:p>
        </w:tc>
        <w:tc>
          <w:tcPr>
            <w:tcW w:w="100" w:type="dxa"/>
            <w:vAlign w:val="bottom"/>
            <w:shd w:val="clear" w:color="auto" w:fill="CCEEFF"/>
          </w:tcPr>
          <w:p>
            <w:pPr>
              <w:spacing w:after="0"/>
              <w:rPr>
                <w:sz w:val="12"/>
                <w:szCs w:val="12"/>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Other Information</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83</w:t>
            </w:r>
          </w:p>
        </w:tc>
      </w:tr>
      <w:tr>
        <w:trPr>
          <w:trHeight w:val="33"/>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5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460" w:type="dxa"/>
            <w:vAlign w:val="bottom"/>
            <w:tcBorders>
              <w:top w:val="single" w:sz="8" w:color="CCEEFF"/>
            </w:tcBorders>
            <w:shd w:val="clear" w:color="auto" w:fill="CCEEFF"/>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0000FF"/>
                <w:w w:val="95"/>
              </w:rPr>
              <w:t>Item 6.</w:t>
            </w:r>
          </w:p>
        </w:tc>
        <w:tc>
          <w:tcPr>
            <w:tcW w:w="100" w:type="dxa"/>
            <w:vAlign w:val="bottom"/>
          </w:tcPr>
          <w:p>
            <w:pPr>
              <w:spacing w:after="0"/>
              <w:rPr>
                <w:sz w:val="12"/>
                <w:szCs w:val="12"/>
                <w:color w:val="auto"/>
              </w:rPr>
            </w:pPr>
          </w:p>
        </w:tc>
        <w:tc>
          <w:tcPr>
            <w:tcW w:w="9300" w:type="dxa"/>
            <w:vAlign w:val="bottom"/>
            <w:gridSpan w:val="22"/>
          </w:tcPr>
          <w:p>
            <w:pPr>
              <w:ind w:left="480"/>
              <w:spacing w:after="0" w:line="149" w:lineRule="exact"/>
              <w:rPr>
                <w:sz w:val="20"/>
                <w:szCs w:val="20"/>
                <w:color w:val="auto"/>
              </w:rPr>
            </w:pPr>
            <w:r>
              <w:rPr>
                <w:rFonts w:ascii="Times New Roman" w:cs="Times New Roman" w:eastAsia="Times New Roman" w:hAnsi="Times New Roman"/>
                <w:sz w:val="14"/>
                <w:szCs w:val="14"/>
                <w:color w:val="0000FF"/>
              </w:rPr>
              <w:t>Exhibits</w:t>
            </w:r>
          </w:p>
        </w:tc>
        <w:tc>
          <w:tcPr>
            <w:tcW w:w="1460" w:type="dxa"/>
            <w:vAlign w:val="bottom"/>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83</w:t>
            </w:r>
          </w:p>
        </w:tc>
      </w:tr>
      <w:tr>
        <w:trPr>
          <w:trHeight w:val="33"/>
        </w:trPr>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2"/>
        </w:trPr>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300" w:type="dxa"/>
            <w:vAlign w:val="bottom"/>
            <w:gridSpan w:val="2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1460" w:type="dxa"/>
            <w:vAlign w:val="bottom"/>
            <w:shd w:val="clear" w:color="auto" w:fill="CCEEFF"/>
          </w:tcPr>
          <w:p>
            <w:pPr>
              <w:jc w:val="center"/>
              <w:ind w:left="410"/>
              <w:spacing w:after="0" w:line="149" w:lineRule="exact"/>
              <w:rPr>
                <w:sz w:val="20"/>
                <w:szCs w:val="20"/>
                <w:color w:val="auto"/>
              </w:rPr>
            </w:pPr>
            <w:r>
              <w:rPr>
                <w:rFonts w:ascii="Times New Roman" w:cs="Times New Roman" w:eastAsia="Times New Roman" w:hAnsi="Times New Roman"/>
                <w:sz w:val="14"/>
                <w:szCs w:val="14"/>
                <w:color w:val="auto"/>
                <w:w w:val="99"/>
              </w:rPr>
              <w:t>85</w:t>
            </w:r>
          </w:p>
        </w:tc>
      </w:tr>
      <w:tr>
        <w:trPr>
          <w:trHeight w:val="901"/>
        </w:trPr>
        <w:tc>
          <w:tcPr>
            <w:tcW w:w="2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600" w:type="dxa"/>
            <w:vAlign w:val="bottom"/>
            <w:tcBorders>
              <w:top w:val="single" w:sz="8" w:color="0000FF"/>
            </w:tcBorders>
            <w:gridSpan w:val="2"/>
          </w:tcPr>
          <w:p>
            <w:pPr>
              <w:spacing w:after="0"/>
              <w:rPr>
                <w:sz w:val="24"/>
                <w:szCs w:val="24"/>
                <w:color w:val="auto"/>
              </w:rPr>
            </w:pPr>
          </w:p>
        </w:tc>
        <w:tc>
          <w:tcPr>
            <w:tcW w:w="4280" w:type="dxa"/>
            <w:vAlign w:val="bottom"/>
            <w:tcBorders>
              <w:top w:val="single" w:sz="8" w:color="CCEEFF"/>
            </w:tcBorders>
            <w:gridSpan w:val="11"/>
          </w:tcPr>
          <w:p>
            <w:pPr>
              <w:jc w:val="center"/>
              <w:ind w:left="3729"/>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within the meaning of the Securities Act of 1933, as amended (the “Securities Act”), the Securities Exchange Act of 1934, as amended (the “Exchange Act”), and the Private Securities Litigation Reform Act of 1995. All statements contained in this Quarterly Report on Form 10-Q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forward-looking statements include, but are not limited to, statements concerning the following:</w:t>
      </w:r>
    </w:p>
    <w:p>
      <w:pPr>
        <w:spacing w:after="0" w:line="179" w:lineRule="exact"/>
        <w:rPr>
          <w:sz w:val="20"/>
          <w:szCs w:val="20"/>
          <w:color w:val="auto"/>
        </w:rPr>
      </w:pPr>
    </w:p>
    <w:p>
      <w:pPr>
        <w:ind w:left="900" w:right="100" w:hanging="259"/>
        <w:spacing w:after="0" w:line="287" w:lineRule="auto"/>
        <w:tabs>
          <w:tab w:leader="none" w:pos="89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cloud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increased competition in our markets and our ability to compete effectively;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the security and availability of our cloud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expand our customer base, including by attracting new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solutions, or enhancements to our existing solutions, and bring them to market in a timely manner;</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growth rates and challenges in our business and in the markets in which we operate;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 and our ability to effectively manage our growth and associated investments;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beliefs and objectives for future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relationships with third parties, including channel partners and technology alliance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 rights;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defend litigation brought against us and respond to government investigations and inquiries;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in our existing markets and into new markets;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sufficiency of cash and cash equivalents to meet cash needs for at least the next 12 months;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developments relating to our valuation allowances for our deferred tax assets;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internationally;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laws and regulations that currently apply or become applicable to our business both in the United States and internationally;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maintain, and improve our internal control over financial reporting;</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macroeconomic factors, including inflation and instability in the global credit and financial markets;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close and integrate acquisitions to contribute to our growth objectives;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attraction and retention of qualified employees and key personnel; and</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right="160" w:hanging="259"/>
        <w:spacing w:after="0" w:line="287" w:lineRule="auto"/>
        <w:tabs>
          <w:tab w:leader="none" w:pos="89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July 19 Incident (as defined below), including potential or anticipated developments, our remediation and other efforts in connection with the incident, the outcome of lawsuits, claims and inquiries related to the incident, and the effect on our customer and partner relationships and our business, results of operations and financial condition.</w:t>
      </w:r>
    </w:p>
    <w:p>
      <w:pPr>
        <w:spacing w:after="0" w:line="12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These statements are based on our current plans, estimates and projections in light of information currently available to us. These forward-looking statements may be affected by risks, uncertainties and other factors discussed elsewhere in this Quarterly Report on Form 10-Q,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Quarterly Report on Form 10-Q speak only as of the date on which such statements are made, and we undertake no obligation to update them in light of new information or future events, except as required by law.</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14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1"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Quarterly Report on Form 10-Q, as well as the other information in this Quarterly Report on Form 10-Q and the other filings that we make with the SEC.</w:t>
      </w:r>
    </w:p>
    <w:p>
      <w:pPr>
        <w:spacing w:after="0" w:line="136" w:lineRule="exact"/>
        <w:rPr>
          <w:sz w:val="20"/>
          <w:szCs w:val="20"/>
          <w:color w:val="auto"/>
        </w:rPr>
      </w:pPr>
    </w:p>
    <w:p>
      <w:pPr>
        <w:ind w:left="520" w:right="30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July 19 Incident has had, and is expected to continue to have, an adverse effect on our business, sales, customer and partner relations, reputation, results of operations and financial condition.</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experienced rapid growth in recent periods, and if we do not manage our future growth, our business and results of operations will be adversely affected.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and while we have achieved profitability in certain periods, including fiscal 2024, we may not be able to achieve or sustain profitability in the future.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organizations do not adopt cloud-based SaaS-delivered endpoint security solutions, our ability to grow our business and results of operations may be adversely affected.</w:t>
      </w:r>
    </w:p>
    <w:p>
      <w:pPr>
        <w:spacing w:after="0" w:line="17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our future results of operations could be harmed.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customers do not renew their subscriptions for our products and add additional cloud modules to their subscriptions, our future results of operations could be harmed.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cycles can be long and unpredictable, and our sales efforts require considerable time and expense.</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intense competition and could lose market share to our competitors, which could adversely affect our business, financial condition, and results of operations.</w:t>
      </w:r>
    </w:p>
    <w:p>
      <w:pPr>
        <w:spacing w:after="0" w:line="17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5"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right="16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24" w:lineRule="exact"/>
        <w:rPr>
          <w:rFonts w:ascii="Times New Roman" w:cs="Times New Roman" w:eastAsia="Times New Roman" w:hAnsi="Times New Roman"/>
          <w:sz w:val="14"/>
          <w:szCs w:val="14"/>
          <w:color w:val="auto"/>
        </w:rPr>
      </w:pPr>
    </w:p>
    <w:p>
      <w:pPr>
        <w:ind w:left="520" w:right="16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our key technical, sales and management personnel to grow our business, and the loss of one or more key employees could harm our business.</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qualified personnel, our business could be harmed.</w:t>
      </w:r>
    </w:p>
    <w:p>
      <w:pPr>
        <w:spacing w:after="0" w:line="17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results of operations may fluctuate significantly, which could make our future results difficult to predict and could cause our results of operations to fall below expectations.</w:t>
      </w:r>
    </w:p>
    <w:p>
      <w:pPr>
        <w:spacing w:after="0" w:line="178"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not able to maintain and enhance our CrowdStrike and Falcon brand and our reputation as a provider of high-efficacy security solutions, our business and results of operations may be adversely affected.</w:t>
      </w:r>
    </w:p>
    <w:p>
      <w:pPr>
        <w:spacing w:after="0" w:line="124" w:lineRule="exact"/>
        <w:rPr>
          <w:rFonts w:ascii="Times New Roman" w:cs="Times New Roman" w:eastAsia="Times New Roman" w:hAnsi="Times New Roman"/>
          <w:sz w:val="14"/>
          <w:szCs w:val="14"/>
          <w:color w:val="auto"/>
        </w:rPr>
      </w:pPr>
    </w:p>
    <w:p>
      <w:pPr>
        <w:ind w:left="520" w:right="18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4" w:lineRule="exact"/>
        <w:rPr>
          <w:rFonts w:ascii="Times New Roman" w:cs="Times New Roman" w:eastAsia="Times New Roman" w:hAnsi="Times New Roman"/>
          <w:sz w:val="14"/>
          <w:szCs w:val="14"/>
          <w:color w:val="auto"/>
        </w:rPr>
      </w:pPr>
    </w:p>
    <w:p>
      <w:pPr>
        <w:ind w:left="520" w:right="14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24" w:lineRule="exact"/>
        <w:rPr>
          <w:rFonts w:ascii="Times New Roman" w:cs="Times New Roman" w:eastAsia="Times New Roman" w:hAnsi="Times New Roman"/>
          <w:sz w:val="14"/>
          <w:szCs w:val="14"/>
          <w:color w:val="auto"/>
        </w:rPr>
      </w:pPr>
    </w:p>
    <w:p>
      <w:pPr>
        <w:ind w:left="520" w:right="22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2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currently, and may in the future become, involved in litigation that may adversely affect us.</w:t>
      </w:r>
    </w:p>
    <w:p>
      <w:pPr>
        <w:spacing w:after="0" w:line="178" w:lineRule="exact"/>
        <w:rPr>
          <w:rFonts w:ascii="Times New Roman" w:cs="Times New Roman" w:eastAsia="Times New Roman" w:hAnsi="Times New Roman"/>
          <w:sz w:val="14"/>
          <w:szCs w:val="14"/>
          <w:color w:val="auto"/>
        </w:rPr>
      </w:pPr>
    </w:p>
    <w:p>
      <w:pPr>
        <w:ind w:left="520" w:hanging="260"/>
        <w:spacing w:after="0" w:line="270"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3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CrowdStrike Holdings, Inc.</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(in thousands, except per share data)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(unaudited)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October 31,</w:t>
            </w:r>
          </w:p>
        </w:tc>
        <w:tc>
          <w:tcPr>
            <w:tcW w:w="260" w:type="dxa"/>
            <w:vAlign w:val="bottom"/>
          </w:tcPr>
          <w:p>
            <w:pPr>
              <w:spacing w:after="0"/>
              <w:rPr>
                <w:sz w:val="12"/>
                <w:szCs w:val="12"/>
                <w:color w:val="auto"/>
              </w:rPr>
            </w:pPr>
          </w:p>
        </w:tc>
        <w:tc>
          <w:tcPr>
            <w:tcW w:w="124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January 31,</w:t>
            </w:r>
          </w:p>
        </w:tc>
        <w:tc>
          <w:tcPr>
            <w:tcW w:w="0" w:type="dxa"/>
            <w:vAlign w:val="bottom"/>
          </w:tcPr>
          <w:p>
            <w:pPr>
              <w:spacing w:after="0"/>
              <w:rPr>
                <w:sz w:val="1"/>
                <w:szCs w:val="1"/>
                <w:color w:val="auto"/>
              </w:rPr>
            </w:pPr>
          </w:p>
        </w:tc>
      </w:tr>
      <w:tr>
        <w:trPr>
          <w:trHeight w:val="169"/>
        </w:trPr>
        <w:tc>
          <w:tcPr>
            <w:tcW w:w="8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assets:</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4,260,324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3,375,069</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Short-term investments</w:t>
            </w:r>
          </w:p>
        </w:tc>
        <w:tc>
          <w:tcPr>
            <w:tcW w:w="2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99,591</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receivable, net of allowance for credit losses of $1.8 million and $2.2 million as of October 31, 2024 and January 31, 2024, respectively</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813,922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853,105</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Deferred contract acquisition costs, 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294,229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246,370</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203,852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183,172</w:t>
            </w:r>
          </w:p>
        </w:tc>
        <w:tc>
          <w:tcPr>
            <w:tcW w:w="0" w:type="dxa"/>
            <w:vAlign w:val="bottom"/>
          </w:tcPr>
          <w:p>
            <w:pPr>
              <w:spacing w:after="0"/>
              <w:rPr>
                <w:sz w:val="1"/>
                <w:szCs w:val="1"/>
                <w:color w:val="auto"/>
              </w:rPr>
            </w:pPr>
          </w:p>
        </w:tc>
      </w:tr>
      <w:tr>
        <w:trPr>
          <w:trHeight w:val="160"/>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current assets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5,572,327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4,757,307</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Strategic investments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68,246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56,244</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Property and equipment, net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746,567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620,172</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48,211</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contract acquisition costs, noncurrent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421,773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335,933</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Goodwill</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722,016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638,041</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Intangible assets, net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114,518</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long-term assets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96,386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76,094</w:t>
            </w:r>
          </w:p>
        </w:tc>
        <w:tc>
          <w:tcPr>
            <w:tcW w:w="0" w:type="dxa"/>
            <w:vAlign w:val="bottom"/>
          </w:tcPr>
          <w:p>
            <w:pPr>
              <w:spacing w:after="0"/>
              <w:rPr>
                <w:sz w:val="1"/>
                <w:szCs w:val="1"/>
                <w:color w:val="auto"/>
              </w:rPr>
            </w:pPr>
          </w:p>
        </w:tc>
      </w:tr>
      <w:tr>
        <w:trPr>
          <w:trHeight w:val="163"/>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assets</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7,782,958</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6,646,520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818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Liabilities and Stockholders’ Equity</w:t>
            </w: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Current liabilities:</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Accounts payable</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79,214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28,180</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Accrued expenses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176,598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125,896</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Accrued payroll and benefits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324,889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234,624</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Operating lease liabilities, 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14,150</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Deferred revenue</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2,363,258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2,270,757</w:t>
            </w:r>
          </w:p>
        </w:tc>
        <w:tc>
          <w:tcPr>
            <w:tcW w:w="0" w:type="dxa"/>
            <w:vAlign w:val="bottom"/>
          </w:tcPr>
          <w:p>
            <w:pPr>
              <w:spacing w:after="0"/>
              <w:rPr>
                <w:sz w:val="1"/>
                <w:szCs w:val="1"/>
                <w:color w:val="auto"/>
              </w:rPr>
            </w:pPr>
          </w:p>
        </w:tc>
      </w:tr>
      <w:tr>
        <w:trPr>
          <w:trHeight w:val="168"/>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Other current liabilities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40,763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23,672</w:t>
            </w:r>
          </w:p>
        </w:tc>
        <w:tc>
          <w:tcPr>
            <w:tcW w:w="0" w:type="dxa"/>
            <w:vAlign w:val="bottom"/>
          </w:tcPr>
          <w:p>
            <w:pPr>
              <w:spacing w:after="0"/>
              <w:rPr>
                <w:sz w:val="1"/>
                <w:szCs w:val="1"/>
                <w:color w:val="auto"/>
              </w:rPr>
            </w:pPr>
          </w:p>
        </w:tc>
      </w:tr>
      <w:tr>
        <w:trPr>
          <w:trHeight w:val="1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3,000,380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2,697,279</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743,610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742,494</w:t>
            </w: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revenue, noncurrent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833,260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783,342</w:t>
            </w:r>
          </w:p>
        </w:tc>
        <w:tc>
          <w:tcPr>
            <w:tcW w:w="0" w:type="dxa"/>
            <w:vAlign w:val="bottom"/>
          </w:tcPr>
          <w:p>
            <w:pPr>
              <w:spacing w:after="0"/>
              <w:rPr>
                <w:sz w:val="1"/>
                <w:szCs w:val="1"/>
                <w:color w:val="auto"/>
              </w:rPr>
            </w:pPr>
          </w:p>
        </w:tc>
      </w:tr>
      <w:tr>
        <w:trPr>
          <w:trHeight w:val="168"/>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lease liabilities, noncurrent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36,230</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liabilities, noncurrent</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77,414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50,086</w:t>
            </w:r>
          </w:p>
        </w:tc>
        <w:tc>
          <w:tcPr>
            <w:tcW w:w="0" w:type="dxa"/>
            <w:vAlign w:val="bottom"/>
          </w:tcPr>
          <w:p>
            <w:pPr>
              <w:spacing w:after="0"/>
              <w:rPr>
                <w:sz w:val="1"/>
                <w:szCs w:val="1"/>
                <w:color w:val="auto"/>
              </w:rPr>
            </w:pPr>
          </w:p>
        </w:tc>
      </w:tr>
      <w:tr>
        <w:trPr>
          <w:trHeight w:val="16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liabilities</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4,687,347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4,309,431</w:t>
            </w:r>
          </w:p>
        </w:tc>
        <w:tc>
          <w:tcPr>
            <w:tcW w:w="0" w:type="dxa"/>
            <w:vAlign w:val="bottom"/>
          </w:tcPr>
          <w:p>
            <w:pPr>
              <w:spacing w:after="0"/>
              <w:rPr>
                <w:sz w:val="1"/>
                <w:szCs w:val="1"/>
                <w:color w:val="auto"/>
              </w:rPr>
            </w:pPr>
          </w:p>
        </w:tc>
      </w:tr>
      <w:tr>
        <w:trPr>
          <w:trHeight w:val="141"/>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Commitments and contingencies (Note 8)</w:t>
            </w: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Stockholders’ Equity</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818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1"/>
                <w:szCs w:val="11"/>
                <w:color w:val="auto"/>
              </w:rPr>
              <w:t>Preferred stock, $0.0005 par value; 100,000 shares authorized as of October 31, 2024 and January 31, 2024; no shares issued and outstanding as of October 31, 2024 and</w:t>
            </w:r>
          </w:p>
        </w:tc>
        <w:tc>
          <w:tcPr>
            <w:tcW w:w="260" w:type="dxa"/>
            <w:vAlign w:val="bottom"/>
            <w:shd w:val="clear" w:color="auto" w:fill="CCEEFF"/>
          </w:tcPr>
          <w:p>
            <w:pPr>
              <w:spacing w:after="0"/>
              <w:rPr>
                <w:sz w:val="9"/>
                <w:szCs w:val="9"/>
                <w:color w:val="auto"/>
              </w:rPr>
            </w:pPr>
          </w:p>
        </w:tc>
        <w:tc>
          <w:tcPr>
            <w:tcW w:w="1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9"/>
                <w:szCs w:val="9"/>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31, 2024.</w:t>
            </w:r>
          </w:p>
        </w:tc>
        <w:tc>
          <w:tcPr>
            <w:tcW w:w="260" w:type="dxa"/>
            <w:vAlign w:val="bottom"/>
            <w:shd w:val="clear" w:color="auto" w:fill="CCEEFF"/>
          </w:tcPr>
          <w:p>
            <w:pPr>
              <w:spacing w:after="0"/>
              <w:rPr>
                <w:sz w:val="13"/>
                <w:szCs w:val="13"/>
                <w:color w:val="auto"/>
              </w:rPr>
            </w:pPr>
          </w:p>
        </w:tc>
        <w:tc>
          <w:tcPr>
            <w:tcW w:w="1340" w:type="dxa"/>
            <w:vAlign w:val="bottom"/>
            <w:gridSpan w:val="2"/>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818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Class A common stock, $0.0005 par value; 2,000,000 shares authorized as of October 31, 2024 and January 31, 2024; 233,849 shares and 229,380 shares issued and outstanding as</w:t>
            </w: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81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of October 31, 2024 and January 31, 2024, respectively; Class B common stock, $0.0005 par value; 300,000 shares authorized as of October 31, 2024 and January 31, 2024;</w:t>
            </w:r>
          </w:p>
        </w:tc>
        <w:tc>
          <w:tcPr>
            <w:tcW w:w="26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64"/>
        </w:trPr>
        <w:tc>
          <w:tcPr>
            <w:tcW w:w="81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12,460 shares and 12,485 shares issued and outstanding as of October 31, 2024 and January 31, 2024, respectively.</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Additional paid-in capital</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4,045,660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3,364,328</w:t>
            </w:r>
          </w:p>
        </w:tc>
        <w:tc>
          <w:tcPr>
            <w:tcW w:w="0" w:type="dxa"/>
            <w:vAlign w:val="bottom"/>
          </w:tcPr>
          <w:p>
            <w:pPr>
              <w:spacing w:after="0"/>
              <w:rPr>
                <w:sz w:val="1"/>
                <w:szCs w:val="1"/>
                <w:color w:val="auto"/>
              </w:rPr>
            </w:pPr>
          </w:p>
        </w:tc>
      </w:tr>
      <w:tr>
        <w:trPr>
          <w:trHeight w:val="168"/>
        </w:trPr>
        <w:tc>
          <w:tcPr>
            <w:tcW w:w="818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Accumulated deficit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(985,825)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(1,058,836)</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w:t>
            </w:r>
          </w:p>
        </w:tc>
        <w:tc>
          <w:tcPr>
            <w:tcW w:w="0" w:type="dxa"/>
            <w:vAlign w:val="bottom"/>
          </w:tcPr>
          <w:p>
            <w:pPr>
              <w:spacing w:after="0"/>
              <w:rPr>
                <w:sz w:val="1"/>
                <w:szCs w:val="1"/>
                <w:color w:val="auto"/>
              </w:rPr>
            </w:pPr>
          </w:p>
        </w:tc>
      </w:tr>
      <w:tr>
        <w:trPr>
          <w:trHeight w:val="160"/>
        </w:trPr>
        <w:tc>
          <w:tcPr>
            <w:tcW w:w="81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Total CrowdStrike Holdings, Inc. stockholders’ equity</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3,057,933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2,303,950</w:t>
            </w:r>
          </w:p>
        </w:tc>
        <w:tc>
          <w:tcPr>
            <w:tcW w:w="0" w:type="dxa"/>
            <w:vAlign w:val="bottom"/>
          </w:tcPr>
          <w:p>
            <w:pPr>
              <w:spacing w:after="0"/>
              <w:rPr>
                <w:sz w:val="1"/>
                <w:szCs w:val="1"/>
                <w:color w:val="auto"/>
              </w:rPr>
            </w:pPr>
          </w:p>
        </w:tc>
      </w:tr>
      <w:tr>
        <w:trPr>
          <w:trHeight w:val="17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Non-controlling interest</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37,678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33,139</w:t>
            </w:r>
          </w:p>
        </w:tc>
        <w:tc>
          <w:tcPr>
            <w:tcW w:w="0" w:type="dxa"/>
            <w:vAlign w:val="bottom"/>
          </w:tcPr>
          <w:p>
            <w:pPr>
              <w:spacing w:after="0"/>
              <w:rPr>
                <w:sz w:val="1"/>
                <w:szCs w:val="1"/>
                <w:color w:val="auto"/>
              </w:rPr>
            </w:pPr>
          </w:p>
        </w:tc>
      </w:tr>
      <w:tr>
        <w:trPr>
          <w:trHeight w:val="16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Total stockholders’ equity</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3,095,611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2,337,089</w:t>
            </w:r>
          </w:p>
        </w:tc>
        <w:tc>
          <w:tcPr>
            <w:tcW w:w="0" w:type="dxa"/>
            <w:vAlign w:val="bottom"/>
          </w:tcPr>
          <w:p>
            <w:pPr>
              <w:spacing w:after="0"/>
              <w:rPr>
                <w:sz w:val="1"/>
                <w:szCs w:val="1"/>
                <w:color w:val="auto"/>
              </w:rPr>
            </w:pPr>
          </w:p>
        </w:tc>
      </w:tr>
      <w:tr>
        <w:trPr>
          <w:trHeight w:val="188"/>
        </w:trPr>
        <w:tc>
          <w:tcPr>
            <w:tcW w:w="8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Total liabilities and stockholders’ equity</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7,782,958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6,646,520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condensed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2540" w:type="dxa"/>
            <w:vAlign w:val="bottom"/>
            <w:tcBorders>
              <w:bottom w:val="single" w:sz="8" w:color="auto"/>
            </w:tcBorders>
            <w:gridSpan w:val="4"/>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r>
      <w:tr>
        <w:trPr>
          <w:trHeight w:val="161"/>
        </w:trPr>
        <w:tc>
          <w:tcPr>
            <w:tcW w:w="49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962,735</w:t>
            </w:r>
          </w:p>
        </w:tc>
        <w:tc>
          <w:tcPr>
            <w:tcW w:w="100" w:type="dxa"/>
            <w:vAlign w:val="bottom"/>
          </w:tcPr>
          <w:p>
            <w:pPr>
              <w:spacing w:after="0"/>
              <w:rPr>
                <w:sz w:val="15"/>
                <w:szCs w:val="15"/>
                <w:color w:val="auto"/>
              </w:rPr>
            </w:pPr>
          </w:p>
        </w:tc>
        <w:tc>
          <w:tcPr>
            <w:tcW w:w="940" w:type="dxa"/>
            <w:vAlign w:val="bottom"/>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733,463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2,753,164</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2,074,610</w:t>
            </w:r>
          </w:p>
        </w:tc>
      </w:tr>
      <w:tr>
        <w:trPr>
          <w:trHeight w:val="18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47,443</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52,551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141,922</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135,610</w:t>
            </w:r>
          </w:p>
        </w:tc>
      </w:tr>
      <w:tr>
        <w:trPr>
          <w:trHeight w:val="171"/>
        </w:trPr>
        <w:tc>
          <w:tcPr>
            <w:tcW w:w="49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6"/>
              </w:rPr>
              <w:t>1,010,178</w:t>
            </w:r>
          </w:p>
        </w:tc>
        <w:tc>
          <w:tcPr>
            <w:tcW w:w="1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786,014</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2,895,086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2,210,220</w:t>
            </w:r>
          </w:p>
        </w:tc>
      </w:tr>
      <w:tr>
        <w:trPr>
          <w:trHeight w:val="192"/>
        </w:trPr>
        <w:tc>
          <w:tcPr>
            <w:tcW w:w="4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Subscription</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216,301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605,868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455,236</w:t>
            </w:r>
          </w:p>
        </w:tc>
      </w:tr>
      <w:tr>
        <w:trPr>
          <w:trHeight w:val="180"/>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Professional services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38,786</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111,623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91,915</w:t>
            </w:r>
          </w:p>
        </w:tc>
      </w:tr>
      <w:tr>
        <w:trPr>
          <w:trHeight w:val="171"/>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cost of revenue</w:t>
            </w:r>
          </w:p>
        </w:tc>
        <w:tc>
          <w:tcPr>
            <w:tcW w:w="8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255,087</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195,004</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717,491</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547,151</w:t>
            </w:r>
          </w:p>
        </w:tc>
      </w:tr>
      <w:tr>
        <w:trPr>
          <w:trHeight w:val="192"/>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755,091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2,177,595</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1,663,069</w:t>
            </w:r>
          </w:p>
        </w:tc>
      </w:tr>
      <w:tr>
        <w:trPr>
          <w:trHeight w:val="212"/>
        </w:trPr>
        <w:tc>
          <w:tcPr>
            <w:tcW w:w="4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18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Sales and marketing</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408,267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286,186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1,113,852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850,209</w:t>
            </w:r>
          </w:p>
        </w:tc>
      </w:tr>
      <w:tr>
        <w:trPr>
          <w:trHeight w:val="18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275,602</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554,499</w:t>
            </w:r>
          </w:p>
        </w:tc>
      </w:tr>
      <w:tr>
        <w:trPr>
          <w:trHeight w:val="180"/>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126,945</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105,589</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337,113</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290,027</w:t>
            </w:r>
          </w:p>
        </w:tc>
      </w:tr>
      <w:tr>
        <w:trPr>
          <w:trHeight w:val="171"/>
        </w:trPr>
        <w:tc>
          <w:tcPr>
            <w:tcW w:w="4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810,814</w:t>
            </w:r>
          </w:p>
        </w:tc>
        <w:tc>
          <w:tcPr>
            <w:tcW w:w="10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587,847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2,212,724</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1,694,735</w:t>
            </w:r>
          </w:p>
        </w:tc>
      </w:tr>
      <w:tr>
        <w:trPr>
          <w:trHeight w:val="192"/>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(55,723)</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(31,666)</w:t>
            </w:r>
          </w:p>
        </w:tc>
      </w:tr>
      <w:tr>
        <w:trPr>
          <w:trHeight w:val="180"/>
        </w:trPr>
        <w:tc>
          <w:tcPr>
            <w:tcW w:w="4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(6,587)</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(19,334)</w:t>
            </w:r>
          </w:p>
        </w:tc>
      </w:tr>
      <w:tr>
        <w:trPr>
          <w:trHeight w:val="180"/>
        </w:trPr>
        <w:tc>
          <w:tcPr>
            <w:tcW w:w="4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52,201</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40,086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149,577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107,245</w:t>
            </w:r>
          </w:p>
        </w:tc>
      </w:tr>
      <w:tr>
        <w:trPr>
          <w:trHeight w:val="180"/>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(1,978)</w:t>
            </w:r>
          </w:p>
        </w:tc>
      </w:tr>
      <w:tr>
        <w:trPr>
          <w:trHeight w:val="192"/>
        </w:trPr>
        <w:tc>
          <w:tcPr>
            <w:tcW w:w="4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(10,538)</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100,997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54,267</w:t>
            </w:r>
          </w:p>
        </w:tc>
      </w:tr>
      <w:tr>
        <w:trPr>
          <w:trHeight w:val="212"/>
        </w:trPr>
        <w:tc>
          <w:tcPr>
            <w:tcW w:w="49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180"/>
        </w:trPr>
        <w:tc>
          <w:tcPr>
            <w:tcW w:w="4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18,623</w:t>
            </w:r>
          </w:p>
        </w:tc>
      </w:tr>
      <w:tr>
        <w:trPr>
          <w:trHeight w:val="192"/>
        </w:trPr>
        <w:tc>
          <w:tcPr>
            <w:tcW w:w="49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80"/>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76,135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35,644</w:t>
            </w:r>
          </w:p>
        </w:tc>
      </w:tr>
      <w:tr>
        <w:trPr>
          <w:trHeight w:val="18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attributable to CrowdStrike</w:t>
            </w:r>
          </w:p>
        </w:tc>
        <w:tc>
          <w:tcPr>
            <w:tcW w:w="8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(16,822)</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26,665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73,011</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35,628</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3"/>
        </w:trPr>
        <w:tc>
          <w:tcPr>
            <w:tcW w:w="49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80"/>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per share attributable to CrowdStrike common stockholders: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05"/>
        </w:trPr>
        <w:tc>
          <w:tcPr>
            <w:tcW w:w="4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94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880" w:type="dxa"/>
            <w:vAlign w:val="bottom"/>
            <w:tcBorders>
              <w:bottom w:val="single" w:sz="8" w:color="auto"/>
            </w:tcBorders>
          </w:tcPr>
          <w:p>
            <w:pPr>
              <w:jc w:val="right"/>
              <w:ind w:right="732"/>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2"/>
                <w:szCs w:val="12"/>
                <w:color w:val="auto"/>
              </w:rPr>
            </w:pPr>
          </w:p>
        </w:tc>
        <w:tc>
          <w:tcPr>
            <w:tcW w:w="940" w:type="dxa"/>
            <w:vAlign w:val="bottom"/>
            <w:tcBorders>
              <w:bottom w:val="single" w:sz="8" w:color="auto"/>
            </w:tcBorders>
          </w:tcPr>
          <w:p>
            <w:pPr>
              <w:jc w:val="right"/>
              <w:ind w:right="791"/>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0.11</w:t>
            </w:r>
          </w:p>
        </w:tc>
        <w:tc>
          <w:tcPr>
            <w:tcW w:w="100" w:type="dxa"/>
            <w:vAlign w:val="bottom"/>
          </w:tcPr>
          <w:p>
            <w:pPr>
              <w:spacing w:after="0"/>
              <w:rPr>
                <w:sz w:val="12"/>
                <w:szCs w:val="12"/>
                <w:color w:val="auto"/>
              </w:rPr>
            </w:pPr>
          </w:p>
        </w:tc>
        <w:tc>
          <w:tcPr>
            <w:tcW w:w="360" w:type="dxa"/>
            <w:vAlign w:val="bottom"/>
            <w:tcBorders>
              <w:bottom w:val="single" w:sz="8" w:color="auto"/>
            </w:tcBorders>
          </w:tcPr>
          <w:p>
            <w:pPr>
              <w:jc w:val="right"/>
              <w:ind w:right="209"/>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0.29</w:t>
            </w:r>
          </w:p>
        </w:tc>
        <w:tc>
          <w:tcPr>
            <w:tcW w:w="80" w:type="dxa"/>
            <w:vAlign w:val="bottom"/>
          </w:tcPr>
          <w:p>
            <w:pPr>
              <w:spacing w:after="0"/>
              <w:rPr>
                <w:sz w:val="12"/>
                <w:szCs w:val="12"/>
                <w:color w:val="auto"/>
              </w:rPr>
            </w:pPr>
          </w:p>
        </w:tc>
        <w:tc>
          <w:tcPr>
            <w:tcW w:w="360" w:type="dxa"/>
            <w:vAlign w:val="bottom"/>
            <w:tcBorders>
              <w:bottom w:val="single" w:sz="8" w:color="auto"/>
            </w:tcBorders>
          </w:tcPr>
          <w:p>
            <w:pPr>
              <w:jc w:val="right"/>
              <w:ind w:right="189"/>
              <w:spacing w:after="0" w:line="143"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0.15</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3"/>
        </w:trPr>
        <w:tc>
          <w:tcPr>
            <w:tcW w:w="49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38"/>
        </w:trPr>
        <w:tc>
          <w:tcPr>
            <w:tcW w:w="494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Weighted-average shares used in computing net income (loss) per share attributable to</w:t>
            </w: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187"/>
        </w:trPr>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CrowdStrike common stockholders:</w:t>
            </w: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9"/>
        </w:trPr>
        <w:tc>
          <w:tcPr>
            <w:tcW w:w="4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245,536</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239,297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244,017</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237,890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940" w:type="dxa"/>
            <w:vAlign w:val="bottom"/>
          </w:tcPr>
          <w:p>
            <w:pPr>
              <w:ind w:left="100"/>
              <w:spacing w:after="0" w:line="143" w:lineRule="exact"/>
              <w:rPr>
                <w:sz w:val="20"/>
                <w:szCs w:val="20"/>
                <w:color w:val="auto"/>
              </w:rPr>
            </w:pPr>
            <w:r>
              <w:rPr>
                <w:rFonts w:ascii="Times New Roman" w:cs="Times New Roman" w:eastAsia="Times New Roman" w:hAnsi="Times New Roman"/>
                <w:sz w:val="14"/>
                <w:szCs w:val="14"/>
                <w:color w:val="auto"/>
              </w:rPr>
              <w:t>Diluted</w:t>
            </w:r>
          </w:p>
        </w:tc>
        <w:tc>
          <w:tcPr>
            <w:tcW w:w="8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245,536</w:t>
            </w:r>
          </w:p>
        </w:tc>
        <w:tc>
          <w:tcPr>
            <w:tcW w:w="10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243,799</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250,747</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242,196</w:t>
            </w:r>
          </w:p>
        </w:tc>
      </w:tr>
      <w:tr>
        <w:trPr>
          <w:trHeight w:val="20"/>
        </w:trPr>
        <w:tc>
          <w:tcPr>
            <w:tcW w:w="4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(Loss)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(unaudited)</w:t>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4840" w:type="dxa"/>
            <w:vAlign w:val="bottom"/>
          </w:tcPr>
          <w:p>
            <w:pPr>
              <w:spacing w:after="0"/>
              <w:rPr>
                <w:sz w:val="14"/>
                <w:szCs w:val="14"/>
                <w:color w:val="auto"/>
              </w:rPr>
            </w:pPr>
          </w:p>
        </w:tc>
        <w:tc>
          <w:tcPr>
            <w:tcW w:w="2580" w:type="dxa"/>
            <w:vAlign w:val="bottom"/>
            <w:tcBorders>
              <w:bottom w:val="single" w:sz="8" w:color="auto"/>
            </w:tcBorders>
            <w:gridSpan w:val="4"/>
          </w:tcPr>
          <w:p>
            <w:pPr>
              <w:jc w:val="right"/>
              <w:ind w:right="52"/>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r>
      <w:tr>
        <w:trPr>
          <w:trHeight w:val="161"/>
        </w:trPr>
        <w:tc>
          <w:tcPr>
            <w:tcW w:w="48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4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(16,819)</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76,135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35,644</w:t>
            </w:r>
          </w:p>
        </w:tc>
      </w:tr>
      <w:tr>
        <w:trPr>
          <w:trHeight w:val="180"/>
        </w:trPr>
        <w:tc>
          <w:tcPr>
            <w:tcW w:w="48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0"/>
        </w:trPr>
        <w:tc>
          <w:tcPr>
            <w:tcW w:w="4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9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w:t>
            </w:r>
          </w:p>
        </w:tc>
      </w:tr>
      <w:tr>
        <w:trPr>
          <w:trHeight w:val="180"/>
        </w:trPr>
        <w:tc>
          <w:tcPr>
            <w:tcW w:w="4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Unrealized gain on cash equivalents and short-term investments, net of tax</w:t>
            </w:r>
          </w:p>
        </w:tc>
        <w:tc>
          <w:tcPr>
            <w:tcW w:w="9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(6,193)</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(4,261)</w:t>
            </w:r>
          </w:p>
        </w:tc>
      </w:tr>
      <w:tr>
        <w:trPr>
          <w:trHeight w:val="171"/>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Comprehensive income attributable to non-controlling interest</w:t>
            </w: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96"/>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 attributable to CrowdStrike</w:t>
            </w:r>
          </w:p>
        </w:tc>
        <w:tc>
          <w:tcPr>
            <w:tcW w:w="94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(15,746)</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20,472</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31,367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spacing w:after="0" w:line="1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1"/>
          <w:szCs w:val="11"/>
          <w:b w:val="1"/>
          <w:bCs w:val="1"/>
          <w:color w:val="auto"/>
        </w:rPr>
        <w:t>Three Months Ended October 31, 2024 and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3580" w:type="dxa"/>
            <w:vAlign w:val="bottom"/>
          </w:tcPr>
          <w:p>
            <w:pPr>
              <w:spacing w:after="0"/>
              <w:rPr>
                <w:sz w:val="11"/>
                <w:szCs w:val="11"/>
                <w:color w:val="auto"/>
              </w:rPr>
            </w:pPr>
          </w:p>
        </w:tc>
        <w:tc>
          <w:tcPr>
            <w:tcW w:w="1760" w:type="dxa"/>
            <w:vAlign w:val="bottom"/>
            <w:gridSpan w:val="3"/>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44"/>
        </w:trPr>
        <w:tc>
          <w:tcPr>
            <w:tcW w:w="35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tcPr>
          <w:p>
            <w:pPr>
              <w:jc w:val="center"/>
              <w:ind w:right="180"/>
              <w:spacing w:after="0" w:line="44" w:lineRule="exact"/>
              <w:rPr>
                <w:sz w:val="20"/>
                <w:szCs w:val="20"/>
                <w:color w:val="auto"/>
              </w:rPr>
            </w:pPr>
            <w:r>
              <w:rPr>
                <w:rFonts w:ascii="Times New Roman" w:cs="Times New Roman" w:eastAsia="Times New Roman" w:hAnsi="Times New Roman"/>
                <w:sz w:val="5"/>
                <w:szCs w:val="5"/>
                <w:b w:val="1"/>
                <w:bCs w:val="1"/>
                <w:color w:val="auto"/>
              </w:rPr>
              <w:t>Additional Paid-in</w:t>
            </w: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tcPr>
          <w:p>
            <w:pPr>
              <w:jc w:val="center"/>
              <w:ind w:right="200"/>
              <w:spacing w:after="0" w:line="44" w:lineRule="exact"/>
              <w:rPr>
                <w:sz w:val="20"/>
                <w:szCs w:val="20"/>
                <w:color w:val="auto"/>
              </w:rPr>
            </w:pPr>
            <w:r>
              <w:rPr>
                <w:rFonts w:ascii="Times New Roman" w:cs="Times New Roman" w:eastAsia="Times New Roman" w:hAnsi="Times New Roman"/>
                <w:sz w:val="5"/>
                <w:szCs w:val="5"/>
                <w:b w:val="1"/>
                <w:bCs w:val="1"/>
                <w:color w:val="auto"/>
              </w:rPr>
              <w:t>Comprehensive Income</w:t>
            </w:r>
          </w:p>
        </w:tc>
        <w:tc>
          <w:tcPr>
            <w:tcW w:w="100" w:type="dxa"/>
            <w:vAlign w:val="bottom"/>
          </w:tcPr>
          <w:p>
            <w:pPr>
              <w:spacing w:after="0"/>
              <w:rPr>
                <w:sz w:val="3"/>
                <w:szCs w:val="3"/>
                <w:color w:val="auto"/>
              </w:rPr>
            </w:pPr>
          </w:p>
        </w:tc>
        <w:tc>
          <w:tcPr>
            <w:tcW w:w="920" w:type="dxa"/>
            <w:vAlign w:val="bottom"/>
            <w:gridSpan w:val="2"/>
          </w:tcPr>
          <w:p>
            <w:pPr>
              <w:jc w:val="center"/>
              <w:ind w:right="180"/>
              <w:spacing w:after="0" w:line="44"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00" w:type="dxa"/>
            <w:vAlign w:val="bottom"/>
          </w:tcPr>
          <w:p>
            <w:pPr>
              <w:spacing w:after="0"/>
              <w:rPr>
                <w:sz w:val="3"/>
                <w:szCs w:val="3"/>
                <w:color w:val="auto"/>
              </w:rPr>
            </w:pPr>
          </w:p>
        </w:tc>
        <w:tc>
          <w:tcPr>
            <w:tcW w:w="980" w:type="dxa"/>
            <w:vAlign w:val="bottom"/>
          </w:tcPr>
          <w:p>
            <w:pPr>
              <w:jc w:val="center"/>
              <w:ind w:right="29"/>
              <w:spacing w:after="0" w:line="44" w:lineRule="exact"/>
              <w:rPr>
                <w:sz w:val="20"/>
                <w:szCs w:val="20"/>
                <w:color w:val="auto"/>
              </w:rPr>
            </w:pPr>
            <w:r>
              <w:rPr>
                <w:rFonts w:ascii="Times New Roman" w:cs="Times New Roman" w:eastAsia="Times New Roman" w:hAnsi="Times New Roman"/>
                <w:sz w:val="5"/>
                <w:szCs w:val="5"/>
                <w:b w:val="1"/>
                <w:bCs w:val="1"/>
                <w:color w:val="auto"/>
              </w:rPr>
              <w:t>Total Stockholders’</w:t>
            </w:r>
          </w:p>
        </w:tc>
      </w:tr>
      <w:tr>
        <w:trPr>
          <w:trHeight w:val="142"/>
        </w:trPr>
        <w:tc>
          <w:tcPr>
            <w:tcW w:w="358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July 31, 2024</w:t>
            </w:r>
          </w:p>
        </w:tc>
        <w:tc>
          <w:tcPr>
            <w:tcW w:w="9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245,122</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3,824,897</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(969,003)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37,675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2,890,590</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844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844</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RSU and PSU release</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1,068</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founders holdbacks related to acquisitions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889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payment of board of director fees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 net of founder revest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206,489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206,489</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12,456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12,456</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(16,822)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(16,819)</w:t>
            </w:r>
          </w:p>
        </w:tc>
      </w:tr>
      <w:tr>
        <w:trPr>
          <w:trHeight w:val="14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1,076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1,076</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October 31, 2024</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246,309</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4,045,660</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(985,825)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37,678</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3,095,611</w:t>
            </w: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87"/>
        </w:trPr>
        <w:tc>
          <w:tcPr>
            <w:tcW w:w="3580" w:type="dxa"/>
            <w:vAlign w:val="bottom"/>
          </w:tcPr>
          <w:p>
            <w:pPr>
              <w:spacing w:after="0"/>
              <w:rPr>
                <w:sz w:val="24"/>
                <w:szCs w:val="24"/>
                <w:color w:val="auto"/>
              </w:rPr>
            </w:pPr>
          </w:p>
        </w:tc>
        <w:tc>
          <w:tcPr>
            <w:tcW w:w="1760" w:type="dxa"/>
            <w:vAlign w:val="bottom"/>
            <w:gridSpan w:val="3"/>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4"/>
        </w:trPr>
        <w:tc>
          <w:tcPr>
            <w:tcW w:w="35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gridSpan w:val="2"/>
          </w:tcPr>
          <w:p>
            <w:pPr>
              <w:jc w:val="center"/>
              <w:ind w:right="180"/>
              <w:spacing w:after="0" w:line="44" w:lineRule="exact"/>
              <w:rPr>
                <w:sz w:val="20"/>
                <w:szCs w:val="20"/>
                <w:color w:val="auto"/>
              </w:rPr>
            </w:pPr>
            <w:r>
              <w:rPr>
                <w:rFonts w:ascii="Times New Roman" w:cs="Times New Roman" w:eastAsia="Times New Roman" w:hAnsi="Times New Roman"/>
                <w:sz w:val="5"/>
                <w:szCs w:val="5"/>
                <w:b w:val="1"/>
                <w:bCs w:val="1"/>
                <w:color w:val="auto"/>
              </w:rPr>
              <w:t>Additional Paid-in</w:t>
            </w:r>
          </w:p>
        </w:tc>
        <w:tc>
          <w:tcPr>
            <w:tcW w:w="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tcPr>
          <w:p>
            <w:pPr>
              <w:jc w:val="center"/>
              <w:ind w:right="200"/>
              <w:spacing w:after="0" w:line="44" w:lineRule="exact"/>
              <w:rPr>
                <w:sz w:val="20"/>
                <w:szCs w:val="20"/>
                <w:color w:val="auto"/>
              </w:rPr>
            </w:pPr>
            <w:r>
              <w:rPr>
                <w:rFonts w:ascii="Times New Roman" w:cs="Times New Roman" w:eastAsia="Times New Roman" w:hAnsi="Times New Roman"/>
                <w:sz w:val="5"/>
                <w:szCs w:val="5"/>
                <w:b w:val="1"/>
                <w:bCs w:val="1"/>
                <w:color w:val="auto"/>
              </w:rPr>
              <w:t>Comprehensive Income</w:t>
            </w:r>
          </w:p>
        </w:tc>
        <w:tc>
          <w:tcPr>
            <w:tcW w:w="100" w:type="dxa"/>
            <w:vAlign w:val="bottom"/>
          </w:tcPr>
          <w:p>
            <w:pPr>
              <w:spacing w:after="0"/>
              <w:rPr>
                <w:sz w:val="3"/>
                <w:szCs w:val="3"/>
                <w:color w:val="auto"/>
              </w:rPr>
            </w:pPr>
          </w:p>
        </w:tc>
        <w:tc>
          <w:tcPr>
            <w:tcW w:w="920" w:type="dxa"/>
            <w:vAlign w:val="bottom"/>
            <w:gridSpan w:val="2"/>
          </w:tcPr>
          <w:p>
            <w:pPr>
              <w:jc w:val="center"/>
              <w:ind w:right="180"/>
              <w:spacing w:after="0" w:line="44"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00" w:type="dxa"/>
            <w:vAlign w:val="bottom"/>
          </w:tcPr>
          <w:p>
            <w:pPr>
              <w:spacing w:after="0"/>
              <w:rPr>
                <w:sz w:val="3"/>
                <w:szCs w:val="3"/>
                <w:color w:val="auto"/>
              </w:rPr>
            </w:pPr>
          </w:p>
        </w:tc>
        <w:tc>
          <w:tcPr>
            <w:tcW w:w="980" w:type="dxa"/>
            <w:vAlign w:val="bottom"/>
          </w:tcPr>
          <w:p>
            <w:pPr>
              <w:jc w:val="center"/>
              <w:ind w:right="29"/>
              <w:spacing w:after="0" w:line="44" w:lineRule="exact"/>
              <w:rPr>
                <w:sz w:val="20"/>
                <w:szCs w:val="20"/>
                <w:color w:val="auto"/>
              </w:rPr>
            </w:pPr>
            <w:r>
              <w:rPr>
                <w:rFonts w:ascii="Times New Roman" w:cs="Times New Roman" w:eastAsia="Times New Roman" w:hAnsi="Times New Roman"/>
                <w:sz w:val="5"/>
                <w:szCs w:val="5"/>
                <w:b w:val="1"/>
                <w:bCs w:val="1"/>
                <w:color w:val="auto"/>
              </w:rPr>
              <w:t>Total Stockholders’</w:t>
            </w:r>
          </w:p>
        </w:tc>
      </w:tr>
      <w:tr>
        <w:trPr>
          <w:trHeight w:val="142"/>
        </w:trPr>
        <w:tc>
          <w:tcPr>
            <w:tcW w:w="358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(Loss)</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98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July 31, 2023</w:t>
            </w:r>
          </w:p>
        </w:tc>
        <w:tc>
          <w:tcPr>
            <w:tcW w:w="9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238,775</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2,976,375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(1,139,200)</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913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31,893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1,870,100</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2,050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RSU and PSU release</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955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restricted stock awards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founders holdbacks related to acquisitions</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888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888</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payment of board of director fees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 net of founder revest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158,649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158,649</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7,943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7,943</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Fair value of replacement equity awards attributable to pre-acquisition service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652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26,665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26,669</w:t>
            </w:r>
          </w:p>
        </w:tc>
      </w:tr>
      <w:tr>
        <w:trPr>
          <w:trHeight w:val="14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(6,193)</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October 31, 2023</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240,122</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1"/>
                <w:szCs w:val="11"/>
                <w:color w:val="auto"/>
              </w:rPr>
              <w:t>3,146,645</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(1,112,535)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31,897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2,060,847</w:t>
            </w: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spacing w:after="0" w:line="2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1"/>
          <w:szCs w:val="11"/>
          <w:b w:val="1"/>
          <w:bCs w:val="1"/>
          <w:color w:val="auto"/>
        </w:rPr>
        <w:t>Condensed Consolidated Statements of Stockholders’ Equity</w:t>
      </w:r>
    </w:p>
    <w:p>
      <w:pPr>
        <w:spacing w:after="0" w:line="1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1"/>
          <w:szCs w:val="11"/>
          <w:b w:val="1"/>
          <w:bCs w:val="1"/>
          <w:color w:val="auto"/>
        </w:rPr>
        <w:t>Nine Months Ended October 31, 2024 and 2023</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80" w:type="dxa"/>
            <w:vAlign w:val="bottom"/>
          </w:tcPr>
          <w:p>
            <w:pPr>
              <w:spacing w:after="0"/>
              <w:rPr>
                <w:sz w:val="12"/>
                <w:szCs w:val="12"/>
                <w:color w:val="auto"/>
              </w:rPr>
            </w:pPr>
          </w:p>
        </w:tc>
        <w:tc>
          <w:tcPr>
            <w:tcW w:w="17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100" w:type="dxa"/>
            <w:vAlign w:val="bottom"/>
          </w:tcPr>
          <w:p>
            <w:pPr>
              <w:spacing w:after="0"/>
              <w:rPr>
                <w:sz w:val="12"/>
                <w:szCs w:val="12"/>
                <w:color w:val="auto"/>
              </w:rPr>
            </w:pP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7"/>
              </w:rPr>
              <w:t>Total Stockholders’</w:t>
            </w:r>
          </w:p>
        </w:tc>
      </w:tr>
      <w:tr>
        <w:trPr>
          <w:trHeight w:val="142"/>
        </w:trPr>
        <w:tc>
          <w:tcPr>
            <w:tcW w:w="358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Comprehensive Loss</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98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January 31, 2024</w:t>
            </w:r>
          </w:p>
        </w:tc>
        <w:tc>
          <w:tcPr>
            <w:tcW w:w="9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241,865</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3,364,328</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(1,058,836)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33,139</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2,337,089</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416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3,308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3,308</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RSU and PSU release</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3,502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518</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56,099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56,099</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founders holdbacks related to acquisitions</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2,667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2,667</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payment of board of director fees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261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 net of founder revest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586,598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586,598</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31,934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31,934</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Fair value of replacement equity awards attributable to pre-acquisition service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468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73,011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76,135</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1,415</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(363)</w:t>
            </w:r>
          </w:p>
        </w:tc>
      </w:tr>
      <w:tr>
        <w:trPr>
          <w:trHeight w:val="169"/>
        </w:trPr>
        <w:tc>
          <w:tcPr>
            <w:tcW w:w="3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October 31, 2024</w:t>
            </w:r>
          </w:p>
        </w:tc>
        <w:tc>
          <w:tcPr>
            <w:tcW w:w="9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246,309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4,045,660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(985,825)</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3,095,611</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611"/>
        </w:trPr>
        <w:tc>
          <w:tcPr>
            <w:tcW w:w="3580" w:type="dxa"/>
            <w:vAlign w:val="bottom"/>
          </w:tcPr>
          <w:p>
            <w:pPr>
              <w:spacing w:after="0"/>
              <w:rPr>
                <w:sz w:val="24"/>
                <w:szCs w:val="24"/>
                <w:color w:val="auto"/>
              </w:rPr>
            </w:pPr>
          </w:p>
        </w:tc>
        <w:tc>
          <w:tcPr>
            <w:tcW w:w="17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Additional Paid-in</w:t>
            </w: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Accumulated Other</w:t>
            </w:r>
          </w:p>
        </w:tc>
        <w:tc>
          <w:tcPr>
            <w:tcW w:w="100" w:type="dxa"/>
            <w:vAlign w:val="bottom"/>
          </w:tcPr>
          <w:p>
            <w:pPr>
              <w:spacing w:after="0"/>
              <w:rPr>
                <w:sz w:val="24"/>
                <w:szCs w:val="2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7"/>
              </w:rPr>
              <w:t>Non-controlling</w:t>
            </w:r>
          </w:p>
        </w:tc>
        <w:tc>
          <w:tcPr>
            <w:tcW w:w="100" w:type="dxa"/>
            <w:vAlign w:val="bottom"/>
          </w:tcPr>
          <w:p>
            <w:pPr>
              <w:spacing w:after="0"/>
              <w:rPr>
                <w:sz w:val="24"/>
                <w:szCs w:val="24"/>
                <w:color w:val="auto"/>
              </w:rPr>
            </w:pPr>
          </w:p>
        </w:tc>
        <w:tc>
          <w:tcPr>
            <w:tcW w:w="98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97"/>
              </w:rPr>
              <w:t>Total Stockholders’</w:t>
            </w:r>
          </w:p>
        </w:tc>
      </w:tr>
      <w:tr>
        <w:trPr>
          <w:trHeight w:val="142"/>
        </w:trPr>
        <w:tc>
          <w:tcPr>
            <w:tcW w:w="3580" w:type="dxa"/>
            <w:vAlign w:val="bottom"/>
          </w:tcPr>
          <w:p>
            <w:pPr>
              <w:spacing w:after="0"/>
              <w:rPr>
                <w:sz w:val="12"/>
                <w:szCs w:val="12"/>
                <w:color w:val="auto"/>
              </w:rPr>
            </w:pPr>
          </w:p>
        </w:tc>
        <w:tc>
          <w:tcPr>
            <w:tcW w:w="10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60" w:type="dxa"/>
            <w:vAlign w:val="bottom"/>
          </w:tcPr>
          <w:p>
            <w:pPr>
              <w:spacing w:after="0"/>
              <w:rPr>
                <w:sz w:val="12"/>
                <w:szCs w:val="12"/>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Accumulated Deficit</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6"/>
              </w:rPr>
              <w:t>Comprehensive Loss</w:t>
            </w:r>
          </w:p>
        </w:tc>
        <w:tc>
          <w:tcPr>
            <w:tcW w:w="10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2"/>
                <w:szCs w:val="12"/>
                <w:color w:val="auto"/>
              </w:rPr>
            </w:pPr>
          </w:p>
        </w:tc>
        <w:tc>
          <w:tcPr>
            <w:tcW w:w="98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6"/>
              </w:rPr>
              <w:t>Equity</w:t>
            </w:r>
          </w:p>
        </w:tc>
      </w:tr>
      <w:tr>
        <w:trPr>
          <w:trHeight w:val="145"/>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January 31, 2023</w:t>
            </w:r>
          </w:p>
        </w:tc>
        <w:tc>
          <w:tcPr>
            <w:tcW w:w="9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235,777</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2,612,705</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(1,148,163)</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23,793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1,487,434</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upon exercise of options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846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6,175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6,176</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RSU and PSU release</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2,899</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under employee stock purchase plan</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450</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45,431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45,432</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restricted stock awards</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125</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founders holdbacks related to acquisitions</w:t>
            </w:r>
          </w:p>
        </w:tc>
        <w:tc>
          <w:tcPr>
            <w:tcW w:w="9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3,426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3,426</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Issuance of common stock for payment of board of director fees</w:t>
            </w:r>
          </w:p>
        </w:tc>
        <w:tc>
          <w:tcPr>
            <w:tcW w:w="9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255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 net of founder revest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451,590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451,590</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Capitalized stock-based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26,411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26,411</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Fair value of replacement equity awards attributable to pre-acquisition service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652</w:t>
            </w:r>
          </w:p>
        </w:tc>
      </w:tr>
      <w:tr>
        <w:trPr>
          <w:trHeight w:val="154"/>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35,628</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35,644</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Non-controlling interest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spacing w:after="0"/>
              <w:rPr>
                <w:sz w:val="12"/>
                <w:szCs w:val="12"/>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20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8,088</w:t>
            </w:r>
          </w:p>
        </w:tc>
      </w:tr>
      <w:tr>
        <w:trPr>
          <w:trHeight w:val="14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(4,261)</w:t>
            </w:r>
          </w:p>
        </w:tc>
      </w:tr>
      <w:tr>
        <w:trPr>
          <w:trHeight w:val="144"/>
        </w:trPr>
        <w:tc>
          <w:tcPr>
            <w:tcW w:w="3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at October 31, 2023</w:t>
            </w:r>
          </w:p>
        </w:tc>
        <w:tc>
          <w:tcPr>
            <w:tcW w:w="96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240,122</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3,146,645</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(1,112,535)</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(5,280)</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31,897</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2,060,847</w:t>
            </w:r>
          </w:p>
        </w:tc>
      </w:tr>
      <w:tr>
        <w:trPr>
          <w:trHeight w:val="20"/>
        </w:trPr>
        <w:tc>
          <w:tcPr>
            <w:tcW w:w="3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1"/>
          <w:szCs w:val="11"/>
          <w:b w:val="1"/>
          <w:bCs w:val="1"/>
          <w:color w:val="auto"/>
        </w:rPr>
        <w:t>CrowdStrike Holdings, Inc.</w:t>
      </w:r>
    </w:p>
    <w:p>
      <w:pPr>
        <w:ind w:left="4420"/>
        <w:spacing w:after="0" w:line="209" w:lineRule="auto"/>
        <w:rPr>
          <w:sz w:val="20"/>
          <w:szCs w:val="20"/>
          <w:color w:val="auto"/>
        </w:rPr>
      </w:pPr>
      <w:r>
        <w:rPr>
          <w:rFonts w:ascii="Times New Roman" w:cs="Times New Roman" w:eastAsia="Times New Roman" w:hAnsi="Times New Roman"/>
          <w:sz w:val="11"/>
          <w:szCs w:val="11"/>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1"/>
          <w:szCs w:val="11"/>
          <w:i w:val="1"/>
          <w:iCs w:val="1"/>
          <w:color w:val="auto"/>
        </w:rPr>
        <w:t>(in thousands)(unaudited)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81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Nine Months Ended October 31,</w:t>
            </w:r>
          </w:p>
        </w:tc>
        <w:tc>
          <w:tcPr>
            <w:tcW w:w="860" w:type="dxa"/>
            <w:vAlign w:val="bottom"/>
            <w:tcBorders>
              <w:bottom w:val="single" w:sz="8" w:color="auto"/>
            </w:tcBorders>
          </w:tcPr>
          <w:p>
            <w:pPr>
              <w:spacing w:after="0"/>
              <w:rPr>
                <w:sz w:val="11"/>
                <w:szCs w:val="11"/>
                <w:color w:val="auto"/>
              </w:rPr>
            </w:pPr>
          </w:p>
        </w:tc>
      </w:tr>
      <w:tr>
        <w:trPr>
          <w:trHeight w:val="131"/>
        </w:trPr>
        <w:tc>
          <w:tcPr>
            <w:tcW w:w="81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6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0"/>
                <w:szCs w:val="10"/>
                <w:b w:val="1"/>
                <w:bCs w:val="1"/>
                <w:color w:val="auto"/>
                <w:w w:val="89"/>
              </w:rPr>
              <w:t>2023</w:t>
            </w:r>
          </w:p>
        </w:tc>
      </w:tr>
      <w:tr>
        <w:trPr>
          <w:trHeight w:val="12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Operating activities</w:t>
            </w:r>
          </w:p>
        </w:tc>
        <w:tc>
          <w:tcPr>
            <w:tcW w:w="8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Net income</w:t>
            </w:r>
          </w:p>
        </w:tc>
        <w:tc>
          <w:tcPr>
            <w:tcW w:w="860" w:type="dxa"/>
            <w:vAlign w:val="bottom"/>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76,135</w:t>
            </w:r>
          </w:p>
        </w:tc>
        <w:tc>
          <w:tcPr>
            <w:tcW w:w="100" w:type="dxa"/>
            <w:vAlign w:val="bottom"/>
          </w:tcPr>
          <w:p>
            <w:pPr>
              <w:spacing w:after="0"/>
              <w:rPr>
                <w:sz w:val="11"/>
                <w:szCs w:val="11"/>
                <w:color w:val="auto"/>
              </w:rPr>
            </w:pPr>
          </w:p>
        </w:tc>
        <w:tc>
          <w:tcPr>
            <w:tcW w:w="640" w:type="dxa"/>
            <w:vAlign w:val="bottom"/>
          </w:tcPr>
          <w:p>
            <w:pPr>
              <w:jc w:val="right"/>
              <w:ind w:right="5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35,644</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Depreciation and amortization</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137,851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89,972</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Amortization of intangible assets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18,665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12,913</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Amortization of deferred contract acquisition costs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227,713</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173,158</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Non-cash operating lease cost</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11,100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9,725</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Stock-based compensation expense</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592,890</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455,247</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Deferred income taxes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(2,355)</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Realized gains on strategic investments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(6,227)</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Non-cash interest expense</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2,748</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2,337</w:t>
            </w:r>
          </w:p>
        </w:tc>
      </w:tr>
      <w:tr>
        <w:trPr>
          <w:trHeight w:val="133"/>
        </w:trPr>
        <w:tc>
          <w:tcPr>
            <w:tcW w:w="818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Accretion of short-term investments purchased at a discount</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(1,934)</w:t>
            </w:r>
          </w:p>
        </w:tc>
      </w:tr>
      <w:tr>
        <w:trPr>
          <w:trHeight w:val="143"/>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Changes in operating assets and liabilities, net of impact of acquisitions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Accounts receivable, net</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39,184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65,858</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Deferred contract acquisition costs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(361,412)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(206,678)</w:t>
            </w: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Prepaid expenses and other assets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(42,832)</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(21,972)</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Accounts payable</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34,096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2,361</w:t>
            </w: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Accrued expenses and other liabilities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85,667</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33,597</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Accrued payroll and benefits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89,896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1,810</w:t>
            </w:r>
          </w:p>
        </w:tc>
      </w:tr>
      <w:tr>
        <w:trPr>
          <w:trHeight w:val="133"/>
        </w:trPr>
        <w:tc>
          <w:tcPr>
            <w:tcW w:w="818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Operating lease liabilities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(11,812)</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(16,147)</w:t>
            </w:r>
          </w:p>
        </w:tc>
      </w:tr>
      <w:tr>
        <w:trPr>
          <w:trHeight w:val="14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Deferred revenue</w:t>
            </w:r>
          </w:p>
        </w:tc>
        <w:tc>
          <w:tcPr>
            <w:tcW w:w="8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142,180</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185,655</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cash provided by operating activities</w:t>
            </w:r>
          </w:p>
        </w:tc>
        <w:tc>
          <w:tcPr>
            <w:tcW w:w="8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1,036,005</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819,191</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Investing activities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property and equipment</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(167,641)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(123,945)</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Capitalized internal-use software and website development costs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(41,266)</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(38,605)</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strategic investments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(12,702)</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(12,177)</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sales of strategic investments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10,895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Business acquisitions, net of cash acquired</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(96,381)</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(238,749)</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Purchases of intangible assets</w:t>
            </w:r>
          </w:p>
        </w:tc>
        <w:tc>
          <w:tcPr>
            <w:tcW w:w="8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short-term investments</w:t>
            </w:r>
          </w:p>
        </w:tc>
        <w:tc>
          <w:tcPr>
            <w:tcW w:w="86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(195,581)</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maturities and sales of short-term investments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97,300</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250,000</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Purchases of deferred compensation investments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(1,815)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(1,462)</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sales of deferred compensation investments</w:t>
            </w:r>
          </w:p>
        </w:tc>
        <w:tc>
          <w:tcPr>
            <w:tcW w:w="8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8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(211,569)</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(361,045)</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Financing activities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the issuance of common stock upon exercise stock options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3,308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6,178</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Proceeds from issuance of common stock under the employee stock purchase plan</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56,099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45,432</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Distributions to non-controlling interest holders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(4,085)</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Capital contributions from non-controlling interest holders</w:t>
            </w:r>
          </w:p>
        </w:tc>
        <w:tc>
          <w:tcPr>
            <w:tcW w:w="8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5,500</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8,088</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cash provided by financing activities</w:t>
            </w:r>
          </w:p>
        </w:tc>
        <w:tc>
          <w:tcPr>
            <w:tcW w:w="8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60,822</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59,698</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Effect of foreign exchange rates on cash, cash equivalents and restricted cash</w:t>
            </w:r>
          </w:p>
        </w:tc>
        <w:tc>
          <w:tcPr>
            <w:tcW w:w="8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(641)</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(3,411)</w:t>
            </w:r>
          </w:p>
        </w:tc>
      </w:tr>
      <w:tr>
        <w:trPr>
          <w:trHeight w:val="124"/>
        </w:trPr>
        <w:tc>
          <w:tcPr>
            <w:tcW w:w="8180" w:type="dxa"/>
            <w:vAlign w:val="bottom"/>
          </w:tcPr>
          <w:p>
            <w:pPr>
              <w:ind w:left="280"/>
              <w:spacing w:after="0" w:line="108" w:lineRule="exact"/>
              <w:rPr>
                <w:sz w:val="20"/>
                <w:szCs w:val="20"/>
                <w:color w:val="auto"/>
              </w:rPr>
            </w:pPr>
            <w:r>
              <w:rPr>
                <w:rFonts w:ascii="Times New Roman" w:cs="Times New Roman" w:eastAsia="Times New Roman" w:hAnsi="Times New Roman"/>
                <w:sz w:val="10"/>
                <w:szCs w:val="10"/>
                <w:color w:val="auto"/>
              </w:rPr>
              <w:t>Net increase in cash, cash equivalents and restricted cash</w:t>
            </w:r>
          </w:p>
        </w:tc>
        <w:tc>
          <w:tcPr>
            <w:tcW w:w="8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884,617</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514,433</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Cash, cash equivalents and restricted cash at beginning of period</w:t>
            </w:r>
          </w:p>
        </w:tc>
        <w:tc>
          <w:tcPr>
            <w:tcW w:w="8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3,377,597</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2,456,924</w:t>
            </w:r>
          </w:p>
        </w:tc>
      </w:tr>
      <w:tr>
        <w:trPr>
          <w:trHeight w:val="124"/>
        </w:trPr>
        <w:tc>
          <w:tcPr>
            <w:tcW w:w="8180" w:type="dxa"/>
            <w:vAlign w:val="bottom"/>
          </w:tcPr>
          <w:p>
            <w:pPr>
              <w:ind w:left="280"/>
              <w:spacing w:after="0"/>
              <w:rPr>
                <w:sz w:val="20"/>
                <w:szCs w:val="20"/>
                <w:color w:val="auto"/>
              </w:rPr>
            </w:pPr>
            <w:r>
              <w:rPr>
                <w:rFonts w:ascii="Times New Roman" w:cs="Times New Roman" w:eastAsia="Times New Roman" w:hAnsi="Times New Roman"/>
                <w:sz w:val="10"/>
                <w:szCs w:val="10"/>
                <w:color w:val="auto"/>
              </w:rPr>
              <w:t>Cash, cash equivalents and restricted cash at end of period</w:t>
            </w:r>
          </w:p>
        </w:tc>
        <w:tc>
          <w:tcPr>
            <w:tcW w:w="8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4,262,214</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2,971,357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04"/>
        </w:trPr>
        <w:tc>
          <w:tcPr>
            <w:tcW w:w="818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Cash, cash equivalents and restricted cash at the end of period:</w:t>
            </w:r>
          </w:p>
        </w:tc>
        <w:tc>
          <w:tcPr>
            <w:tcW w:w="8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Cash and cash equivalents</w:t>
            </w:r>
          </w:p>
        </w:tc>
        <w:tc>
          <w:tcPr>
            <w:tcW w:w="860" w:type="dxa"/>
            <w:vAlign w:val="bottom"/>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4,260,324</w:t>
            </w:r>
          </w:p>
        </w:tc>
        <w:tc>
          <w:tcPr>
            <w:tcW w:w="100" w:type="dxa"/>
            <w:vAlign w:val="bottom"/>
          </w:tcPr>
          <w:p>
            <w:pPr>
              <w:spacing w:after="0"/>
              <w:rPr>
                <w:sz w:val="11"/>
                <w:szCs w:val="11"/>
                <w:color w:val="auto"/>
              </w:rPr>
            </w:pPr>
          </w:p>
        </w:tc>
        <w:tc>
          <w:tcPr>
            <w:tcW w:w="640" w:type="dxa"/>
            <w:vAlign w:val="bottom"/>
          </w:tcPr>
          <w:p>
            <w:pPr>
              <w:jc w:val="right"/>
              <w:ind w:right="5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2,968,872</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Restricted cash included in prepaid expenses and other assets</w:t>
            </w:r>
          </w:p>
        </w:tc>
        <w:tc>
          <w:tcPr>
            <w:tcW w:w="8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1,890</w:t>
            </w:r>
          </w:p>
        </w:tc>
        <w:tc>
          <w:tcPr>
            <w:tcW w:w="1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2,485</w:t>
            </w:r>
          </w:p>
        </w:tc>
      </w:tr>
      <w:tr>
        <w:trPr>
          <w:trHeight w:val="124"/>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Total cash, cash equivalents and restricted cash shown in the condensed consolidated statements of cash flows</w:t>
            </w:r>
          </w:p>
        </w:tc>
        <w:tc>
          <w:tcPr>
            <w:tcW w:w="86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4,262,214</w:t>
            </w:r>
          </w:p>
        </w:tc>
        <w:tc>
          <w:tcPr>
            <w:tcW w:w="100" w:type="dxa"/>
            <w:vAlign w:val="bottom"/>
          </w:tcPr>
          <w:p>
            <w:pPr>
              <w:spacing w:after="0"/>
              <w:rPr>
                <w:sz w:val="10"/>
                <w:szCs w:val="10"/>
                <w:color w:val="auto"/>
              </w:rPr>
            </w:pPr>
          </w:p>
        </w:tc>
        <w:tc>
          <w:tcPr>
            <w:tcW w:w="6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2,971,357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04"/>
        </w:trPr>
        <w:tc>
          <w:tcPr>
            <w:tcW w:w="8180" w:type="dxa"/>
            <w:vAlign w:val="bottom"/>
            <w:shd w:val="clear" w:color="auto" w:fill="CCEEFF"/>
          </w:tcPr>
          <w:p>
            <w:pPr>
              <w:ind w:left="20"/>
              <w:spacing w:after="0" w:line="104" w:lineRule="exact"/>
              <w:rPr>
                <w:sz w:val="20"/>
                <w:szCs w:val="20"/>
                <w:color w:val="auto"/>
              </w:rPr>
            </w:pPr>
            <w:r>
              <w:rPr>
                <w:rFonts w:ascii="Times New Roman" w:cs="Times New Roman" w:eastAsia="Times New Roman" w:hAnsi="Times New Roman"/>
                <w:sz w:val="10"/>
                <w:szCs w:val="10"/>
                <w:b w:val="1"/>
                <w:bCs w:val="1"/>
                <w:color w:val="auto"/>
              </w:rPr>
              <w:t>Supplemental disclosure of cash flow information:</w:t>
            </w:r>
          </w:p>
        </w:tc>
        <w:tc>
          <w:tcPr>
            <w:tcW w:w="8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Interest paid</w:t>
            </w:r>
          </w:p>
        </w:tc>
        <w:tc>
          <w:tcPr>
            <w:tcW w:w="860" w:type="dxa"/>
            <w:vAlign w:val="bottom"/>
          </w:tcPr>
          <w:p>
            <w:pPr>
              <w:jc w:val="right"/>
              <w:ind w:right="751"/>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22,500</w:t>
            </w:r>
          </w:p>
        </w:tc>
        <w:tc>
          <w:tcPr>
            <w:tcW w:w="100" w:type="dxa"/>
            <w:vAlign w:val="bottom"/>
          </w:tcPr>
          <w:p>
            <w:pPr>
              <w:spacing w:after="0"/>
              <w:rPr>
                <w:sz w:val="11"/>
                <w:szCs w:val="11"/>
                <w:color w:val="auto"/>
              </w:rPr>
            </w:pPr>
          </w:p>
        </w:tc>
        <w:tc>
          <w:tcPr>
            <w:tcW w:w="640" w:type="dxa"/>
            <w:vAlign w:val="bottom"/>
          </w:tcPr>
          <w:p>
            <w:pPr>
              <w:jc w:val="right"/>
              <w:ind w:right="531"/>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22,500</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Income taxes paid, net of refunds received</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14,195</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17,911</w:t>
            </w:r>
          </w:p>
        </w:tc>
      </w:tr>
      <w:tr>
        <w:trPr>
          <w:trHeight w:val="134"/>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Supplemental disclosure of non-cash investing and financing activities:</w:t>
            </w: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Net increase (decrease) in property and equipment included in accounts payable and accrued expenses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22,811</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(5,866)</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Equity consideration for acquisitions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652</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Operating lease liabilities arising from obtaining operating right-of-use assets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7,009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21,883</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Proceeds from sales of strategic investments not yet received</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4,808</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 included in capitalized software development costs and fixed assets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31,934</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23,944</w:t>
            </w:r>
          </w:p>
        </w:tc>
      </w:tr>
      <w:tr>
        <w:trPr>
          <w:trHeight w:val="133"/>
        </w:trPr>
        <w:tc>
          <w:tcPr>
            <w:tcW w:w="81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Noncash consideration for the purchase of strategic investments</w:t>
            </w:r>
          </w:p>
        </w:tc>
        <w:tc>
          <w:tcPr>
            <w:tcW w:w="8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3,319</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r>
        <w:trPr>
          <w:trHeight w:val="1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Noncash consideration received from sales of strategic investments</w:t>
            </w:r>
          </w:p>
        </w:tc>
        <w:tc>
          <w:tcPr>
            <w:tcW w:w="8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3,319</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Unaudited Condensed Consolidated Financial Statements</w:t>
      </w:r>
    </w:p>
    <w:p>
      <w:pPr>
        <w:spacing w:after="0" w:line="162" w:lineRule="exact"/>
        <w:rPr>
          <w:sz w:val="20"/>
          <w:szCs w:val="20"/>
          <w:color w:val="auto"/>
        </w:rPr>
      </w:pPr>
    </w:p>
    <w:p>
      <w:pPr>
        <w:ind w:left="260" w:right="7580" w:hanging="255"/>
        <w:spacing w:after="0" w:line="507" w:lineRule="auto"/>
        <w:tabs>
          <w:tab w:leader="none" w:pos="147"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Description of Business and Significant Accounting Policies Business</w:t>
      </w:r>
    </w:p>
    <w:p>
      <w:pPr>
        <w:spacing w:after="0" w:line="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CrowdStrike Holdings, Inc. (and/or its subsidiaries, as applicable, the “Company”) was formed on November 7, 2011. The Company is a global cybersecurity leader that delivers cybersecurity’s AI-native platform for the XDR era, purpose-built to stop breaches. The Company’s unified platform provides cloud-delivered protection of endpoints, cloud workloads, identity, and data via a software as a service (“SaaS”) subscription-based model that spans multiple large security markets, including corporate endpoint security, security and IT operations, managed security services, next-gen SIEM, cloud security, identity protection, threat intelligence, data protection, exposure management and cybersecurity generative AI. The Company conducts its business in the United States, as well as locations internationally, including in Australia, Germany, India, Israel, Japan, Romania, and the United Kingdom.</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conformity with U.S. generally accepted accounting principles (“U.S. GAAP”) and applicable rules and regulations of the Securities and Exchange Commission (“SEC”) regarding interim financial reporting. As permitted under those rules, certain footnotes or other financial information that are normally required by U.S. GAAP have been condensed or omitted, and accordingly the balance sheet as of January 31, 2024, and related disclosures, have been derived from the audited consolidated financial statements at that date but do not include all of the information required by U.S. GAAP for complete consolidated financial statements. These unaudited condensed consolidated financial statements have been prepared on the same basis as the Company’s annual consolidated financial statements and, in the opinion of management, reflect all normal recurring adjustments that are necessary for the fair statement of the Company’s condensed consolidated financial information. The results of operations for the three and nine months ended October 31, 2024 are not necessarily indicative of the results to be expected for the year ending January 31, 2025 or for any other interim period or for any other future year.</w:t>
      </w:r>
    </w:p>
    <w:p>
      <w:pPr>
        <w:spacing w:after="0" w:line="147"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The accompanying interim unaudited condensed consolidated financial statements and related financial information should be read in conjunction with Item 8, “Financial Statements and Supplementary Data” included in the Company’s Annual Report on Form 10-K for the fiscal year ended January 31, 2024, filed with the SEC on March 6, 2024.</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Principles of Consolidation</w:t>
      </w:r>
    </w:p>
    <w:p>
      <w:pPr>
        <w:spacing w:after="0" w:line="181"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The condensed consolidated financial statements include the accounts of the Company and its wholly owned subsidiaries. All intercompany balances and transactions have been eliminated in consolidation.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On a regular basis, management evaluates these estimates and assumptions. Actual results may differ from these estimates and such differences could be material to the Company’s condensed consolidated financial statements.</w:t>
      </w:r>
    </w:p>
    <w:p>
      <w:pPr>
        <w:spacing w:after="0" w:line="140"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Geographic Information</w:t>
      </w:r>
    </w:p>
    <w:p>
      <w:pPr>
        <w:spacing w:after="0" w:line="181"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exceeds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channel partners or direct customers who represented 10% or more of the Company’s accounts receivable as of October 31, 2024 or January 31, 2024.</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channel partners or direct customers who represented 10% or more of the Company’s total revenue for each of the three and nine months ended October 31, 2024 or 2023.</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1"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Company’s significant accounting policies are described in the Company’s Annual Report on Form 10-K for the year ended January 31, 2024. There have been no significant changes to these policies that have had a material impact on the Company’s condensed consolidated financial statements and related notes for the three and nine months ended October 31, 2024.</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The standard requires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beginning after December 15, 2027. Early adoption is permitted. The Company is currently evaluating the impact of this new guidance on its disclosures within the consolidated financial statements.</w:t>
      </w:r>
    </w:p>
    <w:p>
      <w:pPr>
        <w:spacing w:after="0" w:line="140"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December 2023, the FASB issued ASU 2023-09, Improvements to Income Tax Disclosures, a final standard on improvements to income tax disclosures. The standard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The new standard is effective for annual periods beginning after December 15, 2024. The Company does not expect the adoption of this new guidance to have a material impact on its disclosures within the consolidated financial statements.</w:t>
      </w:r>
    </w:p>
    <w:p>
      <w:pPr>
        <w:spacing w:after="0" w:line="140"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The standard requires disclosure of significant segment expenses that are regularly provided to the Chief Operating Decision Maker (“CODM”) and included within each reported measure of segment profit or loss, an amount for other segment items required to reconcile the difference between segment revenue and segment expenses to segment profit or loss along with a description of their composition, and the title and position of the entity’s CODM. The update also expands interim segment disclosure requirements. The new standard is effective for annual periods beginning after December 15, 2023, and interim periods within fiscal years beginning after December 15, 2024, with early adoption permitted, and will be applied retrospectively to all prior periods presented in the condensed consolidated financial statements. The Company is currently evaluating the impact of this new guidance on its disclosures within the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 Investments and Fair Value Measurements</w:t>
      </w:r>
    </w:p>
    <w:p>
      <w:pPr>
        <w:spacing w:after="0" w:line="185"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4"/>
          <w:szCs w:val="14"/>
          <w:color w:val="auto"/>
        </w:rPr>
        <w:t>The Company follows ASC 820</w:t>
      </w:r>
      <w:r>
        <w:rPr>
          <w:rFonts w:ascii="Times New Roman" w:cs="Times New Roman" w:eastAsia="Times New Roman" w:hAnsi="Times New Roman"/>
          <w:sz w:val="14"/>
          <w:szCs w:val="14"/>
          <w:i w:val="1"/>
          <w:iCs w:val="1"/>
          <w:color w:val="auto"/>
        </w:rPr>
        <w:t>, Fair Value Measurements</w:t>
      </w:r>
      <w:r>
        <w:rPr>
          <w:rFonts w:ascii="Times New Roman" w:cs="Times New Roman" w:eastAsia="Times New Roman" w:hAnsi="Times New Roman"/>
          <w:sz w:val="14"/>
          <w:szCs w:val="14"/>
          <w:color w:val="auto"/>
        </w:rPr>
        <w:t>, with respect to cash equivalents</w:t>
      </w:r>
      <w:r>
        <w:rPr>
          <w:rFonts w:ascii="Times New Roman" w:cs="Times New Roman" w:eastAsia="Times New Roman" w:hAnsi="Times New Roman"/>
          <w:sz w:val="16"/>
          <w:szCs w:val="16"/>
          <w:color w:val="008080"/>
        </w:rPr>
        <w:t>,</w:t>
      </w:r>
      <w:r>
        <w:rPr>
          <w:rFonts w:ascii="Times New Roman" w:cs="Times New Roman" w:eastAsia="Times New Roman" w:hAnsi="Times New Roman"/>
          <w:sz w:val="14"/>
          <w:szCs w:val="14"/>
          <w:color w:val="auto"/>
        </w:rPr>
        <w:t xml:space="preserve"> short-term investments,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hierarchy is broken down into three levels as follows:</w:t>
      </w:r>
    </w:p>
    <w:p>
      <w:pPr>
        <w:spacing w:after="0" w:line="179" w:lineRule="exact"/>
        <w:rPr>
          <w:sz w:val="20"/>
          <w:szCs w:val="20"/>
          <w:color w:val="auto"/>
        </w:rPr>
      </w:pPr>
    </w:p>
    <w:p>
      <w:pPr>
        <w:ind w:left="520"/>
        <w:spacing w:after="0"/>
        <w:tabs>
          <w:tab w:leader="none" w:pos="1060" w:val="left"/>
        </w:tabs>
        <w:rPr>
          <w:sz w:val="20"/>
          <w:szCs w:val="20"/>
          <w:color w:val="auto"/>
        </w:rPr>
      </w:pPr>
      <w:r>
        <w:rPr>
          <w:rFonts w:ascii="Times New Roman" w:cs="Times New Roman" w:eastAsia="Times New Roman" w:hAnsi="Times New Roman"/>
          <w:sz w:val="14"/>
          <w:szCs w:val="14"/>
          <w:color w:val="auto"/>
        </w:rPr>
        <w:t>Level 1</w:t>
        <w:tab/>
        <w:t>Assets and liabilities whose values are based on unadjusted quoted market prices for identical assets and liabilities in active markets</w:t>
      </w:r>
    </w:p>
    <w:p>
      <w:pPr>
        <w:spacing w:after="0" w:line="23"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4"/>
          <w:szCs w:val="14"/>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Categorization within the valuation hierarchy is based upon the lowest level of input that is significant to the fair value measurement.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fair value hierarchy for its financial assets and liabilities that are measured at fair value on a recurring basis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1"/>
                <w:szCs w:val="11"/>
                <w:b w:val="1"/>
                <w:bCs w:val="1"/>
                <w:color w:val="auto"/>
              </w:rPr>
              <w:t>October 31, 2024</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54"/>
        </w:trPr>
        <w:tc>
          <w:tcPr>
            <w:tcW w:w="2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2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80" w:type="dxa"/>
            <w:vAlign w:val="bottom"/>
          </w:tcPr>
          <w:p>
            <w:pPr>
              <w:spacing w:after="0"/>
              <w:rPr>
                <w:sz w:val="13"/>
                <w:szCs w:val="13"/>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38"/>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8"/>
        </w:trPr>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2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1,460,037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2,360,173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2,360,173</w:t>
            </w: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2,488,351</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2,488,351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693,599</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693,599</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Short-term investments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27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U.S. Treasury securities</w:t>
            </w:r>
          </w:p>
        </w:tc>
        <w:tc>
          <w:tcPr>
            <w:tcW w:w="22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99,591</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99,591</w:t>
            </w:r>
          </w:p>
        </w:tc>
      </w:tr>
      <w:tr>
        <w:trPr>
          <w:trHeight w:val="172"/>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8"/>
        </w:trPr>
        <w:tc>
          <w:tcPr>
            <w:tcW w:w="27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compensation investments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2,271</w:t>
            </w:r>
          </w:p>
        </w:tc>
      </w:tr>
      <w:tr>
        <w:trPr>
          <w:trHeight w:val="188"/>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assets</w:t>
            </w: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1,464,496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2,488,351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99"/>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3,952,847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2,362,444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793,190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ind w:right="539"/>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3,155,634</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transfers between the levels of the fair value hierarchy during the periods presented.</w:t>
      </w:r>
    </w:p>
    <w:p>
      <w:pPr>
        <w:spacing w:after="0" w:line="179"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As of October 31, 2024 and January 31, 2024, the Company’s U.S. Treasury securities were carried at fair value and there were no material realized or unrealized gains or losses, either individually or in aggregate.</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investments of privately held securities as of October 31, 2024,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Privately held equity</w:t>
            </w:r>
          </w:p>
        </w:tc>
        <w:tc>
          <w:tcPr>
            <w:tcW w:w="100" w:type="dxa"/>
            <w:vAlign w:val="bottom"/>
          </w:tcPr>
          <w:p>
            <w:pPr>
              <w:spacing w:after="0"/>
              <w:rPr>
                <w:sz w:val="13"/>
                <w:szCs w:val="13"/>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Privately held debt and</w:t>
            </w:r>
          </w:p>
        </w:tc>
        <w:tc>
          <w:tcPr>
            <w:tcW w:w="380" w:type="dxa"/>
            <w:vAlign w:val="bottom"/>
          </w:tcPr>
          <w:p>
            <w:pPr>
              <w:spacing w:after="0"/>
              <w:rPr>
                <w:sz w:val="13"/>
                <w:szCs w:val="13"/>
                <w:color w:val="auto"/>
              </w:rPr>
            </w:pPr>
          </w:p>
        </w:tc>
        <w:tc>
          <w:tcPr>
            <w:tcW w:w="1240" w:type="dxa"/>
            <w:vAlign w:val="bottom"/>
            <w:vMerge w:val="restart"/>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securities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total cost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62,842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63,842</w:t>
            </w:r>
          </w:p>
        </w:tc>
        <w:tc>
          <w:tcPr>
            <w:tcW w:w="0" w:type="dxa"/>
            <w:vAlign w:val="bottom"/>
          </w:tcPr>
          <w:p>
            <w:pPr>
              <w:spacing w:after="0"/>
              <w:rPr>
                <w:sz w:val="1"/>
                <w:szCs w:val="1"/>
                <w:color w:val="auto"/>
              </w:rPr>
            </w:pPr>
          </w:p>
        </w:tc>
      </w:tr>
      <w:tr>
        <w:trPr>
          <w:trHeight w:val="180"/>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net gains</w:t>
            </w: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4,404</w:t>
            </w:r>
          </w:p>
        </w:tc>
        <w:tc>
          <w:tcPr>
            <w:tcW w:w="0" w:type="dxa"/>
            <w:vAlign w:val="bottom"/>
          </w:tcPr>
          <w:p>
            <w:pPr>
              <w:spacing w:after="0"/>
              <w:rPr>
                <w:sz w:val="1"/>
                <w:szCs w:val="1"/>
                <w:color w:val="auto"/>
              </w:rPr>
            </w:pPr>
          </w:p>
        </w:tc>
      </w:tr>
      <w:tr>
        <w:trPr>
          <w:trHeight w:val="196"/>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68,246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Company’s investments of privately held securities as of January 31, 2024,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Privately held equity</w:t>
            </w:r>
          </w:p>
        </w:tc>
        <w:tc>
          <w:tcPr>
            <w:tcW w:w="100" w:type="dxa"/>
            <w:vAlign w:val="bottom"/>
          </w:tcPr>
          <w:p>
            <w:pPr>
              <w:spacing w:after="0"/>
              <w:rPr>
                <w:sz w:val="13"/>
                <w:szCs w:val="13"/>
                <w:color w:val="auto"/>
              </w:rPr>
            </w:pPr>
          </w:p>
        </w:tc>
        <w:tc>
          <w:tcPr>
            <w:tcW w:w="16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Privately held debt and</w:t>
            </w:r>
          </w:p>
        </w:tc>
        <w:tc>
          <w:tcPr>
            <w:tcW w:w="380" w:type="dxa"/>
            <w:vAlign w:val="bottom"/>
          </w:tcPr>
          <w:p>
            <w:pPr>
              <w:spacing w:after="0"/>
              <w:rPr>
                <w:sz w:val="13"/>
                <w:szCs w:val="13"/>
                <w:color w:val="auto"/>
              </w:rPr>
            </w:pPr>
          </w:p>
        </w:tc>
        <w:tc>
          <w:tcPr>
            <w:tcW w:w="1240" w:type="dxa"/>
            <w:vAlign w:val="bottom"/>
            <w:vMerge w:val="restart"/>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6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6"/>
                <w:szCs w:val="16"/>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 securities</w:t>
            </w:r>
          </w:p>
        </w:tc>
        <w:tc>
          <w:tcPr>
            <w:tcW w:w="3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total cost</w:t>
            </w:r>
          </w:p>
        </w:tc>
        <w:tc>
          <w:tcPr>
            <w:tcW w:w="25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50,373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51,373</w:t>
            </w:r>
          </w:p>
        </w:tc>
        <w:tc>
          <w:tcPr>
            <w:tcW w:w="0" w:type="dxa"/>
            <w:vAlign w:val="bottom"/>
          </w:tcPr>
          <w:p>
            <w:pPr>
              <w:spacing w:after="0"/>
              <w:rPr>
                <w:sz w:val="1"/>
                <w:szCs w:val="1"/>
                <w:color w:val="auto"/>
              </w:rPr>
            </w:pPr>
          </w:p>
        </w:tc>
      </w:tr>
      <w:tr>
        <w:trPr>
          <w:trHeight w:val="180"/>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Cumulative net gains</w:t>
            </w:r>
          </w:p>
        </w:tc>
        <w:tc>
          <w:tcPr>
            <w:tcW w:w="2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196"/>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amount, end of period</w:t>
            </w:r>
          </w:p>
        </w:tc>
        <w:tc>
          <w:tcPr>
            <w:tcW w:w="25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56,244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449"/>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36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80" w:type="dxa"/>
            <w:vAlign w:val="bottom"/>
            <w:tcBorders>
              <w:bottom w:val="single" w:sz="8" w:color="9A9A9A"/>
            </w:tcBorders>
          </w:tcPr>
          <w:p>
            <w:pPr>
              <w:spacing w:after="0"/>
              <w:rPr>
                <w:sz w:val="7"/>
                <w:szCs w:val="7"/>
                <w:color w:val="auto"/>
              </w:rPr>
            </w:pPr>
          </w:p>
        </w:tc>
        <w:tc>
          <w:tcPr>
            <w:tcW w:w="2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20" w:firstLine="255"/>
        <w:spacing w:after="0" w:line="287" w:lineRule="auto"/>
        <w:rPr>
          <w:sz w:val="20"/>
          <w:szCs w:val="20"/>
          <w:color w:val="auto"/>
        </w:rPr>
      </w:pPr>
      <w:r>
        <w:rPr>
          <w:rFonts w:ascii="Times New Roman" w:cs="Times New Roman" w:eastAsia="Times New Roman" w:hAnsi="Times New Roman"/>
          <w:sz w:val="14"/>
          <w:szCs w:val="14"/>
          <w:color w:val="auto"/>
        </w:rPr>
        <w:t>As of October 31, 2024, the cumulative net gains of $4.4 million are comprised of upward adjustments of $8.8 million, less downward adjustments and impairment of $4.4 million. As of January 31, 2024, the cumulative net gains of $4.9 million are comprised of upward adjustments of $9.3 million, less downward adjustments and impairment of $4.4 million.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Gains on Strategic Investments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components of gains on strategic investments were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232"/>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r>
      <w:tr>
        <w:trPr>
          <w:trHeight w:val="161"/>
        </w:trPr>
        <w:tc>
          <w:tcPr>
            <w:tcW w:w="48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Realized gains recognized on sales of privately held equity securities</w:t>
            </w:r>
          </w:p>
        </w:tc>
        <w:tc>
          <w:tcPr>
            <w:tcW w:w="116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0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Gains on strategic investments</w:t>
            </w:r>
          </w:p>
        </w:tc>
        <w:tc>
          <w:tcPr>
            <w:tcW w:w="1160" w:type="dxa"/>
            <w:vAlign w:val="bottom"/>
            <w:tcBorders>
              <w:bottom w:val="single" w:sz="8" w:color="auto"/>
            </w:tcBorders>
          </w:tcPr>
          <w:p>
            <w:pPr>
              <w:jc w:val="right"/>
              <w:ind w:right="1013"/>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1012"/>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6,227</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Realized gains recognized on sales of privately held equity securities reflect the difference between the sale proceeds and the carrying value of the security at the beginning of the period or the purchase date, if later.</w:t>
      </w:r>
    </w:p>
    <w:p>
      <w:pPr>
        <w:spacing w:after="0" w:line="122" w:lineRule="exact"/>
        <w:rPr>
          <w:sz w:val="20"/>
          <w:szCs w:val="20"/>
          <w:color w:val="auto"/>
        </w:rPr>
      </w:pPr>
    </w:p>
    <w:p>
      <w:pPr>
        <w:ind w:left="260" w:right="9300" w:hanging="255"/>
        <w:spacing w:after="0" w:line="507" w:lineRule="auto"/>
        <w:tabs>
          <w:tab w:leader="none" w:pos="147" w:val="left"/>
        </w:tabs>
        <w:numPr>
          <w:ilvl w:val="0"/>
          <w:numId w:val="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Balance Sheet Components Property and Equipment, Net</w:t>
      </w:r>
    </w:p>
    <w:p>
      <w:pPr>
        <w:ind w:left="2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October 31, 2024</w:t>
            </w:r>
          </w:p>
        </w:tc>
        <w:tc>
          <w:tcPr>
            <w:tcW w:w="20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January 31, 2024</w:t>
            </w:r>
          </w:p>
        </w:tc>
      </w:tr>
      <w:tr>
        <w:trPr>
          <w:trHeight w:val="180"/>
        </w:trPr>
        <w:tc>
          <w:tcPr>
            <w:tcW w:w="8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Data center and other computer equipment</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694,817</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525,890</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internal-use software and website development costs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248,397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183,117</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39,168</w:t>
            </w:r>
          </w:p>
        </w:tc>
      </w:tr>
      <w:tr>
        <w:trPr>
          <w:trHeight w:val="180"/>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software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10,907</w:t>
            </w:r>
          </w:p>
        </w:tc>
      </w:tr>
      <w:tr>
        <w:trPr>
          <w:trHeight w:val="18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Furniture and equipment</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8,524</w:t>
            </w:r>
          </w:p>
        </w:tc>
      </w:tr>
      <w:tr>
        <w:trPr>
          <w:trHeight w:val="18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210,581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190,832</w:t>
            </w:r>
          </w:p>
        </w:tc>
      </w:tr>
      <w:tr>
        <w:trPr>
          <w:trHeight w:val="171"/>
        </w:trPr>
        <w:tc>
          <w:tcPr>
            <w:tcW w:w="8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1,221,522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958,438</w:t>
            </w:r>
          </w:p>
        </w:tc>
      </w:tr>
      <w:tr>
        <w:trPr>
          <w:trHeight w:val="180"/>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(474,955)</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(338,266)</w:t>
            </w:r>
          </w:p>
        </w:tc>
      </w:tr>
      <w:tr>
        <w:trPr>
          <w:trHeight w:val="196"/>
        </w:trPr>
        <w:tc>
          <w:tcPr>
            <w:tcW w:w="8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746,567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620,172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Construction in progress primarily includes data center equipment purchased that has not yet been placed in service. Data center equipment that was purchased but not yet been placed into service was $177.0 million as of October 31, 2024.</w:t>
      </w:r>
    </w:p>
    <w:p>
      <w:pPr>
        <w:spacing w:after="0" w:line="124"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of property and equipment was $49.0 million and $33.8 million during the three months ended October 31, 2024 and October 31, 2023, respectively, and $137.9 million and $90.0 million during the nine months ended October 31, 2024 and October 31, 2023, respectively.</w:t>
      </w:r>
    </w:p>
    <w:p>
      <w:pPr>
        <w:spacing w:after="0" w:line="124"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There was no impairment of property and equipment during the three and nine months ended October 31, 2024 and October 31, 2023. The Company capitalized $27.9 million and $19.8 million in internal-use software and website development costs during the three months ended October 31, 2024 and October 31, 2023, respectively, and $70.4 million and $60.0 million during the nine months ended October 31, 2024 and October 31, 2023, respectively. Amortization expense associated with internal-use software and website development costs totaled $14.8 million and $9.5 million during the three months ended October 31, 2024 and October 31, 2023, respectively, and $41.4 million and $25.4 million during the nine months ended October 31, 2024 and October 31, 2023, respectively. The net book value of capitalized internal-use software and website development costs was $135.8 million and $106.9 million as of October 31, 2024 and January 31, 2024, respectively.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intangible assets, net consisted of the following (dollars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October 31, 2024</w:t>
            </w: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vMerge w:val="restart"/>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Useful</w:t>
            </w:r>
          </w:p>
        </w:tc>
        <w:tc>
          <w:tcPr>
            <w:tcW w:w="0" w:type="dxa"/>
            <w:vAlign w:val="bottom"/>
          </w:tcPr>
          <w:p>
            <w:pPr>
              <w:spacing w:after="0"/>
              <w:rPr>
                <w:sz w:val="1"/>
                <w:szCs w:val="1"/>
                <w:color w:val="auto"/>
              </w:rPr>
            </w:pPr>
          </w:p>
        </w:tc>
      </w:tr>
      <w:tr>
        <w:trPr>
          <w:trHeight w:val="67"/>
        </w:trPr>
        <w:tc>
          <w:tcPr>
            <w:tcW w:w="4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Pr>
          <w:p>
            <w:pPr>
              <w:spacing w:after="0"/>
              <w:rPr>
                <w:sz w:val="5"/>
                <w:szCs w:val="5"/>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60" w:type="dxa"/>
            <w:vAlign w:val="bottom"/>
          </w:tcPr>
          <w:p>
            <w:pPr>
              <w:spacing w:after="0"/>
              <w:rPr>
                <w:sz w:val="5"/>
                <w:szCs w:val="5"/>
                <w:color w:val="auto"/>
              </w:rPr>
            </w:pPr>
          </w:p>
        </w:tc>
        <w:tc>
          <w:tcPr>
            <w:tcW w:w="1240" w:type="dxa"/>
            <w:vAlign w:val="bottom"/>
            <w:vMerge w:val="restart"/>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Life</w:t>
            </w: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 months)</w:t>
            </w:r>
          </w:p>
        </w:tc>
        <w:tc>
          <w:tcPr>
            <w:tcW w:w="0" w:type="dxa"/>
            <w:vAlign w:val="bottom"/>
          </w:tcPr>
          <w:p>
            <w:pPr>
              <w:spacing w:after="0"/>
              <w:rPr>
                <w:sz w:val="1"/>
                <w:szCs w:val="1"/>
                <w:color w:val="auto"/>
              </w:rPr>
            </w:pPr>
          </w:p>
        </w:tc>
      </w:tr>
      <w:tr>
        <w:trPr>
          <w:trHeight w:val="18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87,183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and other acquired intangible assets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15,843</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12,777</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71"/>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177,721</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68,367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109,354</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line="20" w:lineRule="exact"/>
              <w:rPr>
                <w:sz w:val="1"/>
                <w:szCs w:val="1"/>
                <w:color w:val="auto"/>
              </w:rPr>
            </w:pPr>
          </w:p>
        </w:tc>
      </w:tr>
      <w:tr>
        <w:trPr>
          <w:trHeight w:val="354"/>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30"/>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vMerge w:val="restart"/>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Useful</w:t>
            </w:r>
          </w:p>
        </w:tc>
        <w:tc>
          <w:tcPr>
            <w:tcW w:w="0" w:type="dxa"/>
            <w:vAlign w:val="bottom"/>
          </w:tcPr>
          <w:p>
            <w:pPr>
              <w:spacing w:after="0"/>
              <w:rPr>
                <w:sz w:val="1"/>
                <w:szCs w:val="1"/>
                <w:color w:val="auto"/>
              </w:rPr>
            </w:pPr>
          </w:p>
        </w:tc>
      </w:tr>
      <w:tr>
        <w:trPr>
          <w:trHeight w:val="67"/>
        </w:trPr>
        <w:tc>
          <w:tcPr>
            <w:tcW w:w="4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80" w:type="dxa"/>
            <w:vAlign w:val="bottom"/>
          </w:tcPr>
          <w:p>
            <w:pPr>
              <w:spacing w:after="0"/>
              <w:rPr>
                <w:sz w:val="5"/>
                <w:szCs w:val="5"/>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260" w:type="dxa"/>
            <w:vAlign w:val="bottom"/>
          </w:tcPr>
          <w:p>
            <w:pPr>
              <w:spacing w:after="0"/>
              <w:rPr>
                <w:sz w:val="5"/>
                <w:szCs w:val="5"/>
                <w:color w:val="auto"/>
              </w:rPr>
            </w:pPr>
          </w:p>
        </w:tc>
        <w:tc>
          <w:tcPr>
            <w:tcW w:w="1240" w:type="dxa"/>
            <w:vAlign w:val="bottom"/>
            <w:vMerge w:val="restart"/>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100" w:type="dxa"/>
            <w:vAlign w:val="bottom"/>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4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Life</w:t>
            </w:r>
          </w:p>
        </w:tc>
        <w:tc>
          <w:tcPr>
            <w:tcW w:w="0" w:type="dxa"/>
            <w:vAlign w:val="bottom"/>
          </w:tcPr>
          <w:p>
            <w:pPr>
              <w:spacing w:after="0"/>
              <w:rPr>
                <w:sz w:val="1"/>
                <w:szCs w:val="1"/>
                <w:color w:val="auto"/>
              </w:rPr>
            </w:pPr>
          </w:p>
        </w:tc>
      </w:tr>
      <w:tr>
        <w:trPr>
          <w:trHeight w:val="154"/>
        </w:trPr>
        <w:tc>
          <w:tcPr>
            <w:tcW w:w="49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 months)</w:t>
            </w:r>
          </w:p>
        </w:tc>
        <w:tc>
          <w:tcPr>
            <w:tcW w:w="0" w:type="dxa"/>
            <w:vAlign w:val="bottom"/>
          </w:tcPr>
          <w:p>
            <w:pPr>
              <w:spacing w:after="0"/>
              <w:rPr>
                <w:sz w:val="1"/>
                <w:szCs w:val="1"/>
                <w:color w:val="auto"/>
              </w:rPr>
            </w:pPr>
          </w:p>
        </w:tc>
      </w:tr>
      <w:tr>
        <w:trPr>
          <w:trHeight w:val="18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89,492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Intellectual property and other acquired intangible assets</w:t>
            </w:r>
          </w:p>
        </w:tc>
        <w:tc>
          <w:tcPr>
            <w:tcW w:w="1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15,842</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1"/>
        </w:trPr>
        <w:tc>
          <w:tcPr>
            <w:tcW w:w="49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164,215</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49,697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114,518</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Amortization expense of intangible assets was $6.3 million and $4.6 million during the three months ended October 31, 2024 and October 31, 2023, and $18.7 million and $12.9 million during the nine months ended October 31, 2024 and October 31, 2023,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estimated aggregate future amortization expense of intangible assets as of October 31, 2024 was as follows (in thousands):</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2"/>
        </w:trPr>
        <w:tc>
          <w:tcPr>
            <w:tcW w:w="97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1"/>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(remaining three months)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6,332</w:t>
            </w:r>
          </w:p>
        </w:tc>
      </w:tr>
      <w:tr>
        <w:trPr>
          <w:trHeight w:val="18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24,240</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22,065</w:t>
            </w:r>
          </w:p>
        </w:tc>
      </w:tr>
      <w:tr>
        <w:trPr>
          <w:trHeight w:val="18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3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21,552</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18,799</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16,366</w:t>
            </w:r>
          </w:p>
        </w:tc>
      </w:tr>
      <w:tr>
        <w:trPr>
          <w:trHeight w:val="196"/>
        </w:trPr>
        <w:tc>
          <w:tcPr>
            <w:tcW w:w="9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amortization expense</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109,354</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Developed technology, customer relationships, intellectual property and other acquired intangible assets are amortized over their estimated useful lives, generally on a straight-line basis, for periods ranging from 2 to 20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40"/>
        </w:trPr>
        <w:tc>
          <w:tcPr>
            <w:tcW w:w="97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change in goodwill during the nine months ended October 31, 2024 consisted of the following (in thousands):</w:t>
            </w: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2"/>
        </w:trPr>
        <w:tc>
          <w:tcPr>
            <w:tcW w:w="9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71"/>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 as of January 31, 2024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638,041</w:t>
            </w:r>
          </w:p>
        </w:tc>
      </w:tr>
      <w:tr>
        <w:trPr>
          <w:trHeight w:val="180"/>
        </w:trPr>
        <w:tc>
          <w:tcPr>
            <w:tcW w:w="9780" w:type="dxa"/>
            <w:vAlign w:val="bottom"/>
          </w:tcPr>
          <w:p>
            <w:pPr>
              <w:ind w:left="100"/>
              <w:spacing w:after="0" w:line="181" w:lineRule="exact"/>
              <w:rPr>
                <w:sz w:val="20"/>
                <w:szCs w:val="20"/>
                <w:color w:val="auto"/>
              </w:rPr>
            </w:pPr>
            <w:r>
              <w:rPr>
                <w:rFonts w:ascii="Times New Roman" w:cs="Times New Roman" w:eastAsia="Times New Roman" w:hAnsi="Times New Roman"/>
                <w:sz w:val="14"/>
                <w:szCs w:val="14"/>
                <w:color w:val="auto"/>
              </w:rPr>
              <w:t xml:space="preserve">Goodwill acquired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83,957</w:t>
            </w:r>
          </w:p>
        </w:tc>
      </w:tr>
      <w:tr>
        <w:trPr>
          <w:trHeight w:val="180"/>
        </w:trPr>
        <w:tc>
          <w:tcPr>
            <w:tcW w:w="9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71"/>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 as of October 31,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722,016</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Goodwill acquired resulted from the acquisition of Flow Security. Refer to Note 9 for additional information.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October 31, 2024</w:t>
            </w:r>
          </w:p>
        </w:tc>
        <w:tc>
          <w:tcPr>
            <w:tcW w:w="200" w:type="dxa"/>
            <w:vAlign w:val="bottom"/>
          </w:tcPr>
          <w:p>
            <w:pPr>
              <w:spacing w:after="0"/>
              <w:rPr>
                <w:sz w:val="13"/>
                <w:szCs w:val="13"/>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8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Web hosting services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50,545</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40,706</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11,867</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marketing</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14,623</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purchases of property and equipment</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16,190</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partner rebates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partner commissions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13,584</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accrued expenses</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interest expense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10,375</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health benefits and claims</w:t>
            </w: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w:t>
            </w:r>
          </w:p>
        </w:tc>
        <w:tc>
          <w:tcPr>
            <w:tcW w:w="0" w:type="dxa"/>
            <w:vAlign w:val="bottom"/>
          </w:tcPr>
          <w:p>
            <w:pPr>
              <w:spacing w:after="0"/>
              <w:rPr>
                <w:sz w:val="1"/>
                <w:szCs w:val="1"/>
                <w:color w:val="auto"/>
              </w:rPr>
            </w:pPr>
          </w:p>
        </w:tc>
      </w:tr>
      <w:tr>
        <w:trPr>
          <w:trHeight w:val="171"/>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176,598</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125,896</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Accrued Payroll and Benefits</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payroll and benefits consisted of the following (in thousands):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October 31, 2024</w:t>
            </w:r>
          </w:p>
        </w:tc>
        <w:tc>
          <w:tcPr>
            <w:tcW w:w="200" w:type="dxa"/>
            <w:vAlign w:val="bottom"/>
          </w:tcPr>
          <w:p>
            <w:pPr>
              <w:spacing w:after="0"/>
              <w:rPr>
                <w:sz w:val="14"/>
                <w:szCs w:val="14"/>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January 31, 2024</w:t>
            </w:r>
          </w:p>
        </w:tc>
        <w:tc>
          <w:tcPr>
            <w:tcW w:w="0" w:type="dxa"/>
            <w:vAlign w:val="bottom"/>
          </w:tcPr>
          <w:p>
            <w:pPr>
              <w:spacing w:after="0"/>
              <w:rPr>
                <w:sz w:val="1"/>
                <w:szCs w:val="1"/>
                <w:color w:val="auto"/>
              </w:rPr>
            </w:pPr>
          </w:p>
        </w:tc>
      </w:tr>
      <w:tr>
        <w:trPr>
          <w:trHeight w:val="180"/>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commissions</w:t>
            </w: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191,241</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116,870</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payroll and related expenses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58,579</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37,748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22,315</w:t>
            </w:r>
          </w:p>
        </w:tc>
        <w:tc>
          <w:tcPr>
            <w:tcW w:w="0" w:type="dxa"/>
            <w:vAlign w:val="bottom"/>
          </w:tcPr>
          <w:p>
            <w:pPr>
              <w:spacing w:after="0"/>
              <w:rPr>
                <w:sz w:val="1"/>
                <w:szCs w:val="1"/>
                <w:color w:val="auto"/>
              </w:rPr>
            </w:pPr>
          </w:p>
        </w:tc>
      </w:tr>
      <w:tr>
        <w:trPr>
          <w:trHeight w:val="18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bonuses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36,425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36,860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payroll and benefits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324,889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234,624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4. Debt</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Secured Revolving Credit Facility</w:t>
      </w:r>
    </w:p>
    <w:p>
      <w:pPr>
        <w:spacing w:after="0" w:line="181" w:lineRule="exact"/>
        <w:rPr>
          <w:sz w:val="20"/>
          <w:szCs w:val="20"/>
          <w:color w:val="auto"/>
        </w:rPr>
      </w:pPr>
    </w:p>
    <w:p>
      <w:pPr>
        <w:ind w:right="140" w:firstLine="255"/>
        <w:spacing w:after="0" w:line="287" w:lineRule="auto"/>
        <w:rPr>
          <w:sz w:val="20"/>
          <w:szCs w:val="20"/>
          <w:color w:val="auto"/>
        </w:rPr>
      </w:pPr>
      <w:r>
        <w:rPr>
          <w:rFonts w:ascii="Times New Roman" w:cs="Times New Roman" w:eastAsia="Times New Roman" w:hAnsi="Times New Roman"/>
          <w:sz w:val="14"/>
          <w:szCs w:val="14"/>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24"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 amounts, depending on the senior</w:t>
      </w:r>
    </w:p>
    <w:p>
      <w:pPr>
        <w:spacing w:after="0" w:line="5" w:lineRule="exact"/>
        <w:rPr>
          <w:sz w:val="20"/>
          <w:szCs w:val="20"/>
          <w:color w:val="auto"/>
        </w:rPr>
      </w:pPr>
    </w:p>
    <w:p>
      <w:pPr>
        <w:ind w:right="480"/>
        <w:spacing w:after="0" w:line="303" w:lineRule="auto"/>
        <w:rPr>
          <w:sz w:val="20"/>
          <w:szCs w:val="20"/>
          <w:color w:val="auto"/>
        </w:rPr>
      </w:pPr>
      <w:r>
        <w:rPr>
          <w:rFonts w:ascii="Times New Roman" w:cs="Times New Roman" w:eastAsia="Times New Roman" w:hAnsi="Times New Roman"/>
          <w:sz w:val="14"/>
          <w:szCs w:val="14"/>
          <w:color w:val="auto"/>
        </w:rPr>
        <w:t>secured leverage ratio. The financial covenants require the Company to maintain a minimum consolidated interest coverage ratio of 3.00:1.00 and a maximum total leverage ratio of 5.50:1.00 stepping down to 3.50:1.00 over time. The Company was in compliance with all of its financial covenants as of October 31, 2024.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amounts were outstanding under the Amended A&amp;R Credit Agreement as of October 31, 2024 or January 31, 2024.</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Senior Notes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On January 20, 2021, the Company issued $750.0 million in aggregate principal amount of 3.00% Senior Notes maturing in February 2029 (the “Senior Notes”). The Senior Notes are guaranteed by the Company’s 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49"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$6.0 million during the three months ended October 31, 2024 and 2023 and $18.0 million during the nine months ended October 31, 2024 and 2023.</w:t>
      </w:r>
    </w:p>
    <w:p>
      <w:pPr>
        <w:spacing w:after="0" w:line="136"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24"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October 31, 2024, the Company was in compliance with all of its financial covenants under the Indenture associated with the Senior Notes.</w:t>
      </w:r>
    </w:p>
    <w:p>
      <w:pPr>
        <w:spacing w:after="0" w:line="179"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Based on the trading prices of the Senior Notes, the fair value of the Senior Notes was approximately $683.6 million and $671.2 million as of October 31, 2024 and January 31, 2024,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5. Income Taxes</w:t>
      </w:r>
    </w:p>
    <w:p>
      <w:pPr>
        <w:spacing w:after="0" w:line="18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The Company’s provision for income taxes during interim reporting periods has generally been calculated using an estimated annual effective tax rate, adjusted for discrete items. When a reliable estimate cannot be made, the actual tax or benefit applicable may be reported as a discrete item in the interim period. For the three and nine months ended October 31, 2024, the Company was unable to reliably estimate the annual effective tax rate for its U.S. jurisdiction, due to the sensitivity of the tax rate as a result of minor changes in forecasted income. As a result, the Company has computed its U.S. tax provision on a discrete basis. The Company recognized income tax expense of $6.3 million and $9.6 million for the three months ended October 31, 2024 and October 31, 2023, respectively, and $24.9 million and $18.6 million for the nine months ended October 31, 2024 and October 31, 2023, respectively. The tax expense for the three and nine months ended October 31, 2024 and October 31, 2023 was primarily attributable to the income tax expense from pre-tax earnings and withholding taxes related to customer payments in certain foreign jurisdictions in which the Company conducts business, offset by the tax benefit for the settlement of certain unrecognized tax benefits. The Company’s effective tax rates of (59.6)% and 26.5% for the three months ended October 31, 2024 and October 31, 2023, respectively, and 24.6% and 34.3% for the nine months ended October 31, 2024 and October 31, 2023, respectively, differ from the U.S. statutory tax rate primarily due to income taxes in foreign jurisdictions, withholding taxes related to customer payments in certain foreign jurisdictions in which the Company conducts business, and valuation allowance in the U.S. and certain foreign jurisdictions.</w:t>
      </w:r>
    </w:p>
    <w:p>
      <w:pPr>
        <w:spacing w:after="0" w:line="150"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Total gross unrecognized tax benefits were $74.4 million and $58.9 million as of October 31, 2024 and January 31, 2024, respectively, which is primarily attributable to research and development credits. As of October 31, 2024 and January 31, 2024, approximately $12.3 million and $12.7 million, respectively of unrecognized tax benefits, which, if recognized, would affect the Company’s effective tax rate due to the full valuation allowance. The Company’s policy is to classify interest and penalties related to unrecognized tax benefits as part of the income tax provision in the condensed consolidated statements of operations. The Company had incurred $2.3 million and $1.4 million of interest and penalties related to unrecognized tax benefits as of October 31, 2024 and January 31, 2024. The potential change in unrecognized tax benefits during the next 12 months is not expected to be material.</w:t>
      </w:r>
    </w:p>
    <w:p>
      <w:pPr>
        <w:spacing w:after="0" w:line="14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In accordance with the guidance on the accounting for uncertainty in income taxes, for all U.S. and other tax jurisdictions, the Company recognizes potential liabilities for anticipated tax audit issues based on the Company’s estimate of whether, and the extent to which, additional taxes and interest will be due. The Company files income tax returns in the U.S. federal, and various state jurisdictions, as well as various foreign jurisdictions. Tax years 2011 and onwards remain subject to examination by taxing authorities. If the Company’s estimate of income tax liabilities proves to be less than the ultimate assessment, a further charge to expense would be required. If events occur and the payment of these amounts ultimately proves to be unnecessary, the reversal of the liabilities would result in tax benefits being recognized in the period when the Company determines the liabilities are no longer necessary. The Company includes interest and penalties related to unrecognized tax benefits within the provision for income taxes in the condensed consolidated statements of operations. Accrued interest and penalties are included within other liabilities, noncurrent on the condensed consolidated balance sheets.</w:t>
      </w:r>
    </w:p>
    <w:p>
      <w:pPr>
        <w:spacing w:after="0" w:line="147"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 Company maintains a full valuation allowance on U.S. federal and state and certain foreign deferred tax assets, including net operating loss carryforwards and tax credits, which the Company has determined are not realizable on a more-likely-than-not basis. The Company regularly evaluates the need for a valuation allowance.</w:t>
      </w:r>
    </w:p>
    <w:p>
      <w:pPr>
        <w:spacing w:after="0" w:line="122" w:lineRule="exact"/>
        <w:rPr>
          <w:sz w:val="20"/>
          <w:szCs w:val="20"/>
          <w:color w:val="auto"/>
        </w:rPr>
      </w:pPr>
    </w:p>
    <w:p>
      <w:pPr>
        <w:ind w:left="260" w:right="9540" w:hanging="255"/>
        <w:spacing w:after="0" w:line="507" w:lineRule="auto"/>
        <w:tabs>
          <w:tab w:leader="none" w:pos="147"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Stock-Based Compensation Stock Incentive Plan</w:t>
      </w:r>
    </w:p>
    <w:p>
      <w:pPr>
        <w:spacing w:after="0" w:line="1" w:lineRule="exact"/>
        <w:rPr>
          <w:sz w:val="20"/>
          <w:szCs w:val="20"/>
          <w:color w:val="auto"/>
        </w:rPr>
      </w:pPr>
    </w:p>
    <w:p>
      <w:pPr>
        <w:ind w:right="160" w:firstLine="255"/>
        <w:spacing w:after="0" w:line="259" w:lineRule="auto"/>
        <w:rPr>
          <w:sz w:val="20"/>
          <w:szCs w:val="20"/>
          <w:color w:val="auto"/>
        </w:rPr>
      </w:pPr>
      <w:r>
        <w:rPr>
          <w:rFonts w:ascii="Times New Roman" w:cs="Times New Roman" w:eastAsia="Times New Roman" w:hAnsi="Times New Roman"/>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(“RSUs”), and performance-based restricted stock units (“PSUs”).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records compensation expense for employee stock options based on the estimated fair value of the options on the date of grant using the Black-Scholes option-pricing model.</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Stock options granted during the nine months ended October 31, 2024 and October 31, 2023 were immaterial.</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stock option activity for the nine months ended October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1100" w:type="dxa"/>
            <w:vAlign w:val="bottom"/>
            <w:vMerge w:val="restart"/>
          </w:tcPr>
          <w:p>
            <w:pPr>
              <w:jc w:val="center"/>
              <w:ind w:left="323"/>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rPr>
              <w:t>Weighted-Average</w:t>
            </w:r>
          </w:p>
        </w:tc>
        <w:tc>
          <w:tcPr>
            <w:tcW w:w="0" w:type="dxa"/>
            <w:vAlign w:val="bottom"/>
          </w:tcPr>
          <w:p>
            <w:pPr>
              <w:spacing w:after="0"/>
              <w:rPr>
                <w:sz w:val="1"/>
                <w:szCs w:val="1"/>
                <w:color w:val="auto"/>
              </w:rPr>
            </w:pPr>
          </w:p>
        </w:tc>
      </w:tr>
      <w:tr>
        <w:trPr>
          <w:trHeight w:val="115"/>
        </w:trPr>
        <w:tc>
          <w:tcPr>
            <w:tcW w:w="81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00" w:type="dxa"/>
            <w:vAlign w:val="bottom"/>
          </w:tcPr>
          <w:p>
            <w:pPr>
              <w:jc w:val="center"/>
              <w:ind w:right="134"/>
              <w:spacing w:after="0" w:line="115"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0" w:type="dxa"/>
            <w:vAlign w:val="bottom"/>
          </w:tcPr>
          <w:p>
            <w:pPr>
              <w:spacing w:after="0"/>
              <w:rPr>
                <w:sz w:val="1"/>
                <w:szCs w:val="1"/>
                <w:color w:val="auto"/>
              </w:rPr>
            </w:pPr>
          </w:p>
        </w:tc>
      </w:tr>
      <w:tr>
        <w:trPr>
          <w:trHeight w:val="155"/>
        </w:trPr>
        <w:tc>
          <w:tcPr>
            <w:tcW w:w="8180" w:type="dxa"/>
            <w:vAlign w:val="bottom"/>
          </w:tcPr>
          <w:p>
            <w:pPr>
              <w:spacing w:after="0"/>
              <w:rPr>
                <w:sz w:val="13"/>
                <w:szCs w:val="13"/>
                <w:color w:val="auto"/>
              </w:rPr>
            </w:pPr>
          </w:p>
        </w:tc>
        <w:tc>
          <w:tcPr>
            <w:tcW w:w="110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100" w:type="dxa"/>
            <w:vAlign w:val="bottom"/>
          </w:tcPr>
          <w:p>
            <w:pPr>
              <w:jc w:val="center"/>
              <w:ind w:left="34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January 31,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9.37</w:t>
            </w:r>
          </w:p>
        </w:tc>
        <w:tc>
          <w:tcPr>
            <w:tcW w:w="0" w:type="dxa"/>
            <w:vAlign w:val="bottom"/>
          </w:tcPr>
          <w:p>
            <w:pPr>
              <w:spacing w:after="0"/>
              <w:rPr>
                <w:sz w:val="1"/>
                <w:szCs w:val="1"/>
                <w:color w:val="auto"/>
              </w:rPr>
            </w:pPr>
          </w:p>
        </w:tc>
      </w:tr>
      <w:tr>
        <w:trPr>
          <w:trHeight w:val="180"/>
        </w:trPr>
        <w:tc>
          <w:tcPr>
            <w:tcW w:w="9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80"/>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Exercised</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8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Canceled</w:t>
            </w: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12.43</w:t>
            </w:r>
          </w:p>
        </w:tc>
        <w:tc>
          <w:tcPr>
            <w:tcW w:w="0" w:type="dxa"/>
            <w:vAlign w:val="bottom"/>
          </w:tcPr>
          <w:p>
            <w:pPr>
              <w:spacing w:after="0"/>
              <w:rPr>
                <w:sz w:val="1"/>
                <w:szCs w:val="1"/>
                <w:color w:val="auto"/>
              </w:rPr>
            </w:pPr>
          </w:p>
        </w:tc>
      </w:tr>
      <w:tr>
        <w:trPr>
          <w:trHeight w:val="19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outstanding at October 31, 2024</w:t>
            </w:r>
          </w:p>
        </w:tc>
        <w:tc>
          <w:tcPr>
            <w:tcW w:w="110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28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Options vested and expected to vest at October 31, 2024</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1,334</w:t>
            </w:r>
          </w:p>
        </w:tc>
        <w:tc>
          <w:tcPr>
            <w:tcW w:w="300" w:type="dxa"/>
            <w:vAlign w:val="bottom"/>
            <w:gridSpan w:val="2"/>
          </w:tcPr>
          <w:p>
            <w:pPr>
              <w:jc w:val="right"/>
              <w:ind w:right="120"/>
              <w:spacing w:after="0" w:line="143"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Options exercisable at October 31, 2024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There were no options that were unvested and exercisable as of October 31, 2024.</w:t>
      </w:r>
    </w:p>
    <w:p>
      <w:pPr>
        <w:spacing w:after="0" w:line="179"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 aggregate intrinsic value of options vested and exercisable was $375.9 million and $451.0 million as of October 31, 2024 and January 31, 2024, respectively. The weighted-average remaining contractual term of options vested and exercisable was 3.6 years and 4.2 years as of October 31, 2024 and January 31, 2024, respectively.</w:t>
      </w:r>
    </w:p>
    <w:p>
      <w:pPr>
        <w:spacing w:after="0" w:line="124" w:lineRule="exact"/>
        <w:rPr>
          <w:sz w:val="20"/>
          <w:szCs w:val="20"/>
          <w:color w:val="auto"/>
        </w:rPr>
      </w:pPr>
    </w:p>
    <w:p>
      <w:pPr>
        <w:jc w:val="both"/>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weighted-average grant date fair values of all options granted was $325.22 per share and $126.00 during the nine months ended October 31, 2024 and October 31, 2023, respectively. The total intrinsic value of all options exercised was $32.0 million and $43.9 million during the three months ended October 31, 2024 and October 31, 2023, respectively, and $135.7 million and $118.4 million during the nine months ended October 31, 2024 and October 31, 2023, respectively.</w:t>
      </w:r>
    </w:p>
    <w:p>
      <w:pPr>
        <w:spacing w:after="0" w:line="13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The aggregate intrinsic value of stock options outstanding as of October 31, 2024 and January 31, 2024 was $383.2 million and $496.7 million, respectively, which represents the excess of the fair value of the Company’s common stock over the exercise price of the options multiplied by the number of options outstanding. The weighted-average remaining contractual term of stock options outstanding was 3.7 years and 4.3 years as of October 31, 2024 and January 31, 2024, respectively.</w:t>
      </w:r>
    </w:p>
    <w:p>
      <w:pPr>
        <w:spacing w:after="0" w:line="136"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options was $5.0 million as of October 31, 2024. This expense is expected to be amortized over a weighted-average vesting period of 1.8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8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43"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RSUs was $2.2 billion as of October 31, 2024. This expense is expected to be amortized over a weighted-average vesting period of 2.8 years.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Performance-based Stock Units</w:t>
      </w:r>
    </w:p>
    <w:p>
      <w:pPr>
        <w:spacing w:after="0" w:line="181"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36"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unvested PSUs was $54.8 million as of October 31, 2024, which reflects the Company's updated assessment of the likelihood of satisfying the performance conditions. This expense is expected to be amortized over a weighted-average vesting period of 1.2 years.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Special PSU Awards</w:t>
      </w:r>
    </w:p>
    <w:p>
      <w:pPr>
        <w:spacing w:after="0" w:line="181" w:lineRule="exact"/>
        <w:rPr>
          <w:sz w:val="20"/>
          <w:szCs w:val="20"/>
          <w:color w:val="auto"/>
        </w:rPr>
      </w:pPr>
    </w:p>
    <w:p>
      <w:pPr>
        <w:ind w:right="200" w:firstLine="255"/>
        <w:spacing w:after="0" w:line="259" w:lineRule="auto"/>
        <w:rPr>
          <w:sz w:val="20"/>
          <w:szCs w:val="20"/>
          <w:color w:val="auto"/>
        </w:rPr>
      </w:pPr>
      <w:r>
        <w:rPr>
          <w:rFonts w:ascii="Times New Roman" w:cs="Times New Roman" w:eastAsia="Times New Roman" w:hAnsi="Times New Roman"/>
          <w:sz w:val="14"/>
          <w:szCs w:val="14"/>
          <w:color w:val="auto"/>
        </w:rPr>
        <w:t>In fiscal 2022 the Company’s board of directors granted 655,000 performance stock units (the “Special PSU Awards”) to certain executives under the 2019 Plan. The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February 1, 2022, February 1, 2023, February 1, 2024 and February 1, 2025) and (ii) the remaining PSUs with respect to such tranche will thereafter service vest in four equal quarterly installments of 12.5%.</w:t>
      </w:r>
    </w:p>
    <w:p>
      <w:pPr>
        <w:spacing w:after="0" w:line="14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The Company measured the fair value of the Special PSU Awards on the grant date using a Monte Carlo simulation valuation model. The risk-free interest rates used were 0.85%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2.21- 2.58 year look-back from the grant date and 50% weight based on the Company’s implied volatility as of the grant date.</w:t>
      </w:r>
    </w:p>
    <w:p>
      <w:pPr>
        <w:spacing w:after="0" w:line="140" w:lineRule="exact"/>
        <w:rPr>
          <w:sz w:val="20"/>
          <w:szCs w:val="20"/>
          <w:color w:val="auto"/>
        </w:rPr>
      </w:pPr>
    </w:p>
    <w:p>
      <w:pPr>
        <w:ind w:right="420" w:firstLine="255"/>
        <w:spacing w:after="0" w:line="287" w:lineRule="auto"/>
        <w:rPr>
          <w:sz w:val="20"/>
          <w:szCs w:val="20"/>
          <w:color w:val="auto"/>
        </w:rPr>
      </w:pPr>
      <w:r>
        <w:rPr>
          <w:rFonts w:ascii="Times New Roman" w:cs="Times New Roman" w:eastAsia="Times New Roman" w:hAnsi="Times New Roman"/>
          <w:sz w:val="14"/>
          <w:szCs w:val="14"/>
          <w:color w:val="auto"/>
        </w:rPr>
        <w:t>Total unrecognized stock-based compensation expense related to the unvested portion of the Special PSU Awards was $15.5 million as of October 31, 2024. This expense is expected to be amortized over a weighted-average vesting period of 1.0 years.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is a summary of RSUs, PSUs and the Special PSU Awards activities for the nine months ended October 31, 2024:</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1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5"/>
        </w:trPr>
        <w:tc>
          <w:tcPr>
            <w:tcW w:w="8180" w:type="dxa"/>
            <w:vAlign w:val="bottom"/>
          </w:tcPr>
          <w:p>
            <w:pPr>
              <w:spacing w:after="0"/>
              <w:rPr>
                <w:sz w:val="9"/>
                <w:szCs w:val="9"/>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jc w:val="center"/>
              <w:ind w:right="154"/>
              <w:spacing w:after="0" w:line="115" w:lineRule="exact"/>
              <w:rPr>
                <w:sz w:val="20"/>
                <w:szCs w:val="20"/>
                <w:color w:val="auto"/>
              </w:rPr>
            </w:pPr>
            <w:r>
              <w:rPr>
                <w:rFonts w:ascii="Times New Roman" w:cs="Times New Roman" w:eastAsia="Times New Roman" w:hAnsi="Times New Roman"/>
                <w:sz w:val="11"/>
                <w:szCs w:val="11"/>
                <w:b w:val="1"/>
                <w:bCs w:val="1"/>
                <w:color w:val="auto"/>
                <w:w w:val="99"/>
              </w:rPr>
              <w:t>Average Grant</w:t>
            </w:r>
          </w:p>
        </w:tc>
        <w:tc>
          <w:tcPr>
            <w:tcW w:w="0" w:type="dxa"/>
            <w:vAlign w:val="bottom"/>
          </w:tcPr>
          <w:p>
            <w:pPr>
              <w:spacing w:after="0"/>
              <w:rPr>
                <w:sz w:val="1"/>
                <w:szCs w:val="1"/>
                <w:color w:val="auto"/>
              </w:rPr>
            </w:pPr>
          </w:p>
        </w:tc>
      </w:tr>
      <w:tr>
        <w:trPr>
          <w:trHeight w:val="117"/>
        </w:trPr>
        <w:tc>
          <w:tcPr>
            <w:tcW w:w="81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Pr>
          <w:p>
            <w:pPr>
              <w:jc w:val="center"/>
              <w:ind w:right="154"/>
              <w:spacing w:after="0" w:line="117" w:lineRule="exact"/>
              <w:rPr>
                <w:sz w:val="20"/>
                <w:szCs w:val="20"/>
                <w:color w:val="auto"/>
              </w:rPr>
            </w:pPr>
            <w:r>
              <w:rPr>
                <w:rFonts w:ascii="Times New Roman" w:cs="Times New Roman" w:eastAsia="Times New Roman" w:hAnsi="Times New Roman"/>
                <w:sz w:val="11"/>
                <w:szCs w:val="11"/>
                <w:b w:val="1"/>
                <w:bCs w:val="1"/>
                <w:color w:val="auto"/>
              </w:rPr>
              <w:t>Date Fair Value</w:t>
            </w:r>
          </w:p>
        </w:tc>
        <w:tc>
          <w:tcPr>
            <w:tcW w:w="0" w:type="dxa"/>
            <w:vAlign w:val="bottom"/>
          </w:tcPr>
          <w:p>
            <w:pPr>
              <w:spacing w:after="0"/>
              <w:rPr>
                <w:sz w:val="1"/>
                <w:szCs w:val="1"/>
                <w:color w:val="auto"/>
              </w:rPr>
            </w:pPr>
          </w:p>
        </w:tc>
      </w:tr>
      <w:tr>
        <w:trPr>
          <w:trHeight w:val="155"/>
        </w:trPr>
        <w:tc>
          <w:tcPr>
            <w:tcW w:w="8180" w:type="dxa"/>
            <w:vAlign w:val="bottom"/>
          </w:tcPr>
          <w:p>
            <w:pPr>
              <w:spacing w:after="0"/>
              <w:rPr>
                <w:sz w:val="13"/>
                <w:szCs w:val="13"/>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1"/>
                <w:szCs w:val="11"/>
                <w:b w:val="1"/>
                <w:bCs w:val="1"/>
                <w:color w:val="auto"/>
                <w:w w:val="98"/>
              </w:rPr>
              <w:t>Per Share</w:t>
            </w:r>
          </w:p>
        </w:tc>
        <w:tc>
          <w:tcPr>
            <w:tcW w:w="0" w:type="dxa"/>
            <w:vAlign w:val="bottom"/>
          </w:tcPr>
          <w:p>
            <w:pPr>
              <w:spacing w:after="0"/>
              <w:rPr>
                <w:sz w:val="1"/>
                <w:szCs w:val="1"/>
                <w:color w:val="auto"/>
              </w:rPr>
            </w:pPr>
          </w:p>
        </w:tc>
      </w:tr>
      <w:tr>
        <w:trPr>
          <w:trHeight w:val="149"/>
        </w:trPr>
        <w:tc>
          <w:tcPr>
            <w:tcW w:w="8180" w:type="dxa"/>
            <w:vAlign w:val="bottom"/>
          </w:tcPr>
          <w:p>
            <w:pPr>
              <w:spacing w:after="0"/>
              <w:rPr>
                <w:sz w:val="12"/>
                <w:szCs w:val="12"/>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January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10,968</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167.84</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4,719</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302.18</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Released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(3,502)</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161.19</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Performance adjustment </w:t>
            </w:r>
            <w:r>
              <w:rPr>
                <w:rFonts w:ascii="Times New Roman" w:cs="Times New Roman" w:eastAsia="Times New Roman" w:hAnsi="Times New Roman"/>
                <w:sz w:val="18"/>
                <w:szCs w:val="18"/>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132.83</w:t>
            </w: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197.03</w:t>
            </w:r>
          </w:p>
        </w:tc>
        <w:tc>
          <w:tcPr>
            <w:tcW w:w="0" w:type="dxa"/>
            <w:vAlign w:val="bottom"/>
          </w:tcPr>
          <w:p>
            <w:pPr>
              <w:spacing w:after="0"/>
              <w:rPr>
                <w:sz w:val="1"/>
                <w:szCs w:val="1"/>
                <w:color w:val="auto"/>
              </w:rPr>
            </w:pPr>
          </w:p>
        </w:tc>
      </w:tr>
      <w:tr>
        <w:trPr>
          <w:trHeight w:val="17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RSUs and PSUs outstanding at October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11,847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80" w:type="dxa"/>
            <w:vAlign w:val="bottom"/>
            <w:tcBorders>
              <w:bottom w:val="single" w:sz="8" w:color="CCEEFF"/>
            </w:tcBorders>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b w:val="1"/>
                <w:bCs w:val="1"/>
                <w:color w:val="auto"/>
              </w:rPr>
              <w:t xml:space="preserve">RSUs and PSUs expected to vest at October 31, 2024 </w:t>
            </w:r>
            <w:r>
              <w:rPr>
                <w:rFonts w:ascii="Times New Roman" w:cs="Times New Roman" w:eastAsia="Times New Roman" w:hAnsi="Times New Roman"/>
                <w:sz w:val="18"/>
                <w:szCs w:val="18"/>
                <w:b w:val="1"/>
                <w:bCs w:val="1"/>
                <w:color w:val="auto"/>
                <w:vertAlign w:val="superscript"/>
              </w:rPr>
              <w:t>(2)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right="200" w:hanging="255"/>
        <w:spacing w:after="0" w:line="264" w:lineRule="auto"/>
        <w:tabs>
          <w:tab w:leader="none" w:pos="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performance adjustment represents adjustments in shares outstanding due to the actual achievement of performance-based awards, the achievement of which was based upon pre-defined financial performance targets.</w:t>
      </w:r>
    </w:p>
    <w:p>
      <w:pPr>
        <w:spacing w:after="0" w:line="53" w:lineRule="exact"/>
        <w:rPr>
          <w:rFonts w:ascii="Times New Roman" w:cs="Times New Roman" w:eastAsia="Times New Roman" w:hAnsi="Times New Roman"/>
          <w:sz w:val="13"/>
          <w:szCs w:val="13"/>
          <w:color w:val="auto"/>
        </w:rPr>
      </w:pPr>
    </w:p>
    <w:p>
      <w:pPr>
        <w:ind w:left="260" w:hanging="255"/>
        <w:spacing w:after="0"/>
        <w:tabs>
          <w:tab w:leader="none" w:pos="26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Excludes in progress PSUs and Special PSUs where pre-defined targets have not yet been achieved.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1"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4"/>
          <w:szCs w:val="14"/>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 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47" w:lineRule="exact"/>
        <w:rPr>
          <w:sz w:val="20"/>
          <w:szCs w:val="20"/>
          <w:color w:val="auto"/>
        </w:rPr>
      </w:pPr>
    </w:p>
    <w:p>
      <w:pPr>
        <w:jc w:val="both"/>
        <w:ind w:right="280" w:firstLine="255"/>
        <w:spacing w:after="0" w:line="270" w:lineRule="auto"/>
        <w:rPr>
          <w:sz w:val="20"/>
          <w:szCs w:val="20"/>
          <w:color w:val="auto"/>
        </w:rPr>
      </w:pPr>
      <w:r>
        <w:rPr>
          <w:rFonts w:ascii="Times New Roman" w:cs="Times New Roman" w:eastAsia="Times New Roman" w:hAnsi="Times New Roman"/>
          <w:sz w:val="14"/>
          <w:szCs w:val="14"/>
          <w:color w:val="auto"/>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36"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Contribution modifications during the nine months ended October 31, 2024 were $7.2 million, which will be recognized over the remaining offering periods.</w:t>
      </w:r>
    </w:p>
    <w:p>
      <w:pPr>
        <w:spacing w:after="0" w:line="149"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Employee payroll contributions ultimately used to purchase shares are reclassified to stockholders’ equity on the purchase date. ESPP employee payroll contributions accrued as of October 31, 2024 and January 31, 2024 totaled $37.7 million and $22.3 million, respectively, and are included within accrued payroll and benefits in the condensed consolidated balance sheets.</w:t>
      </w:r>
    </w:p>
    <w:p>
      <w:pPr>
        <w:spacing w:after="0" w:line="12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The following table summarizes the assumptions used in the Black-Scholes option-pricing model to determine the fair value of employee stock purchase rights granted under the Company’s ESPP:</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6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60" w:type="dxa"/>
            <w:vAlign w:val="bottom"/>
            <w:tcBorders>
              <w:bottom w:val="single" w:sz="8" w:color="auto"/>
            </w:tcBorders>
            <w:gridSpan w:val="3"/>
          </w:tcPr>
          <w:p>
            <w:pPr>
              <w:jc w:val="right"/>
              <w:ind w:right="68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71"/>
        </w:trPr>
        <w:tc>
          <w:tcPr>
            <w:tcW w:w="3660" w:type="dxa"/>
            <w:vAlign w:val="bottom"/>
            <w:tcBorders>
              <w:bottom w:val="single" w:sz="8" w:color="CCEEFF"/>
            </w:tcBorders>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41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2.0</w:t>
            </w:r>
          </w:p>
        </w:tc>
        <w:tc>
          <w:tcPr>
            <w:tcW w:w="60" w:type="dxa"/>
            <w:vAlign w:val="bottom"/>
            <w:shd w:val="clear" w:color="auto" w:fill="CCEEFF"/>
          </w:tcPr>
          <w:p>
            <w:pPr>
              <w:spacing w:after="0"/>
              <w:rPr>
                <w:sz w:val="14"/>
                <w:szCs w:val="14"/>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 – 2.0</w:t>
            </w:r>
          </w:p>
        </w:tc>
      </w:tr>
      <w:tr>
        <w:trPr>
          <w:trHeight w:val="180"/>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4160" w:type="dxa"/>
            <w:vAlign w:val="bottom"/>
          </w:tcPr>
          <w:p>
            <w:pPr>
              <w:spacing w:after="0"/>
              <w:rPr>
                <w:sz w:val="15"/>
                <w:szCs w:val="15"/>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 – 5.3%</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 – 5.2%</w:t>
            </w:r>
          </w:p>
        </w:tc>
      </w:tr>
      <w:tr>
        <w:trPr>
          <w:trHeight w:val="18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stock price volatility</w:t>
            </w:r>
          </w:p>
        </w:tc>
        <w:tc>
          <w:tcPr>
            <w:tcW w:w="416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40.8% – 59.8%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 – 61.2%</w:t>
            </w:r>
          </w:p>
        </w:tc>
      </w:tr>
      <w:tr>
        <w:trPr>
          <w:trHeight w:val="184"/>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4160" w:type="dxa"/>
            <w:vAlign w:val="bottom"/>
          </w:tcPr>
          <w:p>
            <w:pPr>
              <w:spacing w:after="0"/>
              <w:rPr>
                <w:sz w:val="16"/>
                <w:szCs w:val="16"/>
                <w:color w:val="auto"/>
              </w:rPr>
            </w:pPr>
          </w:p>
        </w:tc>
        <w:tc>
          <w:tcPr>
            <w:tcW w:w="1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707"/>
        </w:trPr>
        <w:tc>
          <w:tcPr>
            <w:tcW w:w="3660" w:type="dxa"/>
            <w:vAlign w:val="bottom"/>
          </w:tcPr>
          <w:p>
            <w:pPr>
              <w:spacing w:after="0"/>
              <w:rPr>
                <w:sz w:val="24"/>
                <w:szCs w:val="24"/>
                <w:color w:val="auto"/>
              </w:rPr>
            </w:pPr>
          </w:p>
        </w:tc>
        <w:tc>
          <w:tcPr>
            <w:tcW w:w="4160" w:type="dxa"/>
            <w:vAlign w:val="bottom"/>
          </w:tcPr>
          <w:p>
            <w:pPr>
              <w:jc w:val="right"/>
              <w:ind w:right="2029"/>
              <w:spacing w:after="0"/>
              <w:rPr>
                <w:sz w:val="20"/>
                <w:szCs w:val="20"/>
                <w:color w:val="auto"/>
              </w:rPr>
            </w:pPr>
            <w:r>
              <w:rPr>
                <w:rFonts w:ascii="Times New Roman" w:cs="Times New Roman" w:eastAsia="Times New Roman" w:hAnsi="Times New Roman"/>
                <w:sz w:val="14"/>
                <w:szCs w:val="14"/>
                <w:color w:val="auto"/>
              </w:rPr>
              <w:t>22</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87"/>
        </w:trPr>
        <w:tc>
          <w:tcPr>
            <w:tcW w:w="3660" w:type="dxa"/>
            <w:vAlign w:val="bottom"/>
            <w:tcBorders>
              <w:bottom w:val="single" w:sz="8" w:color="9A9A9A"/>
            </w:tcBorders>
          </w:tcPr>
          <w:p>
            <w:pPr>
              <w:spacing w:after="0"/>
              <w:rPr>
                <w:sz w:val="7"/>
                <w:szCs w:val="7"/>
                <w:color w:val="auto"/>
              </w:rPr>
            </w:pPr>
          </w:p>
        </w:tc>
        <w:tc>
          <w:tcPr>
            <w:tcW w:w="41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0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818"/>
        </w:trPr>
        <w:tc>
          <w:tcPr>
            <w:tcW w:w="4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40"/>
        </w:trPr>
        <w:tc>
          <w:tcPr>
            <w:tcW w:w="7980" w:type="dxa"/>
            <w:vAlign w:val="bottom"/>
            <w:gridSpan w:val="8"/>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 included in the condensed consolidated statements of operations is as follows (in thousands):</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2"/>
        </w:trPr>
        <w:tc>
          <w:tcPr>
            <w:tcW w:w="10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71"/>
        </w:trPr>
        <w:tc>
          <w:tcPr>
            <w:tcW w:w="1000" w:type="dxa"/>
            <w:vAlign w:val="bottom"/>
            <w:tcBorders>
              <w:bottom w:val="single" w:sz="8" w:color="CCEEFF"/>
            </w:tcBorders>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cost of revenue</w:t>
            </w:r>
          </w:p>
        </w:tc>
        <w:tc>
          <w:tcPr>
            <w:tcW w:w="102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18,613</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11,477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30,575</w:t>
            </w:r>
          </w:p>
        </w:tc>
      </w:tr>
      <w:tr>
        <w:trPr>
          <w:trHeight w:val="18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Professional services cost of revenue</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7,498</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16,020</w:t>
            </w:r>
          </w:p>
        </w:tc>
      </w:tr>
      <w:tr>
        <w:trPr>
          <w:trHeight w:val="18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56,251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165,914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129,725</w:t>
            </w:r>
          </w:p>
        </w:tc>
      </w:tr>
      <w:tr>
        <w:trPr>
          <w:trHeight w:val="18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81,874</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224,467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143,754</w:t>
            </w:r>
          </w:p>
        </w:tc>
      </w:tr>
      <w:tr>
        <w:trPr>
          <w:trHeight w:val="180"/>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44,652</w:t>
            </w:r>
          </w:p>
        </w:tc>
        <w:tc>
          <w:tcPr>
            <w:tcW w:w="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47,560</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132,133</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135,173</w:t>
            </w:r>
          </w:p>
        </w:tc>
      </w:tr>
      <w:tr>
        <w:trPr>
          <w:trHeight w:val="171"/>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1020" w:type="dxa"/>
            <w:vAlign w:val="bottom"/>
            <w:tcBorders>
              <w:bottom w:val="single" w:sz="8" w:color="auto"/>
            </w:tcBorders>
          </w:tcPr>
          <w:p>
            <w:pPr>
              <w:jc w:val="right"/>
              <w:ind w:right="84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208,888</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6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159,614</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592,890</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455,247</w:t>
            </w:r>
          </w:p>
        </w:tc>
      </w:tr>
      <w:tr>
        <w:trPr>
          <w:trHeight w:val="20"/>
        </w:trPr>
        <w:tc>
          <w:tcPr>
            <w:tcW w:w="10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7. Revenue, Deferred Revenue and Remaining Performance Obligations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revenue by region based on the shipping address of customers who have contracted to use the Company’s platform or service (in thousands, except percentages):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w w:val="99"/>
              </w:rPr>
              <w:t>Three Months Ended October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1"/>
        </w:trPr>
        <w:tc>
          <w:tcPr>
            <w:tcW w:w="2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936"/>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160"/>
        </w:trPr>
        <w:tc>
          <w:tcPr>
            <w:tcW w:w="2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 Revenue</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 Revenue</w:t>
            </w:r>
          </w:p>
        </w:tc>
      </w:tr>
      <w:tr>
        <w:trPr>
          <w:trHeight w:val="162"/>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w:t>
            </w: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683,476</w:t>
            </w: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537,880</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1,968,503</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1,513,569</w:t>
            </w: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Europe, Middle East, and Africa</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160,574</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451,037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335,619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15 %</w:t>
            </w:r>
          </w:p>
        </w:tc>
      </w:tr>
      <w:tr>
        <w:trPr>
          <w:trHeight w:val="172"/>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Asia Pacific</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102,837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81,459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294,573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228,876</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r>
      <w:tr>
        <w:trPr>
          <w:trHeight w:val="168"/>
        </w:trPr>
        <w:tc>
          <w:tcPr>
            <w:tcW w:w="2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63,291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180,973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132,156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88"/>
        </w:trPr>
        <w:tc>
          <w:tcPr>
            <w:tcW w:w="20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revenue</w:t>
            </w: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1,010,178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786,014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2,895,086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2,210,220</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 single country other than the United States represented 10% or more of the Company’s total revenue during the three and nine months ended October 31, 2024 and October 31, 2023.</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181"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Contract liabilities consist of deferred revenue and include payments received in advance of performance under the contract. Such amounts are recognized as revenue over the contractual period. The Company recognized revenue of $880.5 million and $685.9 million for the three months ended October 31, 2024 and October 31, 2023, respectively, and $1,945.4 million and $1,465.5 million for the nine months ended October 31, 2024 and October 31, 2023, respectively which was included in the corresponding contract liability balance at the beginning of the period.</w:t>
      </w:r>
    </w:p>
    <w:p>
      <w:pPr>
        <w:spacing w:after="0" w:line="136"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818"/>
        </w:trPr>
        <w:tc>
          <w:tcPr>
            <w:tcW w:w="456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Changes in deferred revenue were as follows (in thousands):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2"/>
        </w:trPr>
        <w:tc>
          <w:tcPr>
            <w:tcW w:w="10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80" w:type="dxa"/>
            <w:vAlign w:val="bottom"/>
          </w:tcPr>
          <w:p>
            <w:pPr>
              <w:spacing w:after="0"/>
              <w:rPr>
                <w:sz w:val="24"/>
                <w:szCs w:val="24"/>
                <w:color w:val="auto"/>
              </w:rPr>
            </w:pPr>
          </w:p>
        </w:tc>
        <w:tc>
          <w:tcPr>
            <w:tcW w:w="29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71"/>
        </w:trPr>
        <w:tc>
          <w:tcPr>
            <w:tcW w:w="10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3"/>
        </w:trPr>
        <w:tc>
          <w:tcPr>
            <w:tcW w:w="1000" w:type="dxa"/>
            <w:vAlign w:val="bottom"/>
            <w:tcBorders>
              <w:bottom w:val="single" w:sz="8" w:color="CCEEFF"/>
            </w:tcBorders>
          </w:tcPr>
          <w:p>
            <w:pPr>
              <w:spacing w:after="0"/>
              <w:rPr>
                <w:sz w:val="17"/>
                <w:szCs w:val="17"/>
                <w:color w:val="auto"/>
              </w:rPr>
            </w:pPr>
          </w:p>
        </w:tc>
        <w:tc>
          <w:tcPr>
            <w:tcW w:w="356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040" w:type="dxa"/>
            <w:vAlign w:val="bottom"/>
            <w:tcBorders>
              <w:bottom w:val="single" w:sz="8" w:color="auto"/>
            </w:tcBorders>
          </w:tcPr>
          <w:p>
            <w:pPr>
              <w:spacing w:after="0"/>
              <w:rPr>
                <w:sz w:val="17"/>
                <w:szCs w:val="17"/>
                <w:color w:val="auto"/>
              </w:rPr>
            </w:pPr>
          </w:p>
        </w:tc>
      </w:tr>
      <w:tr>
        <w:trPr>
          <w:trHeight w:val="171"/>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rPr>
              <w:t>3,093,197</w:t>
            </w: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2,507,642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center"/>
              <w:ind w:left="489"/>
              <w:spacing w:after="0"/>
              <w:rPr>
                <w:sz w:val="20"/>
                <w:szCs w:val="20"/>
                <w:color w:val="auto"/>
              </w:rPr>
            </w:pPr>
            <w:r>
              <w:rPr>
                <w:rFonts w:ascii="Times New Roman" w:cs="Times New Roman" w:eastAsia="Times New Roman" w:hAnsi="Times New Roman"/>
                <w:sz w:val="14"/>
                <w:szCs w:val="14"/>
                <w:color w:val="auto"/>
                <w:w w:val="99"/>
              </w:rPr>
              <w:t>3,054,099</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center"/>
              <w:ind w:left="289"/>
              <w:spacing w:after="0"/>
              <w:rPr>
                <w:sz w:val="20"/>
                <w:szCs w:val="20"/>
                <w:color w:val="auto"/>
              </w:rPr>
            </w:pPr>
            <w:r>
              <w:rPr>
                <w:rFonts w:ascii="Times New Roman" w:cs="Times New Roman" w:eastAsia="Times New Roman" w:hAnsi="Times New Roman"/>
                <w:sz w:val="14"/>
                <w:szCs w:val="14"/>
                <w:color w:val="auto"/>
                <w:w w:val="99"/>
              </w:rPr>
              <w:t>2,355,113</w:t>
            </w:r>
          </w:p>
        </w:tc>
      </w:tr>
      <w:tr>
        <w:trPr>
          <w:trHeight w:val="180"/>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Additions to deferred revenue</w:t>
            </w:r>
          </w:p>
        </w:tc>
        <w:tc>
          <w:tcPr>
            <w:tcW w:w="380" w:type="dxa"/>
            <w:vAlign w:val="bottom"/>
          </w:tcPr>
          <w:p>
            <w:pPr>
              <w:spacing w:after="0"/>
              <w:rPr>
                <w:sz w:val="15"/>
                <w:szCs w:val="15"/>
                <w:color w:val="auto"/>
              </w:rPr>
            </w:pPr>
          </w:p>
        </w:tc>
        <w:tc>
          <w:tcPr>
            <w:tcW w:w="1260" w:type="dxa"/>
            <w:vAlign w:val="bottom"/>
          </w:tcPr>
          <w:p>
            <w:pPr>
              <w:jc w:val="center"/>
              <w:ind w:left="509"/>
              <w:spacing w:after="0"/>
              <w:rPr>
                <w:sz w:val="20"/>
                <w:szCs w:val="20"/>
                <w:color w:val="auto"/>
              </w:rPr>
            </w:pPr>
            <w:r>
              <w:rPr>
                <w:rFonts w:ascii="Times New Roman" w:cs="Times New Roman" w:eastAsia="Times New Roman" w:hAnsi="Times New Roman"/>
                <w:sz w:val="14"/>
                <w:szCs w:val="14"/>
                <w:color w:val="auto"/>
                <w:w w:val="99"/>
              </w:rPr>
              <w:t>1,113,499</w:t>
            </w: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821,488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center"/>
              <w:ind w:left="489"/>
              <w:spacing w:after="0"/>
              <w:rPr>
                <w:sz w:val="20"/>
                <w:szCs w:val="20"/>
                <w:color w:val="auto"/>
              </w:rPr>
            </w:pPr>
            <w:r>
              <w:rPr>
                <w:rFonts w:ascii="Times New Roman" w:cs="Times New Roman" w:eastAsia="Times New Roman" w:hAnsi="Times New Roman"/>
                <w:sz w:val="14"/>
                <w:szCs w:val="14"/>
                <w:color w:val="auto"/>
                <w:w w:val="99"/>
              </w:rPr>
              <w:t>3,037,505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jc w:val="center"/>
              <w:ind w:left="289"/>
              <w:spacing w:after="0"/>
              <w:rPr>
                <w:sz w:val="20"/>
                <w:szCs w:val="20"/>
                <w:color w:val="auto"/>
              </w:rPr>
            </w:pPr>
            <w:r>
              <w:rPr>
                <w:rFonts w:ascii="Times New Roman" w:cs="Times New Roman" w:eastAsia="Times New Roman" w:hAnsi="Times New Roman"/>
                <w:sz w:val="14"/>
                <w:szCs w:val="14"/>
                <w:color w:val="auto"/>
                <w:w w:val="99"/>
              </w:rPr>
              <w:t>2,398,223</w:t>
            </w:r>
          </w:p>
        </w:tc>
      </w:tr>
      <w:tr>
        <w:trPr>
          <w:trHeight w:val="180"/>
        </w:trPr>
        <w:tc>
          <w:tcPr>
            <w:tcW w:w="4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Recognition of deferred revenue</w:t>
            </w: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center"/>
              <w:ind w:left="449"/>
              <w:spacing w:after="0"/>
              <w:rPr>
                <w:sz w:val="20"/>
                <w:szCs w:val="20"/>
                <w:color w:val="auto"/>
              </w:rPr>
            </w:pPr>
            <w:r>
              <w:rPr>
                <w:rFonts w:ascii="Times New Roman" w:cs="Times New Roman" w:eastAsia="Times New Roman" w:hAnsi="Times New Roman"/>
                <w:sz w:val="14"/>
                <w:szCs w:val="14"/>
                <w:color w:val="auto"/>
              </w:rPr>
              <w:t>(1,010,178)</w:t>
            </w:r>
          </w:p>
        </w:tc>
        <w:tc>
          <w:tcPr>
            <w:tcW w:w="6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(786,014)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center"/>
              <w:ind w:left="469"/>
              <w:spacing w:after="0"/>
              <w:rPr>
                <w:sz w:val="20"/>
                <w:szCs w:val="20"/>
                <w:color w:val="auto"/>
              </w:rPr>
            </w:pPr>
            <w:r>
              <w:rPr>
                <w:rFonts w:ascii="Times New Roman" w:cs="Times New Roman" w:eastAsia="Times New Roman" w:hAnsi="Times New Roman"/>
                <w:sz w:val="14"/>
                <w:szCs w:val="14"/>
                <w:color w:val="auto"/>
              </w:rPr>
              <w:t>(2,895,086)</w:t>
            </w:r>
          </w:p>
        </w:tc>
        <w:tc>
          <w:tcPr>
            <w:tcW w:w="8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(2,210,220)</w:t>
            </w:r>
          </w:p>
        </w:tc>
      </w:tr>
      <w:tr>
        <w:trPr>
          <w:trHeight w:val="171"/>
        </w:trPr>
        <w:tc>
          <w:tcPr>
            <w:tcW w:w="4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38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color w:val="auto"/>
              </w:rPr>
              <w:t>3,196,518</w:t>
            </w:r>
          </w:p>
        </w:tc>
        <w:tc>
          <w:tcPr>
            <w:tcW w:w="6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2,543,116</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color w:val="auto"/>
                <w:w w:val="99"/>
              </w:rPr>
              <w:t>3,196,518</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color w:val="auto"/>
                <w:w w:val="99"/>
              </w:rPr>
              <w:t>2,543,116</w:t>
            </w:r>
          </w:p>
        </w:tc>
      </w:tr>
      <w:tr>
        <w:trPr>
          <w:trHeight w:val="20"/>
        </w:trPr>
        <w:tc>
          <w:tcPr>
            <w:tcW w:w="10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181" w:lineRule="exact"/>
        <w:rPr>
          <w:sz w:val="20"/>
          <w:szCs w:val="20"/>
          <w:color w:val="auto"/>
        </w:rPr>
      </w:pPr>
    </w:p>
    <w:p>
      <w:pPr>
        <w:ind w:right="320" w:firstLine="255"/>
        <w:spacing w:after="0" w:line="264" w:lineRule="auto"/>
        <w:rPr>
          <w:sz w:val="20"/>
          <w:szCs w:val="20"/>
          <w:color w:val="auto"/>
        </w:rPr>
      </w:pPr>
      <w:r>
        <w:rPr>
          <w:rFonts w:ascii="Times New Roman" w:cs="Times New Roman" w:eastAsia="Times New Roman" w:hAnsi="Times New Roman"/>
          <w:sz w:val="14"/>
          <w:szCs w:val="14"/>
          <w:color w:val="auto"/>
        </w:rPr>
        <w:t>The Company’s subscription contracts with its customers have a typical term of one to three years and most subscription contracts are non-cancellable. Customers generally have the right to terminate their contracts for cause as a result of the Company’s failure to perform. As of October 31, 2024, the aggregate amount of the transaction price allocated to remaining performance obligations was $5.4 billion. The Company expects to recognize approximately 57% of the remaining performance obligations in the 12 months following October 31, 2024, and 39% of the remaining performance obligations between 13 to 36 months, with the remainder to be recognized thereafter.</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Costs to Obtain and Fulfill a Contract</w:t>
      </w:r>
    </w:p>
    <w:p>
      <w:pPr>
        <w:spacing w:after="0" w:line="181"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condensed consolidated balance sheets.</w:t>
      </w:r>
    </w:p>
    <w:p>
      <w:pPr>
        <w:spacing w:after="0" w:line="136"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and are included in sales and marketing expense in the condensed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three and nine months ended October 31, 2024 or October 31, 2023.</w:t>
      </w:r>
    </w:p>
    <w:p>
      <w:pPr>
        <w:spacing w:after="0" w:line="3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summarizes the activity of deferred contract acquisition costs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700" w:type="dxa"/>
            <w:vAlign w:val="bottom"/>
            <w:tcBorders>
              <w:bottom w:val="single" w:sz="8" w:color="auto"/>
            </w:tcBorders>
            <w:gridSpan w:val="4"/>
          </w:tcPr>
          <w:p>
            <w:pPr>
              <w:jc w:val="right"/>
              <w:ind w:right="71"/>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r>
      <w:tr>
        <w:trPr>
          <w:trHeight w:val="161"/>
        </w:trPr>
        <w:tc>
          <w:tcPr>
            <w:tcW w:w="46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7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92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592,785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458,685</w:t>
            </w: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ind w:left="611"/>
              <w:spacing w:after="0"/>
              <w:rPr>
                <w:sz w:val="20"/>
                <w:szCs w:val="20"/>
                <w:color w:val="auto"/>
              </w:rPr>
            </w:pPr>
            <w:r>
              <w:rPr>
                <w:rFonts w:ascii="Times New Roman" w:cs="Times New Roman" w:eastAsia="Times New Roman" w:hAnsi="Times New Roman"/>
                <w:sz w:val="14"/>
                <w:szCs w:val="14"/>
                <w:color w:val="auto"/>
              </w:rPr>
              <w:t>582,303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rPr>
              <w:t>447,088</w:t>
            </w: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Capitalization of contract acquisition costs</w:t>
            </w:r>
          </w:p>
        </w:tc>
        <w:tc>
          <w:tcPr>
            <w:tcW w:w="920" w:type="dxa"/>
            <w:vAlign w:val="bottom"/>
          </w:tcPr>
          <w:p>
            <w:pPr>
              <w:spacing w:after="0"/>
              <w:rPr>
                <w:sz w:val="15"/>
                <w:szCs w:val="15"/>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203,079</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84,671</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center"/>
              <w:ind w:left="611"/>
              <w:spacing w:after="0"/>
              <w:rPr>
                <w:sz w:val="20"/>
                <w:szCs w:val="20"/>
                <w:color w:val="auto"/>
              </w:rPr>
            </w:pPr>
            <w:r>
              <w:rPr>
                <w:rFonts w:ascii="Times New Roman" w:cs="Times New Roman" w:eastAsia="Times New Roman" w:hAnsi="Times New Roman"/>
                <w:sz w:val="14"/>
                <w:szCs w:val="14"/>
                <w:color w:val="auto"/>
              </w:rPr>
              <w:t>361,412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rPr>
              <w:t>209,145</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deferred contract acquisition costs</w:t>
            </w: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(79,862)</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(60,281)</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571"/>
              <w:spacing w:after="0"/>
              <w:rPr>
                <w:sz w:val="20"/>
                <w:szCs w:val="20"/>
                <w:color w:val="auto"/>
              </w:rPr>
            </w:pPr>
            <w:r>
              <w:rPr>
                <w:rFonts w:ascii="Times New Roman" w:cs="Times New Roman" w:eastAsia="Times New Roman" w:hAnsi="Times New Roman"/>
                <w:sz w:val="14"/>
                <w:szCs w:val="14"/>
                <w:color w:val="auto"/>
                <w:w w:val="98"/>
              </w:rPr>
              <w:t>(227,713)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rPr>
              <w:t>(173,158)</w:t>
            </w:r>
          </w:p>
        </w:tc>
      </w:tr>
      <w:tr>
        <w:trPr>
          <w:trHeight w:val="171"/>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716,002</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483,075</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611"/>
              <w:spacing w:after="0"/>
              <w:rPr>
                <w:sz w:val="20"/>
                <w:szCs w:val="20"/>
                <w:color w:val="auto"/>
              </w:rPr>
            </w:pPr>
            <w:r>
              <w:rPr>
                <w:rFonts w:ascii="Times New Roman" w:cs="Times New Roman" w:eastAsia="Times New Roman" w:hAnsi="Times New Roman"/>
                <w:sz w:val="14"/>
                <w:szCs w:val="14"/>
                <w:color w:val="auto"/>
              </w:rPr>
              <w:t>716,002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4"/>
                <w:szCs w:val="14"/>
                <w:color w:val="auto"/>
              </w:rPr>
              <w:t>483,075</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46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current</w:t>
            </w:r>
          </w:p>
        </w:tc>
        <w:tc>
          <w:tcPr>
            <w:tcW w:w="920" w:type="dxa"/>
            <w:vAlign w:val="bottom"/>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294,229</w:t>
            </w:r>
          </w:p>
        </w:tc>
        <w:tc>
          <w:tcPr>
            <w:tcW w:w="80" w:type="dxa"/>
            <w:vAlign w:val="bottom"/>
          </w:tcPr>
          <w:p>
            <w:pPr>
              <w:spacing w:after="0"/>
              <w:rPr>
                <w:sz w:val="15"/>
                <w:szCs w:val="15"/>
                <w:color w:val="auto"/>
              </w:rPr>
            </w:pPr>
          </w:p>
        </w:tc>
        <w:tc>
          <w:tcPr>
            <w:tcW w:w="102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209,216</w:t>
            </w:r>
          </w:p>
        </w:tc>
        <w:tc>
          <w:tcPr>
            <w:tcW w:w="6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611"/>
              <w:spacing w:after="0"/>
              <w:rPr>
                <w:sz w:val="20"/>
                <w:szCs w:val="20"/>
                <w:color w:val="auto"/>
              </w:rPr>
            </w:pPr>
            <w:r>
              <w:rPr>
                <w:rFonts w:ascii="Times New Roman" w:cs="Times New Roman" w:eastAsia="Times New Roman" w:hAnsi="Times New Roman"/>
                <w:sz w:val="14"/>
                <w:szCs w:val="14"/>
                <w:color w:val="auto"/>
              </w:rPr>
              <w:t>294,229</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rPr>
              <w:t>209,216</w:t>
            </w:r>
          </w:p>
        </w:tc>
      </w:tr>
      <w:tr>
        <w:trPr>
          <w:trHeight w:val="18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acquisition costs, noncurrent</w:t>
            </w:r>
          </w:p>
        </w:tc>
        <w:tc>
          <w:tcPr>
            <w:tcW w:w="9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421,773</w:t>
            </w:r>
          </w:p>
        </w:tc>
        <w:tc>
          <w:tcPr>
            <w:tcW w:w="8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273,859</w:t>
            </w:r>
          </w:p>
        </w:tc>
        <w:tc>
          <w:tcPr>
            <w:tcW w:w="6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611"/>
              <w:spacing w:after="0"/>
              <w:rPr>
                <w:sz w:val="20"/>
                <w:szCs w:val="20"/>
                <w:color w:val="auto"/>
              </w:rPr>
            </w:pPr>
            <w:r>
              <w:rPr>
                <w:rFonts w:ascii="Times New Roman" w:cs="Times New Roman" w:eastAsia="Times New Roman" w:hAnsi="Times New Roman"/>
                <w:sz w:val="14"/>
                <w:szCs w:val="14"/>
                <w:color w:val="auto"/>
              </w:rPr>
              <w:t>421,773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rPr>
              <w:t>273,859</w:t>
            </w:r>
          </w:p>
        </w:tc>
      </w:tr>
      <w:tr>
        <w:trPr>
          <w:trHeight w:val="171"/>
        </w:trPr>
        <w:tc>
          <w:tcPr>
            <w:tcW w:w="4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 deferred contract acquisition costs</w:t>
            </w:r>
          </w:p>
        </w:tc>
        <w:tc>
          <w:tcPr>
            <w:tcW w:w="92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716,002</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ind w:right="85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483,075</w:t>
            </w:r>
          </w:p>
        </w:tc>
        <w:tc>
          <w:tcPr>
            <w:tcW w:w="6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611"/>
              <w:spacing w:after="0"/>
              <w:rPr>
                <w:sz w:val="20"/>
                <w:szCs w:val="20"/>
                <w:color w:val="auto"/>
              </w:rPr>
            </w:pPr>
            <w:r>
              <w:rPr>
                <w:rFonts w:ascii="Times New Roman" w:cs="Times New Roman" w:eastAsia="Times New Roman" w:hAnsi="Times New Roman"/>
                <w:sz w:val="14"/>
                <w:szCs w:val="14"/>
                <w:color w:val="auto"/>
              </w:rPr>
              <w:t>716,002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4"/>
                <w:szCs w:val="14"/>
                <w:color w:val="auto"/>
              </w:rPr>
              <w:t>483,075</w:t>
            </w: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810"/>
        </w:trPr>
        <w:tc>
          <w:tcPr>
            <w:tcW w:w="4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87"/>
        </w:trPr>
        <w:tc>
          <w:tcPr>
            <w:tcW w:w="46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86"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right="9200" w:hanging="255"/>
        <w:spacing w:after="0" w:line="507" w:lineRule="auto"/>
        <w:tabs>
          <w:tab w:leader="none" w:pos="147"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Commitments and Contingencies July 19 Incident</w:t>
      </w:r>
    </w:p>
    <w:p>
      <w:pPr>
        <w:spacing w:after="0" w:line="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spacing w:after="0" w:line="124" w:lineRule="exact"/>
        <w:rPr>
          <w:sz w:val="20"/>
          <w:szCs w:val="20"/>
          <w:color w:val="auto"/>
        </w:rPr>
      </w:pPr>
    </w:p>
    <w:p>
      <w:pPr>
        <w:ind w:left="900" w:right="100" w:hanging="259"/>
        <w:spacing w:after="0" w:line="270" w:lineRule="auto"/>
        <w:tabs>
          <w:tab w:leader="none" w:pos="8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 seeking unspecified monetary damages, costs and attorneys’ fees.</w:t>
      </w:r>
    </w:p>
    <w:p>
      <w:pPr>
        <w:spacing w:after="0" w:line="135" w:lineRule="exact"/>
        <w:rPr>
          <w:rFonts w:ascii="Times New Roman" w:cs="Times New Roman" w:eastAsia="Times New Roman" w:hAnsi="Times New Roman"/>
          <w:sz w:val="14"/>
          <w:szCs w:val="14"/>
          <w:color w:val="auto"/>
        </w:rPr>
      </w:pPr>
    </w:p>
    <w:p>
      <w:pPr>
        <w:ind w:left="900" w:right="100" w:hanging="259"/>
        <w:spacing w:after="0" w:line="261" w:lineRule="auto"/>
        <w:tabs>
          <w:tab w:leader="none" w:pos="8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5, 2024, a putative class action lawsuit was filed against CrowdStrike, Inc. in federal court in the Western District of Texas alleging, among other things, negligence and violations of the California Unfair Competition Law. The complainants seek certification of a nationwide class, as well as sub-classes of certain California, Ohio, and Pennsylvania citizens, who had a flight delayed or canceled during a specified period of time and are seeking unspecified monetary damages, certain injunctive relief, costs and attorneys’ fees. On November 6, 2024, this lawsuit was consolidated with the August 19, 2024 lawsuit described below, and interim class counsel was appointed. A consolidated complaint is required to be filed within 30 days of the consolidation order.</w:t>
      </w:r>
    </w:p>
    <w:p>
      <w:pPr>
        <w:spacing w:after="0" w:line="143" w:lineRule="exact"/>
        <w:rPr>
          <w:rFonts w:ascii="Times New Roman" w:cs="Times New Roman" w:eastAsia="Times New Roman" w:hAnsi="Times New Roman"/>
          <w:sz w:val="14"/>
          <w:szCs w:val="14"/>
          <w:color w:val="auto"/>
        </w:rPr>
      </w:pPr>
    </w:p>
    <w:p>
      <w:pPr>
        <w:ind w:left="900" w:hanging="259"/>
        <w:spacing w:after="0" w:line="263" w:lineRule="auto"/>
        <w:tabs>
          <w:tab w:leader="none" w:pos="8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19, 2024, a putative class action lawsuit was filed against the Company and CrowdStrike, Inc. in federal court in the Western District of Texas alleging, among other things, negligence in the design and testing of the Falcon sensor and tortious interference between certain airline customers and their airline. The complainants seek certification of a nationwide class (or alternatively a class of Iowa citizens) who had a flight delayed or canceled on a specified airline during a specific period of time and are seeking unspecified monetary damages, costs and attorneys’ fees. On November 6, 2024, this lawsuit was consolidated with the lawsuit filed on August 5, 2024 described above and was administratively closed.</w:t>
      </w:r>
    </w:p>
    <w:p>
      <w:pPr>
        <w:spacing w:after="0" w:line="312" w:lineRule="exact"/>
        <w:rPr>
          <w:rFonts w:ascii="Times New Roman" w:cs="Times New Roman" w:eastAsia="Times New Roman" w:hAnsi="Times New Roman"/>
          <w:sz w:val="14"/>
          <w:szCs w:val="14"/>
          <w:color w:val="auto"/>
        </w:rPr>
      </w:pPr>
    </w:p>
    <w:p>
      <w:pPr>
        <w:ind w:left="900" w:right="100" w:hanging="259"/>
        <w:spacing w:after="0" w:line="261" w:lineRule="auto"/>
        <w:tabs>
          <w:tab w:leader="none" w:pos="8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4, September 11, and September 20, 2024, three derivative lawsuits were filed against certain of the Company’s officers and directors, and against the Company as nominal defendant, in federal court in the Western District of Texas alleging breach of fiduciary duty under Delaware law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w:t>
      </w:r>
    </w:p>
    <w:p>
      <w:pPr>
        <w:spacing w:after="0" w:line="143" w:lineRule="exact"/>
        <w:rPr>
          <w:rFonts w:ascii="Times New Roman" w:cs="Times New Roman" w:eastAsia="Times New Roman" w:hAnsi="Times New Roman"/>
          <w:sz w:val="14"/>
          <w:szCs w:val="14"/>
          <w:color w:val="auto"/>
        </w:rPr>
      </w:pPr>
    </w:p>
    <w:p>
      <w:pPr>
        <w:ind w:left="900" w:right="40" w:hanging="259"/>
        <w:spacing w:after="0" w:line="264" w:lineRule="auto"/>
        <w:tabs>
          <w:tab w:leader="none" w:pos="8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On November 22, 2024, CrowdStrike, Inc. filed an unopposed motion to transfer the case to the Metro Atlanta Business Case Division.</w:t>
      </w:r>
    </w:p>
    <w:p>
      <w:pPr>
        <w:spacing w:after="0" w:line="140" w:lineRule="exact"/>
        <w:rPr>
          <w:sz w:val="20"/>
          <w:szCs w:val="20"/>
          <w:color w:val="auto"/>
        </w:rPr>
      </w:pPr>
    </w:p>
    <w:p>
      <w:pPr>
        <w:ind w:right="620" w:firstLine="255"/>
        <w:spacing w:after="0" w:line="287" w:lineRule="auto"/>
        <w:rPr>
          <w:sz w:val="20"/>
          <w:szCs w:val="20"/>
          <w:color w:val="auto"/>
        </w:rPr>
      </w:pPr>
      <w:r>
        <w:rPr>
          <w:rFonts w:ascii="Times New Roman" w:cs="Times New Roman" w:eastAsia="Times New Roman" w:hAnsi="Times New Roman"/>
          <w:sz w:val="14"/>
          <w:szCs w:val="14"/>
          <w:color w:val="auto"/>
        </w:rPr>
        <w:t>Additionally, some customers and third parties have asserted claims or publicly threatened litigation against the Company. The Company has also received inquiries from governmental authorities and other third parties related to the July 19 Incident. The Company is cooperating and providing information in connection with these inquiries.</w:t>
      </w:r>
    </w:p>
    <w:p>
      <w:pPr>
        <w:spacing w:after="0" w:line="124"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early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The Company expects to incur significant legal and professional services and other expenses associated with the July 19 Incident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Amounts accrued and expenses incurred, net of insurance receivable recorded, relating to the July 19 Incident during the three months ended October 31, 2024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71"/>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31, 2024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4,291</w:t>
            </w:r>
          </w:p>
        </w:tc>
      </w:tr>
      <w:tr>
        <w:trPr>
          <w:trHeight w:val="180"/>
        </w:trPr>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Expenses incurred, net of insurance receivable recorded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33,922</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cash received</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(16,404)</w:t>
            </w:r>
          </w:p>
        </w:tc>
      </w:tr>
      <w:tr>
        <w:trPr>
          <w:trHeight w:val="171"/>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31,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21,809</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Amounts accrued and expenses incurred, net of insurance receivable recorded, relating to the July 19 Incident during the nine months ended October 31, 2024 were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171"/>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31, 2024</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978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Expenses incurred, net of insurance receivable recorded </w:t>
            </w:r>
            <w:r>
              <w:rPr>
                <w:rFonts w:ascii="Times New Roman" w:cs="Times New Roman" w:eastAsia="Times New Roman" w:hAnsi="Times New Roman"/>
                <w:sz w:val="18"/>
                <w:szCs w:val="18"/>
                <w:color w:val="auto"/>
                <w:vertAlign w:val="superscript"/>
              </w:rPr>
              <w:t>(1)</w:t>
            </w:r>
          </w:p>
        </w:tc>
        <w:tc>
          <w:tcPr>
            <w:tcW w:w="2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39,054</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Payments made/ cash received</w:t>
            </w:r>
          </w:p>
        </w:tc>
        <w:tc>
          <w:tcPr>
            <w:tcW w:w="2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(17,245)</w:t>
            </w:r>
          </w:p>
        </w:tc>
      </w:tr>
      <w:tr>
        <w:trPr>
          <w:trHeight w:val="171"/>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October 31, 2024</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21,809</w:t>
            </w:r>
          </w:p>
        </w:tc>
      </w:tr>
      <w:tr>
        <w:trPr>
          <w:trHeight w:val="20"/>
        </w:trPr>
        <w:tc>
          <w:tcPr>
            <w:tcW w:w="9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60" w:right="240" w:hanging="255"/>
        <w:spacing w:after="0" w:line="259" w:lineRule="auto"/>
        <w:tabs>
          <w:tab w:leader="none" w:pos="279"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These expenses were included in the Company’s condensed consolidated statements of operations as sales and marketing expenses, research and development expenses, and general and administrative expenses. Accruals were recorded in accrued expenses in the Company’s condensed consolidated balance sheets. Insurance receivable was recorded in prepaid expenses and other current assets in the Company's condensed consolidated balance sheets.</w:t>
      </w:r>
    </w:p>
    <w:p>
      <w:pPr>
        <w:spacing w:after="0" w:line="136"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b w:val="1"/>
          <w:bCs w:val="1"/>
          <w:i w:val="1"/>
          <w:iCs w:val="1"/>
          <w:color w:val="auto"/>
        </w:rPr>
        <w:t>Other Legal Proceedings</w:t>
      </w:r>
    </w:p>
    <w:p>
      <w:pPr>
        <w:spacing w:after="0" w:line="18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 and a permanent injunction. In September 2022, Webroot amended its complaint to assert six additional patents. In November 2023, CrowdStrike, Inc. entered into an agreement that provided for, among other things, the settlement and dismissal of the parties’ claims and filed for dismissal. The amount attributable to the settlement was not material.</w:t>
      </w:r>
    </w:p>
    <w:p>
      <w:pPr>
        <w:spacing w:after="0" w:line="143"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condensed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Purchase Obligations</w:t>
      </w:r>
    </w:p>
    <w:p>
      <w:pPr>
        <w:spacing w:after="0" w:line="181"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In the normal course of business, the Company enters into non-cancellable purchase commitments with various parties to purchase products and services such as data center capacity, advertising, technology, equipment, office renovations, corporate events, and consulting services. A summary of non-cancellable purchase obligations in excess of one year as of October 31, 2024, with expected date of payment is as follows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8"/>
        </w:trPr>
        <w:tc>
          <w:tcPr>
            <w:tcW w:w="97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Commitments</w:t>
            </w:r>
          </w:p>
        </w:tc>
      </w:tr>
      <w:tr>
        <w:trPr>
          <w:trHeight w:val="17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2025 (remaining three months)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121,148</w:t>
            </w:r>
          </w:p>
        </w:tc>
      </w:tr>
      <w:tr>
        <w:trPr>
          <w:trHeight w:val="18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2026</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548,720</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2027</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542,639</w:t>
            </w:r>
          </w:p>
        </w:tc>
      </w:tr>
      <w:tr>
        <w:trPr>
          <w:trHeight w:val="180"/>
        </w:trPr>
        <w:tc>
          <w:tcPr>
            <w:tcW w:w="9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Fiscal 2028</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544,780</w:t>
            </w:r>
          </w:p>
        </w:tc>
      </w:tr>
      <w:tr>
        <w:trPr>
          <w:trHeight w:val="18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Fiscal 2029</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545,831</w:t>
            </w:r>
          </w:p>
        </w:tc>
      </w:tr>
      <w:tr>
        <w:trPr>
          <w:trHeight w:val="18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493,489</w:t>
            </w:r>
          </w:p>
        </w:tc>
      </w:tr>
      <w:tr>
        <w:trPr>
          <w:trHeight w:val="196"/>
        </w:trPr>
        <w:tc>
          <w:tcPr>
            <w:tcW w:w="9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purchase commitments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2,796,607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Unfunded Loan Commitments</w:t>
      </w:r>
    </w:p>
    <w:p>
      <w:pPr>
        <w:spacing w:after="0" w:line="181"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cancellable by the Company. As of October 31, 2024, the Company had non-cancellable unfunded commitments totaling approximately $49.3 million.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Warranties and Indemnification</w:t>
      </w:r>
    </w:p>
    <w:p>
      <w:pPr>
        <w:spacing w:after="0" w:line="181" w:lineRule="exact"/>
        <w:rPr>
          <w:sz w:val="20"/>
          <w:szCs w:val="20"/>
          <w:color w:val="auto"/>
        </w:rPr>
      </w:pPr>
    </w:p>
    <w:p>
      <w:pPr>
        <w:ind w:right="160" w:firstLine="255"/>
        <w:spacing w:after="0" w:line="258" w:lineRule="auto"/>
        <w:rPr>
          <w:sz w:val="20"/>
          <w:szCs w:val="20"/>
          <w:color w:val="auto"/>
        </w:rPr>
      </w:pPr>
      <w:r>
        <w:rPr>
          <w:rFonts w:ascii="Times New Roman" w:cs="Times New Roman" w:eastAsia="Times New Roman" w:hAnsi="Times New Roman"/>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condensed consolidated financial statements as of October 31, 2024 or January 31, 2024.</w:t>
      </w:r>
    </w:p>
    <w:p>
      <w:pPr>
        <w:spacing w:after="0" w:line="147" w:lineRule="exact"/>
        <w:rPr>
          <w:sz w:val="20"/>
          <w:szCs w:val="20"/>
          <w:color w:val="auto"/>
        </w:rPr>
      </w:pPr>
    </w:p>
    <w:p>
      <w:pPr>
        <w:ind w:right="80" w:firstLine="255"/>
        <w:spacing w:after="0" w:line="259" w:lineRule="auto"/>
        <w:rPr>
          <w:sz w:val="20"/>
          <w:szCs w:val="20"/>
          <w:color w:val="auto"/>
        </w:rPr>
      </w:pPr>
      <w:r>
        <w:rPr>
          <w:rFonts w:ascii="Times New Roman" w:cs="Times New Roman" w:eastAsia="Times New Roman" w:hAnsi="Times New Roman"/>
          <w:sz w:val="14"/>
          <w:szCs w:val="14"/>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October 31, 2024 or January 31, 2024.</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right="10200" w:hanging="255"/>
        <w:spacing w:after="0" w:line="507" w:lineRule="auto"/>
        <w:tabs>
          <w:tab w:leader="none" w:pos="147"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Acquisitions Flow Security</w:t>
      </w:r>
    </w:p>
    <w:p>
      <w:pPr>
        <w:ind w:left="260"/>
        <w:spacing w:after="0"/>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March 26, 2024, the Company acquired 100% of the equity interest of Flow Security Ltd. (“Flow Security”), a leading provider of data security solutions.</w:t>
      </w:r>
    </w:p>
    <w:p>
      <w:pPr>
        <w:spacing w:after="0" w:line="179" w:lineRule="exact"/>
        <w:rPr>
          <w:sz w:val="20"/>
          <w:szCs w:val="20"/>
          <w:color w:val="auto"/>
        </w:rPr>
      </w:pPr>
    </w:p>
    <w:p>
      <w:pPr>
        <w:ind w:right="140" w:firstLine="255"/>
        <w:spacing w:after="0" w:line="259" w:lineRule="auto"/>
        <w:rPr>
          <w:sz w:val="20"/>
          <w:szCs w:val="20"/>
          <w:color w:val="auto"/>
        </w:rPr>
      </w:pPr>
      <w:r>
        <w:rPr>
          <w:rFonts w:ascii="Times New Roman" w:cs="Times New Roman" w:eastAsia="Times New Roman" w:hAnsi="Times New Roman"/>
          <w:sz w:val="14"/>
          <w:szCs w:val="14"/>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on a preliminary basis, subject to working capital adjustment and continuing management analysis,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146" w:lineRule="exact"/>
        <w:rPr>
          <w:sz w:val="20"/>
          <w:szCs w:val="20"/>
          <w:color w:val="auto"/>
        </w:rPr>
      </w:pPr>
    </w:p>
    <w:p>
      <w:pPr>
        <w:ind w:right="160" w:firstLine="255"/>
        <w:spacing w:after="0" w:line="261" w:lineRule="auto"/>
        <w:rPr>
          <w:sz w:val="20"/>
          <w:szCs w:val="20"/>
          <w:color w:val="auto"/>
        </w:rPr>
      </w:pPr>
      <w:r>
        <w:rPr>
          <w:rFonts w:ascii="Times New Roman" w:cs="Times New Roman" w:eastAsia="Times New Roman" w:hAnsi="Times New Roman"/>
          <w:sz w:val="14"/>
          <w:szCs w:val="14"/>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Class A common stock, subject to service-based vesting and other conditions. Further, the Company agreed to grant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43"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Acquisition costs incurred during the nine months ended October 31, 2024 were $3.0 million and are primarily recorded in general and administrative expenses on the Company’s condensed consolidated statements of operations.</w:t>
      </w:r>
    </w:p>
    <w:p>
      <w:pPr>
        <w:spacing w:after="0" w:line="124"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acquisition have been included in the Company’s condensed consolidated financial statements from the date of acquisition. The acquisition of Flow Security did not have a material impact on the Company’s condensed consolidated financial statements, and therefore historical and pro forma disclosures have not been presented.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Bionic</w:t>
      </w:r>
    </w:p>
    <w:p>
      <w:pPr>
        <w:spacing w:after="0" w:line="181"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On September 28, 2023, the Company acquired 100% of the equity interest of Bionic Stork, Ltd. (“Bionic”), a privately-held company that provides an Application Security Posture Management platform designed to proactively reduce and mitigate security, data privacy, and operational risks by analyzing application architecture and dependencies that run in production.</w:t>
      </w:r>
    </w:p>
    <w:p>
      <w:pPr>
        <w:spacing w:after="0" w:line="124"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The acquisition has been accounted for as a business combination. The total consideration transferred consisted of $239.0 million in cash, net of $25.7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to identified intangible assets, which include developed technology and customer relationships of $34.9 million, net tangible liabilities acquired of $2.7 million, and goodwill of $207.5 million, which was allocated to the Company’s one reporting unit and represents the excess of the purchase price over the fair value of net tangible and intangible assets acquired. The goodwill was primarily attributable to the assembled workforce of Bionic, planned growth in new markets, and synergies expected to be achieved from the integration of Bionic. Goodwill is not deductible for income tax purposes.</w:t>
      </w:r>
    </w:p>
    <w:p>
      <w:pPr>
        <w:spacing w:after="0" w:line="14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Per the terms of the share purchase agreement with Bionic, certain unvested stock options held by Bionic employees were canceled and exchanged for replacement stock options under the 2019 Plan. Additionally, certain shares of Bionic stock held by Bionic employees were exchanged for shares of the Company’s Class A common stock, subject to service-based vesting and other conditions. Further, the Company granted RSUs and PSUs under the 2019 Plan to certain continuing employees. The awards that are subject to continued service are recognized ratably as stock-based compensation expense over the requisite service period. The awards that are subject to both continued service and specified performance targets are recognized over the requisite service period when it is probable that the performance condition will be satisfied.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components of identifiable intangible assets acquired and their estimated useful lives as of the date of acquisition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0" w:type="dxa"/>
            <w:vAlign w:val="bottom"/>
          </w:tcPr>
          <w:p>
            <w:pPr>
              <w:spacing w:after="0"/>
              <w:rPr>
                <w:sz w:val="16"/>
                <w:szCs w:val="16"/>
                <w:color w:val="auto"/>
              </w:rPr>
            </w:pPr>
          </w:p>
        </w:tc>
        <w:tc>
          <w:tcPr>
            <w:tcW w:w="150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7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(in months)</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29,900</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5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intangible assets acquired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34,900</w:t>
            </w:r>
          </w:p>
        </w:tc>
        <w:tc>
          <w:tcPr>
            <w:tcW w:w="6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CCEEFF"/>
            </w:tcBorders>
            <w:shd w:val="clear" w:color="auto" w:fill="CCEEFF"/>
          </w:tcPr>
          <w:p>
            <w:pPr>
              <w:spacing w:after="0"/>
              <w:rPr>
                <w:sz w:val="16"/>
                <w:szCs w:val="16"/>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Acquisition costs during the nine months ended October 31, 2024 were immaterial.</w:t>
      </w:r>
    </w:p>
    <w:p>
      <w:pPr>
        <w:spacing w:after="0" w:line="179" w:lineRule="exact"/>
        <w:rPr>
          <w:sz w:val="20"/>
          <w:szCs w:val="20"/>
          <w:color w:val="auto"/>
        </w:rPr>
      </w:pPr>
    </w:p>
    <w:p>
      <w:pPr>
        <w:jc w:val="both"/>
        <w:ind w:firstLine="255"/>
        <w:spacing w:after="0" w:line="287" w:lineRule="auto"/>
        <w:rPr>
          <w:sz w:val="20"/>
          <w:szCs w:val="20"/>
          <w:color w:val="auto"/>
        </w:rPr>
      </w:pPr>
      <w:r>
        <w:rPr>
          <w:rFonts w:ascii="Times New Roman" w:cs="Times New Roman" w:eastAsia="Times New Roman" w:hAnsi="Times New Roman"/>
          <w:sz w:val="14"/>
          <w:szCs w:val="14"/>
          <w:color w:val="auto"/>
        </w:rPr>
        <w:t>The results of operations for the acquisition have been included in the Company’s condensed consolidated financial statements from the date of acquisition. The acquisition of Bionic did not have a material impact on the Company’s condensed consolidated financial statements, and therefore historical and pro forma disclosures have not been presented.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10. Net Income (Loss) Per Share Attributable to Common Stockholders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PSUs, ESPP obligations, and founder holdbacks, and are computed using the treasury stock method. The effects of the outstanding stock options, RSUs, PSUs, Special PSUs, ESPP obligations, and founders holdbacks are excluded from the computation of the diluted net income per share in periods in which the effect would be anti-dilutive. Diluted net loss per share is the same as basic net loss per share for the three months ended October 31, 2024 because the effects of potentially dilutive items were antidilutive given the Company’s net loss position during the three months ended October 31, 2024.</w:t>
      </w:r>
    </w:p>
    <w:p>
      <w:pPr>
        <w:spacing w:after="0" w:line="14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per share attributable to CrowdStrike common stockholders are the same for shares of Class A and Class B common stock.</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the computation of basic and diluted net income (loss) per share attributable to CrowdStrike common stockholders (in thousands, except per share data):</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380" w:type="dxa"/>
            <w:vAlign w:val="bottom"/>
          </w:tcPr>
          <w:p>
            <w:pPr>
              <w:spacing w:after="0"/>
              <w:rPr>
                <w:sz w:val="16"/>
                <w:szCs w:val="16"/>
                <w:color w:val="auto"/>
              </w:rPr>
            </w:pPr>
          </w:p>
        </w:tc>
        <w:tc>
          <w:tcPr>
            <w:tcW w:w="2940" w:type="dxa"/>
            <w:vAlign w:val="bottom"/>
            <w:gridSpan w:val="4"/>
          </w:tcPr>
          <w:p>
            <w:pPr>
              <w:jc w:val="right"/>
              <w:ind w:right="67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0" w:type="dxa"/>
            <w:vAlign w:val="bottom"/>
          </w:tcPr>
          <w:p>
            <w:pPr>
              <w:spacing w:after="0"/>
              <w:rPr>
                <w:sz w:val="1"/>
                <w:szCs w:val="1"/>
                <w:color w:val="auto"/>
              </w:rPr>
            </w:pPr>
          </w:p>
        </w:tc>
      </w:tr>
      <w:tr>
        <w:trPr>
          <w:trHeight w:val="176"/>
        </w:trPr>
        <w:tc>
          <w:tcPr>
            <w:tcW w:w="454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Numerator:</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 attributable to CrowdStrike</w:t>
            </w:r>
          </w:p>
        </w:tc>
        <w:tc>
          <w:tcPr>
            <w:tcW w:w="380" w:type="dxa"/>
            <w:vAlign w:val="bottom"/>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(16,822)</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26,665</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73,011</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35,628</w:t>
            </w:r>
          </w:p>
        </w:tc>
        <w:tc>
          <w:tcPr>
            <w:tcW w:w="0" w:type="dxa"/>
            <w:vAlign w:val="bottom"/>
          </w:tcPr>
          <w:p>
            <w:pPr>
              <w:spacing w:after="0"/>
              <w:rPr>
                <w:sz w:val="1"/>
                <w:szCs w:val="1"/>
                <w:color w:val="auto"/>
              </w:rPr>
            </w:pP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Denominator:</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54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Weighted-average shares used in computing net income (loss) per share</w:t>
            </w: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attributable to CrowdStrike common stockholders, basic</w:t>
            </w: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245,536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239,297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244,017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237,890</w:t>
            </w:r>
          </w:p>
        </w:tc>
        <w:tc>
          <w:tcPr>
            <w:tcW w:w="0" w:type="dxa"/>
            <w:vAlign w:val="bottom"/>
          </w:tcPr>
          <w:p>
            <w:pPr>
              <w:spacing w:after="0"/>
              <w:rPr>
                <w:sz w:val="1"/>
                <w:szCs w:val="1"/>
                <w:color w:val="auto"/>
              </w:rPr>
            </w:pPr>
          </w:p>
        </w:tc>
      </w:tr>
      <w:tr>
        <w:trPr>
          <w:trHeight w:val="181"/>
        </w:trPr>
        <w:tc>
          <w:tcPr>
            <w:tcW w:w="4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Dilutive effect of common stock equivalents</w:t>
            </w:r>
          </w:p>
        </w:tc>
        <w:tc>
          <w:tcPr>
            <w:tcW w:w="38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4,306</w:t>
            </w:r>
          </w:p>
        </w:tc>
        <w:tc>
          <w:tcPr>
            <w:tcW w:w="0" w:type="dxa"/>
            <w:vAlign w:val="bottom"/>
          </w:tcPr>
          <w:p>
            <w:pPr>
              <w:spacing w:after="0"/>
              <w:rPr>
                <w:sz w:val="1"/>
                <w:szCs w:val="1"/>
                <w:color w:val="auto"/>
              </w:rPr>
            </w:pPr>
          </w:p>
        </w:tc>
      </w:tr>
      <w:tr>
        <w:trPr>
          <w:trHeight w:val="118"/>
        </w:trPr>
        <w:tc>
          <w:tcPr>
            <w:tcW w:w="4540" w:type="dxa"/>
            <w:vAlign w:val="bottom"/>
          </w:tcPr>
          <w:p>
            <w:pPr>
              <w:ind w:left="100"/>
              <w:spacing w:after="0" w:line="118" w:lineRule="exact"/>
              <w:rPr>
                <w:sz w:val="20"/>
                <w:szCs w:val="20"/>
                <w:color w:val="auto"/>
              </w:rPr>
            </w:pPr>
            <w:r>
              <w:rPr>
                <w:rFonts w:ascii="Times New Roman" w:cs="Times New Roman" w:eastAsia="Times New Roman" w:hAnsi="Times New Roman"/>
                <w:sz w:val="13"/>
                <w:szCs w:val="13"/>
                <w:color w:val="auto"/>
              </w:rPr>
              <w:t>Weighted-average shares used in computing net income (loss) per share</w:t>
            </w: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245,536</w:t>
            </w:r>
          </w:p>
        </w:tc>
        <w:tc>
          <w:tcPr>
            <w:tcW w:w="1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243,799</w:t>
            </w: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250,747</w:t>
            </w:r>
          </w:p>
        </w:tc>
        <w:tc>
          <w:tcPr>
            <w:tcW w:w="8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242,196</w:t>
            </w:r>
          </w:p>
        </w:tc>
        <w:tc>
          <w:tcPr>
            <w:tcW w:w="0" w:type="dxa"/>
            <w:vAlign w:val="bottom"/>
          </w:tcPr>
          <w:p>
            <w:pPr>
              <w:spacing w:after="0"/>
              <w:rPr>
                <w:sz w:val="1"/>
                <w:szCs w:val="1"/>
                <w:color w:val="auto"/>
              </w:rPr>
            </w:pPr>
          </w:p>
        </w:tc>
      </w:tr>
      <w:tr>
        <w:trPr>
          <w:trHeight w:val="170"/>
        </w:trPr>
        <w:tc>
          <w:tcPr>
            <w:tcW w:w="4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attributable to CrowdStrike common stockholders, dilutive</w:t>
            </w: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540" w:type="dxa"/>
            <w:vAlign w:val="bottom"/>
            <w:shd w:val="clear" w:color="auto" w:fill="CCEEFF"/>
          </w:tcPr>
          <w:p>
            <w:pPr>
              <w:ind w:left="20"/>
              <w:spacing w:after="0" w:line="100" w:lineRule="exact"/>
              <w:rPr>
                <w:sz w:val="20"/>
                <w:szCs w:val="20"/>
                <w:color w:val="auto"/>
              </w:rPr>
            </w:pPr>
            <w:r>
              <w:rPr>
                <w:rFonts w:ascii="Times New Roman" w:cs="Times New Roman" w:eastAsia="Times New Roman" w:hAnsi="Times New Roman"/>
                <w:sz w:val="11"/>
                <w:szCs w:val="11"/>
                <w:color w:val="auto"/>
              </w:rPr>
              <w:t>Net income (loss) per share attributable to CrowdStrike common stockholders,</w:t>
            </w:r>
          </w:p>
        </w:tc>
        <w:tc>
          <w:tcPr>
            <w:tcW w:w="380" w:type="dxa"/>
            <w:vAlign w:val="bottom"/>
            <w:vMerge w:val="restart"/>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80" w:type="dxa"/>
            <w:vAlign w:val="bottom"/>
            <w:shd w:val="clear" w:color="auto" w:fill="CCEEFF"/>
          </w:tcPr>
          <w:p>
            <w:pPr>
              <w:spacing w:after="0"/>
              <w:rPr>
                <w:sz w:val="8"/>
                <w:szCs w:val="8"/>
                <w:color w:val="auto"/>
              </w:rPr>
            </w:pPr>
          </w:p>
        </w:tc>
        <w:tc>
          <w:tcPr>
            <w:tcW w:w="380" w:type="dxa"/>
            <w:vAlign w:val="bottom"/>
            <w:vMerge w:val="restart"/>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3"/>
                <w:szCs w:val="13"/>
                <w:color w:val="auto"/>
              </w:rPr>
              <w:t>Net income (loss) per share attributable to CrowdStrike common stockholders,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4540" w:type="dxa"/>
            <w:vAlign w:val="bottom"/>
            <w:vMerge w:val="continue"/>
          </w:tcPr>
          <w:p>
            <w:pPr>
              <w:spacing w:after="0"/>
              <w:rPr>
                <w:sz w:val="6"/>
                <w:szCs w:val="6"/>
                <w:color w:val="auto"/>
              </w:rPr>
            </w:pPr>
          </w:p>
        </w:tc>
        <w:tc>
          <w:tcPr>
            <w:tcW w:w="38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6"/>
                <w:szCs w:val="6"/>
                <w:color w:val="auto"/>
              </w:rPr>
            </w:pPr>
          </w:p>
        </w:tc>
        <w:tc>
          <w:tcPr>
            <w:tcW w:w="3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80" w:type="dxa"/>
            <w:vAlign w:val="bottom"/>
          </w:tcPr>
          <w:p>
            <w:pPr>
              <w:spacing w:after="0"/>
              <w:rPr>
                <w:sz w:val="6"/>
                <w:szCs w:val="6"/>
                <w:color w:val="auto"/>
              </w:rPr>
            </w:pPr>
          </w:p>
        </w:tc>
        <w:tc>
          <w:tcPr>
            <w:tcW w:w="3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80" w:type="dxa"/>
            <w:vAlign w:val="bottom"/>
          </w:tcPr>
          <w:p>
            <w:pPr>
              <w:spacing w:after="0"/>
              <w:rPr>
                <w:sz w:val="6"/>
                <w:szCs w:val="6"/>
                <w:color w:val="auto"/>
              </w:rPr>
            </w:pPr>
          </w:p>
        </w:tc>
        <w:tc>
          <w:tcPr>
            <w:tcW w:w="380" w:type="dxa"/>
            <w:vAlign w:val="bottom"/>
            <w:vMerge w:val="restart"/>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0" w:type="dxa"/>
            <w:vAlign w:val="bottom"/>
          </w:tcPr>
          <w:p>
            <w:pPr>
              <w:spacing w:after="0"/>
              <w:rPr>
                <w:sz w:val="1"/>
                <w:szCs w:val="1"/>
                <w:color w:val="auto"/>
              </w:rPr>
            </w:pPr>
          </w:p>
        </w:tc>
      </w:tr>
      <w:tr>
        <w:trPr>
          <w:trHeight w:val="175"/>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3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5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40" w:firstLine="255"/>
        <w:spacing w:after="0" w:line="287" w:lineRule="auto"/>
        <w:rPr>
          <w:sz w:val="20"/>
          <w:szCs w:val="20"/>
          <w:color w:val="auto"/>
        </w:rPr>
      </w:pPr>
      <w:r>
        <w:rPr>
          <w:rFonts w:ascii="Times New Roman" w:cs="Times New Roman" w:eastAsia="Times New Roman" w:hAnsi="Times New Roman"/>
          <w:sz w:val="14"/>
          <w:szCs w:val="14"/>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28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320" w:type="dxa"/>
            <w:vAlign w:val="bottom"/>
            <w:tcBorders>
              <w:bottom w:val="single" w:sz="8" w:color="auto"/>
            </w:tcBorders>
            <w:gridSpan w:val="3"/>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r>
      <w:tr>
        <w:trPr>
          <w:trHeight w:val="171"/>
        </w:trPr>
        <w:tc>
          <w:tcPr>
            <w:tcW w:w="4540" w:type="dxa"/>
            <w:vAlign w:val="bottom"/>
          </w:tcPr>
          <w:p>
            <w:pPr>
              <w:spacing w:after="0"/>
              <w:rPr>
                <w:sz w:val="14"/>
                <w:szCs w:val="14"/>
                <w:color w:val="auto"/>
              </w:rPr>
            </w:pPr>
          </w:p>
        </w:tc>
        <w:tc>
          <w:tcPr>
            <w:tcW w:w="108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620" w:type="dxa"/>
            <w:vAlign w:val="bottom"/>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RSUs and PSUs subject to future vesting</w:t>
            </w: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r>
      <w:tr>
        <w:trPr>
          <w:trHeight w:val="18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Shares of common stock issuable from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1,309</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 purchase rights under the Employee Stock Purchase Plan</w:t>
            </w: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r>
      <w:tr>
        <w:trPr>
          <w:trHeight w:val="171"/>
        </w:trPr>
        <w:tc>
          <w:tcPr>
            <w:tcW w:w="56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Potential common shares excluded from diluted net income per share</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12,716</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w:t>
            </w:r>
          </w:p>
        </w:tc>
      </w:tr>
      <w:tr>
        <w:trPr>
          <w:trHeight w:val="20"/>
        </w:trPr>
        <w:tc>
          <w:tcPr>
            <w:tcW w:w="45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The above table excludes founder holdbacks related to business combinations where a variable number of shares will be issued upon vesting to settle a fixed monetary amount of $19.3 million, contingent upon continued employment with the Company. The share price will be determined based on the Company’s average stock price or the volume weighted average stock price five days prior to each vesting date. During the three and nine months ended October 31, 2024, 3,316 shares and 8,356 shares, respectively, were issued to settle founder holdbacks at a weighted average price of $268.05 per share and $319.12 per share, respectively.</w:t>
      </w:r>
    </w:p>
    <w:p>
      <w:pPr>
        <w:spacing w:after="0" w:line="140"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above table also excludes 482,605 and 503,669 weighted average shares of in progress PSUs and Special PSUs where pre-defined targets have not yet been achieved during the three and nine months ended October 31, 2024,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11. Subsequent Events</w:t>
      </w:r>
    </w:p>
    <w:p>
      <w:pPr>
        <w:spacing w:after="0" w:line="181"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On November 5, 2024, the Company entered into an agreement to acquire all of the ownership interests in A.S. Adaptive Shield Ltd. (“Adaptive Shield”), a SaaS-based cybersecurity company that offers customers comprehensive SaaS security posture management (“SSPM”) solutions. The acquisition of Adaptive Shield closed on November 20, 2024 and the total consideration transferred consisted of $213.8 million in cash, net of $13.8 million of cash acquired, and $0.7 million representing the fair value of replacement equity awards attributable to pre-acquisition service, subject to customary net working capital and purchase price adjustments. The Company is in the process of finalizing the intangible assets valuation and purchase price allocation.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and our Annual Report on Form 10-K for the year ended January 31, 2024, filed with the SEC.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described under the heading Special Note Regarding Forward-Looking Statements following the Table of Contents of this Quarterly Report on Form 10-Q. You should review the disclosure under Part II, Item 1A, “Risk Factors” in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CrowdStrike Holdings, Inc. is a global cybersecurity leader that delivers cybersecurity’s AI-native platform for the XDR era, purpose-built to stop breaches. 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XDR platform – the first, true cloud-native unified platform built with AI at the core, capable of harnessing vast amounts of security and enterprise data to deliver highly modular solutions through a single lightweight agent.</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4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Our Go-To-Market Strategy</w:t>
      </w:r>
    </w:p>
    <w:p>
      <w:pPr>
        <w:spacing w:after="0" w:line="18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3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40"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124"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Certain Factors Affecting Our Performance</w:t>
      </w:r>
    </w:p>
    <w:p>
      <w:pPr>
        <w:spacing w:after="0" w:line="179" w:lineRule="exact"/>
        <w:rPr>
          <w:sz w:val="20"/>
          <w:szCs w:val="20"/>
          <w:color w:val="auto"/>
        </w:rPr>
      </w:pPr>
    </w:p>
    <w:p>
      <w:pPr>
        <w:ind w:right="4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Adoption of Our Solutions. </w:t>
      </w:r>
      <w:r>
        <w:rPr>
          <w:rFonts w:ascii="Times New Roman" w:cs="Times New Roman" w:eastAsia="Times New Roman" w:hAnsi="Times New Roman"/>
          <w:sz w:val="14"/>
          <w:szCs w:val="14"/>
          <w:color w:val="auto"/>
        </w:rPr>
        <w:t>We believe our future success depends in large part on the growth in the market for cloud-based SaaS-delivered endpoint security solutions. Many organizations have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34" w:lineRule="exact"/>
        <w:rPr>
          <w:sz w:val="20"/>
          <w:szCs w:val="20"/>
          <w:color w:val="auto"/>
        </w:rPr>
      </w:pPr>
    </w:p>
    <w:p>
      <w:pPr>
        <w:ind w:right="120" w:firstLine="255"/>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New Customer Acquisition. </w:t>
      </w:r>
      <w:r>
        <w:rPr>
          <w:rFonts w:ascii="Times New Roman" w:cs="Times New Roman" w:eastAsia="Times New Roman" w:hAnsi="Times New Roman"/>
          <w:sz w:val="14"/>
          <w:szCs w:val="14"/>
          <w:color w:val="auto"/>
        </w:rPr>
        <w:t>Our future growth depends in large part on our ability to acquire new customers. If our efforts to attract new customers are not successful, our revenue and rate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40" w:lineRule="exact"/>
        <w:rPr>
          <w:sz w:val="20"/>
          <w:szCs w:val="20"/>
          <w:color w:val="auto"/>
        </w:rPr>
      </w:pPr>
    </w:p>
    <w:p>
      <w:pPr>
        <w:ind w:right="180" w:firstLine="255"/>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Maintain Customer Retention and Increase Sales. </w:t>
      </w:r>
      <w:r>
        <w:rPr>
          <w:rFonts w:ascii="Times New Roman" w:cs="Times New Roman" w:eastAsia="Times New Roman" w:hAnsi="Times New Roman"/>
          <w:sz w:val="14"/>
          <w:szCs w:val="14"/>
          <w:color w:val="auto"/>
        </w:rPr>
        <w:t>Our ability to increase revenue depends in large part on our ability to retain our existing customers and increase the ARR of their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34"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 in Growth. </w:t>
      </w:r>
      <w:r>
        <w:rPr>
          <w:rFonts w:ascii="Times New Roman" w:cs="Times New Roman" w:eastAsia="Times New Roman" w:hAnsi="Times New Roman"/>
          <w:sz w:val="14"/>
          <w:szCs w:val="14"/>
          <w:color w:val="auto"/>
        </w:rPr>
        <w:t>We believe that our market opportunity is large and requires us to continue to invest significantly in sales and marketing efforts to further grow our customer base, both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14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July 19 Incident</w:t>
      </w:r>
      <w:r>
        <w:rPr>
          <w:rFonts w:ascii="Times New Roman" w:cs="Times New Roman" w:eastAsia="Times New Roman" w:hAnsi="Times New Roman"/>
          <w:sz w:val="14"/>
          <w:szCs w:val="14"/>
          <w:color w:val="auto"/>
        </w:rPr>
        <w:t>. On July 19, 2024, we released a content configuration update for our Falcon sensor that resulted in system crashes for certain Windows systems (the “July 19 Incident”).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result of the July 19 Incident, we are subject to lawsuits, claims and inquiries as described in Note 8, “Commitments and Contingencies,” to our condensed consolidated financial statements in Part I, Item 1 of this Quarterly Report on Form 10-Q.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not experienced high levels of customer churn following the incident, we have experienced delays in creating sales opportunities and longer sales cycles, including delays in customer purchasing decisions. We expect sales cycles to continue to be elongated in future periods. In addition, because our customers typically sign contracts with terms of twelve months or longer, customer churn and any corresponding impact to our key metrics and revenue may occur in future periods. Customer commitment packages introduced following the July 19 Incident may include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Key Metrics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monitor the following key metrics to help us evaluate our business, identify trends affecting our business, formulate business plans, and make strategic decisions.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 (“ARR”)</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sets forth our ARR as of the dates presented (dollars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As of October 31,</w:t>
            </w:r>
          </w:p>
        </w:tc>
        <w:tc>
          <w:tcPr>
            <w:tcW w:w="1040" w:type="dxa"/>
            <w:vAlign w:val="bottom"/>
            <w:tcBorders>
              <w:bottom w:val="single" w:sz="8" w:color="auto"/>
            </w:tcBorders>
          </w:tcPr>
          <w:p>
            <w:pPr>
              <w:spacing w:after="0"/>
              <w:rPr>
                <w:sz w:val="16"/>
                <w:szCs w:val="16"/>
                <w:color w:val="auto"/>
              </w:rPr>
            </w:pPr>
          </w:p>
        </w:tc>
      </w:tr>
      <w:tr>
        <w:trPr>
          <w:trHeight w:val="171"/>
        </w:trPr>
        <w:tc>
          <w:tcPr>
            <w:tcW w:w="79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recurring revenue</w:t>
            </w:r>
          </w:p>
        </w:tc>
        <w:tc>
          <w:tcPr>
            <w:tcW w:w="36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4,017,540</w:t>
            </w: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0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3,153,243</w:t>
            </w:r>
          </w:p>
        </w:tc>
      </w:tr>
      <w:tr>
        <w:trPr>
          <w:trHeight w:val="184"/>
        </w:trPr>
        <w:tc>
          <w:tcPr>
            <w:tcW w:w="7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Year-over-year growth</w:t>
            </w:r>
          </w:p>
        </w:tc>
        <w:tc>
          <w:tcPr>
            <w:tcW w:w="3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35 %</w:t>
            </w:r>
          </w:p>
        </w:tc>
      </w:tr>
    </w:tbl>
    <w:p>
      <w:pPr>
        <w:spacing w:after="0" w:line="226"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ARR grew to $4.0 billion as of October 31, 2024, of which $153.0 million and $582.3 million was net new ARR added for the three and nine months ended October 31, 2024, respectively. ARR grew to $3.2 billion as of October 31, 2023, of which $223.1 million and $593.5 million was net new ARR added for the three and nine months ended October 31, 2023, respectively.</w:t>
      </w:r>
    </w:p>
    <w:p>
      <w:pPr>
        <w:spacing w:after="0" w:line="124"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While we normally recognize ARR contraction in the quarter a transaction is subject to renew, in the third quarter of fiscal 2025, we excluded approximately $26.0 million from ARR after a distributor in the federal space provided notice of its intention to exercise transferability rights with respect to a transaction, and we concluded that the transaction would not recur.</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Dollar-Based Net Retention Rate</w:t>
      </w:r>
    </w:p>
    <w:p>
      <w:pPr>
        <w:spacing w:after="0" w:line="181" w:lineRule="exact"/>
        <w:rPr>
          <w:sz w:val="20"/>
          <w:szCs w:val="20"/>
          <w:color w:val="auto"/>
        </w:rPr>
      </w:pPr>
    </w:p>
    <w:p>
      <w:pPr>
        <w:ind w:right="100" w:firstLine="255"/>
        <w:spacing w:after="0" w:line="257" w:lineRule="auto"/>
        <w:rPr>
          <w:sz w:val="20"/>
          <w:szCs w:val="20"/>
          <w:color w:val="auto"/>
        </w:rPr>
      </w:pPr>
      <w:r>
        <w:rPr>
          <w:rFonts w:ascii="Times New Roman" w:cs="Times New Roman" w:eastAsia="Times New Roman" w:hAnsi="Times New Roman"/>
          <w:sz w:val="14"/>
          <w:szCs w:val="14"/>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4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Our dollar-based net retention rate was 115% as of October 31, 2024. Our dollar-based net retention rate can fluctuate from period to period due to large customer contracts in a given period and ongoing increased contraction associated with our customer commitment packages, which may reduce our dollar-based net retention rate in subsequent periods.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7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Subscription Revenue. </w:t>
      </w:r>
      <w:r>
        <w:rPr>
          <w:rFonts w:ascii="Times New Roman" w:cs="Times New Roman" w:eastAsia="Times New Roman" w:hAnsi="Times New Roman"/>
          <w:sz w:val="14"/>
          <w:szCs w:val="14"/>
          <w:color w:val="auto"/>
        </w:rPr>
        <w:t>Subscription revenue primarily consists of subscription fees for our Falcon platform and additional cloud modules that are supported by our cloud-based platform.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40"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Revenue. </w:t>
      </w:r>
      <w:r>
        <w:rPr>
          <w:rFonts w:ascii="Times New Roman" w:cs="Times New Roman" w:eastAsia="Times New Roman" w:hAnsi="Times New Roman"/>
          <w:sz w:val="14"/>
          <w:szCs w:val="14"/>
          <w:color w:val="auto"/>
        </w:rPr>
        <w:t>Professional services revenue includes incident response and proactive services, forensic and malware analysis, and attribution analysis. Professional services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79" w:lineRule="exact"/>
        <w:rPr>
          <w:sz w:val="20"/>
          <w:szCs w:val="20"/>
          <w:color w:val="auto"/>
        </w:rPr>
      </w:pPr>
    </w:p>
    <w:p>
      <w:pPr>
        <w:ind w:right="6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Subscription Cost of Revenue. </w:t>
      </w:r>
      <w:r>
        <w:rPr>
          <w:rFonts w:ascii="Times New Roman" w:cs="Times New Roman" w:eastAsia="Times New Roman" w:hAnsi="Times New Roman"/>
          <w:sz w:val="14"/>
          <w:szCs w:val="14"/>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36"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38" w:lineRule="exact"/>
        <w:rPr>
          <w:sz w:val="20"/>
          <w:szCs w:val="20"/>
          <w:color w:val="auto"/>
        </w:rPr>
      </w:pPr>
    </w:p>
    <w:p>
      <w:pPr>
        <w:ind w:right="38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Professional Services Cost of Revenue. </w:t>
      </w:r>
      <w:r>
        <w:rPr>
          <w:rFonts w:ascii="Times New Roman" w:cs="Times New Roman" w:eastAsia="Times New Roman" w:hAnsi="Times New Roman"/>
          <w:sz w:val="14"/>
          <w:szCs w:val="14"/>
          <w:color w:val="auto"/>
        </w:rPr>
        <w:t>Professional services cost of revenue consists primarily of employee-related costs, such as salaries and bonuses, stock-based compensation expense,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consulting expense, and an allocated portion of facilities and administrative costs.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81"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4"/>
          <w:szCs w:val="14"/>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firstLine="255"/>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Sales and Marketing. </w:t>
      </w:r>
      <w:r>
        <w:rPr>
          <w:rFonts w:ascii="Times New Roman" w:cs="Times New Roman" w:eastAsia="Times New Roman" w:hAnsi="Times New Roman"/>
          <w:sz w:val="14"/>
          <w:szCs w:val="14"/>
          <w:color w:val="auto"/>
        </w:rPr>
        <w:t>Sales and marketing expenses primarily consist of employee-related expenses such as salaries, commissions, and bonuses. Sales and marketing expenses also include stock-based compensation; expenses related to our marketing programs;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42" w:lineRule="exact"/>
        <w:rPr>
          <w:sz w:val="20"/>
          <w:szCs w:val="20"/>
          <w:color w:val="auto"/>
        </w:rPr>
      </w:pPr>
    </w:p>
    <w:p>
      <w:pPr>
        <w:jc w:val="both"/>
        <w:ind w:right="100" w:firstLine="255"/>
        <w:spacing w:after="0" w:line="270" w:lineRule="auto"/>
        <w:rPr>
          <w:sz w:val="20"/>
          <w:szCs w:val="20"/>
          <w:color w:val="auto"/>
        </w:rPr>
      </w:pPr>
      <w:r>
        <w:rPr>
          <w:rFonts w:ascii="Times New Roman" w:cs="Times New Roman" w:eastAsia="Times New Roman" w:hAnsi="Times New Roman"/>
          <w:sz w:val="14"/>
          <w:szCs w:val="14"/>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spacing w:after="0" w:line="134" w:lineRule="exact"/>
        <w:rPr>
          <w:sz w:val="20"/>
          <w:szCs w:val="20"/>
          <w:color w:val="auto"/>
        </w:rPr>
      </w:pPr>
    </w:p>
    <w:p>
      <w:pPr>
        <w:jc w:val="both"/>
        <w:ind w:right="3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Research and Development. </w:t>
      </w:r>
      <w:r>
        <w:rPr>
          <w:rFonts w:ascii="Times New Roman" w:cs="Times New Roman" w:eastAsia="Times New Roman" w:hAnsi="Times New Roman"/>
          <w:sz w:val="14"/>
          <w:szCs w:val="14"/>
          <w:color w:val="auto"/>
        </w:rPr>
        <w:t>Research and development expenses primarily consist of employee-related expenses such as salaries and bonuses; stock-based compensation; cloud hosting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36" w:lineRule="exact"/>
        <w:rPr>
          <w:sz w:val="20"/>
          <w:szCs w:val="20"/>
          <w:color w:val="auto"/>
        </w:rPr>
      </w:pPr>
    </w:p>
    <w:p>
      <w:pPr>
        <w:ind w:right="100" w:firstLine="255"/>
        <w:spacing w:after="0" w:line="270" w:lineRule="auto"/>
        <w:rPr>
          <w:sz w:val="20"/>
          <w:szCs w:val="20"/>
          <w:color w:val="auto"/>
        </w:rPr>
      </w:pPr>
      <w:r>
        <w:rPr>
          <w:rFonts w:ascii="Times New Roman" w:cs="Times New Roman" w:eastAsia="Times New Roman" w:hAnsi="Times New Roman"/>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spacing w:after="0" w:line="134" w:lineRule="exact"/>
        <w:rPr>
          <w:sz w:val="20"/>
          <w:szCs w:val="20"/>
          <w:color w:val="auto"/>
        </w:rPr>
      </w:pPr>
    </w:p>
    <w:p>
      <w:pPr>
        <w:ind w:right="120" w:firstLine="255"/>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consist of employee-related expenses such as salaries and bonuses; stock-based compensation; and related expenses for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w:t>
      </w:r>
    </w:p>
    <w:p>
      <w:pPr>
        <w:spacing w:after="0" w:line="136" w:lineRule="exact"/>
        <w:rPr>
          <w:sz w:val="20"/>
          <w:szCs w:val="20"/>
          <w:color w:val="auto"/>
        </w:rPr>
      </w:pPr>
    </w:p>
    <w:p>
      <w:pPr>
        <w:ind w:right="300" w:firstLine="255"/>
        <w:spacing w:after="0" w:line="287" w:lineRule="auto"/>
        <w:rPr>
          <w:sz w:val="20"/>
          <w:szCs w:val="20"/>
          <w:color w:val="auto"/>
        </w:rPr>
      </w:pPr>
      <w:r>
        <w:rPr>
          <w:rFonts w:ascii="Times New Roman" w:cs="Times New Roman" w:eastAsia="Times New Roman" w:hAnsi="Times New Roman"/>
          <w:sz w:val="14"/>
          <w:szCs w:val="14"/>
          <w:color w:val="auto"/>
        </w:rPr>
        <w:t>We expect general and administrative expenses to increase in dollar amount over time. General and administrative expenses may fluctuate as a percentage of our total revenue from period to period depending on the timing of these expenses.</w:t>
      </w:r>
    </w:p>
    <w:p>
      <w:pPr>
        <w:spacing w:after="0" w:line="122" w:lineRule="exact"/>
        <w:rPr>
          <w:sz w:val="20"/>
          <w:szCs w:val="20"/>
          <w:color w:val="auto"/>
        </w:rPr>
      </w:pPr>
    </w:p>
    <w:p>
      <w:pPr>
        <w:ind w:right="260"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Interest Expense. </w:t>
      </w:r>
      <w:r>
        <w:rPr>
          <w:rFonts w:ascii="Times New Roman" w:cs="Times New Roman" w:eastAsia="Times New Roman" w:hAnsi="Times New Roman"/>
          <w:sz w:val="14"/>
          <w:szCs w:val="14"/>
          <w:color w:val="auto"/>
        </w:rPr>
        <w:t>Interest expense consists primarily of amortization of debt issuance costs, contractual interest expense for our Senior Notes issued in January 2021, and amortization of debt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issuance costs on our Revolving Facility.</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Interest Income. </w:t>
      </w:r>
      <w:r>
        <w:rPr>
          <w:rFonts w:ascii="Times New Roman" w:cs="Times New Roman" w:eastAsia="Times New Roman" w:hAnsi="Times New Roman"/>
          <w:sz w:val="14"/>
          <w:szCs w:val="14"/>
          <w:color w:val="auto"/>
        </w:rPr>
        <w:t>Interest income consists primarily of income earned on our cash, cash equivalents, and short-term investments.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 xml:space="preserve">Other Income (Expense), Net. </w:t>
      </w:r>
      <w:r>
        <w:rPr>
          <w:rFonts w:ascii="Times New Roman" w:cs="Times New Roman" w:eastAsia="Times New Roman" w:hAnsi="Times New Roman"/>
          <w:sz w:val="14"/>
          <w:szCs w:val="14"/>
          <w:color w:val="auto"/>
        </w:rPr>
        <w:t>Other income (expense), net consists primarily of gains and losses on strategic investments and foreign currency transaction gains and losses.</w:t>
      </w:r>
    </w:p>
    <w:p>
      <w:pPr>
        <w:spacing w:after="0" w:line="179" w:lineRule="exact"/>
        <w:rPr>
          <w:sz w:val="20"/>
          <w:szCs w:val="20"/>
          <w:color w:val="auto"/>
        </w:rPr>
      </w:pPr>
    </w:p>
    <w:p>
      <w:pPr>
        <w:ind w:right="160" w:firstLine="255"/>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Provision for Income Taxes. </w:t>
      </w:r>
      <w:r>
        <w:rPr>
          <w:rFonts w:ascii="Times New Roman" w:cs="Times New Roman" w:eastAsia="Times New Roman" w:hAnsi="Times New Roman"/>
          <w:sz w:val="14"/>
          <w:szCs w:val="14"/>
          <w:color w:val="auto"/>
        </w:rPr>
        <w:t>Provision for income taxes consists of state income taxes in the United States, foreign income taxes, and withholding taxes related to customer payments in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 For the three and nine months ended October 31, 2024, we computed our U.S. tax provision on a discrete basis.</w:t>
      </w:r>
    </w:p>
    <w:p>
      <w:pPr>
        <w:spacing w:after="0" w:line="138" w:lineRule="exact"/>
        <w:rPr>
          <w:sz w:val="20"/>
          <w:szCs w:val="20"/>
          <w:color w:val="auto"/>
        </w:rPr>
      </w:pPr>
    </w:p>
    <w:p>
      <w:pPr>
        <w:ind w:firstLine="255"/>
        <w:spacing w:after="0" w:line="290" w:lineRule="auto"/>
        <w:rPr>
          <w:sz w:val="20"/>
          <w:szCs w:val="20"/>
          <w:color w:val="auto"/>
        </w:rPr>
      </w:pPr>
      <w:r>
        <w:rPr>
          <w:rFonts w:ascii="Times New Roman" w:cs="Times New Roman" w:eastAsia="Times New Roman" w:hAnsi="Times New Roman"/>
          <w:sz w:val="14"/>
          <w:szCs w:val="14"/>
          <w:i w:val="1"/>
          <w:iCs w:val="1"/>
          <w:color w:val="auto"/>
        </w:rPr>
        <w:t>Net Income Attributable to Non-controlling Interest</w:t>
      </w:r>
      <w:r>
        <w:rPr>
          <w:rFonts w:ascii="Times New Roman" w:cs="Times New Roman" w:eastAsia="Times New Roman" w:hAnsi="Times New Roman"/>
          <w:sz w:val="14"/>
          <w:szCs w:val="14"/>
          <w:color w:val="auto"/>
        </w:rPr>
        <w:t>. Net income attributable to non-controlling interest consists of the Falcon Funds’ non-controlling interest share of gains and losses and interest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income from our strategic investments.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tables set forth our condensed consolidated statements of operations for each period presented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6"/>
              </w:rPr>
              <w:t>Three Months Ended October 31,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26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26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Revenue</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2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Subscription</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962,735</w:t>
            </w:r>
          </w:p>
        </w:tc>
        <w:tc>
          <w:tcPr>
            <w:tcW w:w="80" w:type="dxa"/>
            <w:vAlign w:val="bottom"/>
          </w:tcPr>
          <w:p>
            <w:pPr>
              <w:spacing w:after="0"/>
              <w:rPr>
                <w:sz w:val="14"/>
                <w:szCs w:val="14"/>
                <w:color w:val="auto"/>
              </w:rPr>
            </w:pP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733,463</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229,272</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Pr>
          <w:p>
            <w:pPr>
              <w:spacing w:after="0"/>
              <w:rPr>
                <w:sz w:val="14"/>
                <w:szCs w:val="14"/>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2,753,164</w:t>
            </w:r>
          </w:p>
        </w:tc>
        <w:tc>
          <w:tcPr>
            <w:tcW w:w="6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2,074,610</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678,554</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7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Professional services</w:t>
            </w: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47,443</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52,551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141,922</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r>
      <w:tr>
        <w:trPr>
          <w:trHeight w:val="158"/>
        </w:trPr>
        <w:tc>
          <w:tcPr>
            <w:tcW w:w="2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revenue</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1,010,178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786,014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224,164</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29 %</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2,895,086</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2,210,220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684,866</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52"/>
        </w:trPr>
        <w:tc>
          <w:tcPr>
            <w:tcW w:w="268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Cost of revenue</w:t>
            </w: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68"/>
        </w:trPr>
        <w:tc>
          <w:tcPr>
            <w:tcW w:w="2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Subscription</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216,301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159,830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56,471</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605,868</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455,236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150,632</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7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Professional services</w:t>
            </w: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38,786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35,174</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111,623</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91,915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19,708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21 %</w:t>
            </w:r>
          </w:p>
        </w:tc>
      </w:tr>
      <w:tr>
        <w:trPr>
          <w:trHeight w:val="158"/>
        </w:trPr>
        <w:tc>
          <w:tcPr>
            <w:tcW w:w="2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Total cost of revenue</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255,087</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195,004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60,083</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717,491</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547,151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170,340</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6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755,091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591,010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164,081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2,177,595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1,663,069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514,526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68"/>
        </w:trPr>
        <w:tc>
          <w:tcPr>
            <w:tcW w:w="2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Sales and marketing</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286,186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122,081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1,113,852</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850,209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263,643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68"/>
        </w:trPr>
        <w:tc>
          <w:tcPr>
            <w:tcW w:w="2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275,602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196,072</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79,530</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761,759</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554,499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207,260</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37 %</w:t>
            </w:r>
          </w:p>
        </w:tc>
      </w:tr>
      <w:tr>
        <w:trPr>
          <w:trHeight w:val="17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126,945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105,589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20 %</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337,113</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290,027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47,086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58"/>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810,814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587,847</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222,967</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2,212,724</w:t>
            </w: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1,694,735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517,989</w:t>
            </w: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31 %</w:t>
            </w:r>
          </w:p>
        </w:tc>
      </w:tr>
      <w:tr>
        <w:trPr>
          <w:trHeight w:val="16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(55,723)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(58,886)</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(35,129)</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r>
      <w:tr>
        <w:trPr>
          <w:trHeight w:val="168"/>
        </w:trPr>
        <w:tc>
          <w:tcPr>
            <w:tcW w:w="26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(6,503)</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(19,647)</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r>
      <w:tr>
        <w:trPr>
          <w:trHeight w:val="17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income</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12,115</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149,577</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107,245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42,332</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r>
      <w:tr>
        <w:trPr>
          <w:trHeight w:val="168"/>
        </w:trPr>
        <w:tc>
          <w:tcPr>
            <w:tcW w:w="2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6,196</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8,174</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(413)%</w:t>
            </w:r>
          </w:p>
        </w:tc>
      </w:tr>
      <w:tr>
        <w:trPr>
          <w:trHeight w:val="16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provision for income taxes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36,272</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(46,810)</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100,997</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54,267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46,730</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86 %</w:t>
            </w:r>
          </w:p>
        </w:tc>
      </w:tr>
      <w:tr>
        <w:trPr>
          <w:trHeight w:val="168"/>
        </w:trPr>
        <w:tc>
          <w:tcPr>
            <w:tcW w:w="2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6,281</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9,603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(3,322)</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24,862</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18,623</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6,239</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34 %</w:t>
            </w:r>
          </w:p>
        </w:tc>
      </w:tr>
      <w:tr>
        <w:trPr>
          <w:trHeight w:val="16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(43,488)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76,135</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35,644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40,491</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114 %</w:t>
            </w:r>
          </w:p>
        </w:tc>
      </w:tr>
      <w:tr>
        <w:trPr>
          <w:trHeight w:val="168"/>
        </w:trPr>
        <w:tc>
          <w:tcPr>
            <w:tcW w:w="2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3,108</w:t>
            </w:r>
          </w:p>
        </w:tc>
        <w:tc>
          <w:tcPr>
            <w:tcW w:w="8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19,425 %</w:t>
            </w:r>
          </w:p>
        </w:tc>
      </w:tr>
      <w:tr>
        <w:trPr>
          <w:trHeight w:val="188"/>
        </w:trPr>
        <w:tc>
          <w:tcPr>
            <w:tcW w:w="2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 attributable to CrowdStrike</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(16,822)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26,665</w:t>
            </w: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(43,487)</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73,011</w:t>
            </w:r>
          </w:p>
        </w:tc>
        <w:tc>
          <w:tcPr>
            <w:tcW w:w="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35,628</w:t>
            </w:r>
          </w:p>
        </w:tc>
        <w:tc>
          <w:tcPr>
            <w:tcW w:w="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37,383</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105 %</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presents the components of our condensed consolidated statements of operations as a percentage of total revenue for the periods presented: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700" w:type="dxa"/>
            <w:vAlign w:val="bottom"/>
            <w:tcBorders>
              <w:bottom w:val="single" w:sz="8" w:color="auto"/>
            </w:tcBorders>
            <w:gridSpan w:val="4"/>
          </w:tcPr>
          <w:p>
            <w:pPr>
              <w:jc w:val="center"/>
              <w:ind w:left="475"/>
              <w:spacing w:after="0"/>
              <w:rPr>
                <w:sz w:val="20"/>
                <w:szCs w:val="20"/>
                <w:color w:val="auto"/>
              </w:rPr>
            </w:pPr>
            <w:r>
              <w:rPr>
                <w:rFonts w:ascii="Times New Roman" w:cs="Times New Roman" w:eastAsia="Times New Roman" w:hAnsi="Times New Roman"/>
                <w:sz w:val="13"/>
                <w:szCs w:val="13"/>
                <w:b w:val="1"/>
                <w:bCs w:val="1"/>
                <w:color w:val="auto"/>
                <w:w w:val="98"/>
              </w:rPr>
              <w:t>Three Months Ended October 31,</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Nine Months Ended October 31,</w:t>
            </w:r>
          </w:p>
        </w:tc>
      </w:tr>
      <w:tr>
        <w:trPr>
          <w:trHeight w:val="172"/>
        </w:trPr>
        <w:tc>
          <w:tcPr>
            <w:tcW w:w="4780" w:type="dxa"/>
            <w:vAlign w:val="bottom"/>
          </w:tcPr>
          <w:p>
            <w:pPr>
              <w:spacing w:after="0"/>
              <w:rPr>
                <w:sz w:val="14"/>
                <w:szCs w:val="14"/>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69"/>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8"/>
        </w:trPr>
        <w:tc>
          <w:tcPr>
            <w:tcW w:w="4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40" w:type="dxa"/>
            <w:vAlign w:val="bottom"/>
            <w:gridSpan w:val="3"/>
          </w:tcPr>
          <w:p>
            <w:pPr>
              <w:jc w:val="right"/>
              <w:ind w:right="953"/>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spacing w:after="0"/>
              <w:rPr>
                <w:sz w:val="17"/>
                <w:szCs w:val="17"/>
                <w:color w:val="auto"/>
              </w:rPr>
            </w:pPr>
          </w:p>
        </w:tc>
      </w:tr>
      <w:tr>
        <w:trPr>
          <w:trHeight w:val="187"/>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94 %</w:t>
            </w:r>
          </w:p>
        </w:tc>
      </w:tr>
      <w:tr>
        <w:trPr>
          <w:trHeight w:val="18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80"/>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Subscription</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8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Professional services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r>
      <w:tr>
        <w:trPr>
          <w:trHeight w:val="180"/>
        </w:trPr>
        <w:tc>
          <w:tcPr>
            <w:tcW w:w="58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 cost of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38 %</w:t>
            </w:r>
          </w:p>
        </w:tc>
      </w:tr>
      <w:tr>
        <w:trPr>
          <w:trHeight w:val="18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58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8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640" w:type="dxa"/>
            <w:vAlign w:val="bottom"/>
            <w:gridSpan w:val="3"/>
          </w:tcPr>
          <w:p>
            <w:pPr>
              <w:jc w:val="right"/>
              <w:ind w:right="107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9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provision for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58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640" w:type="dxa"/>
            <w:vAlign w:val="bottom"/>
            <w:gridSpan w:val="3"/>
          </w:tcPr>
          <w:p>
            <w:pPr>
              <w:jc w:val="right"/>
              <w:ind w:right="1073"/>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 %</w:t>
            </w:r>
          </w:p>
        </w:tc>
        <w:tc>
          <w:tcPr>
            <w:tcW w:w="19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 attributable to CrowdStrike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October 31, 2024 and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right="4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total revenue from subscriptions and professional services for the three months ended October 31, 2024 as compared to the three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4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88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962,735</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733,463</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229,272</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47,443</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52,551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1,010,178</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786,014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224,164</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right="60" w:firstLine="255"/>
        <w:spacing w:after="0" w:line="270" w:lineRule="auto"/>
        <w:rPr>
          <w:sz w:val="20"/>
          <w:szCs w:val="20"/>
          <w:color w:val="auto"/>
        </w:rPr>
      </w:pPr>
      <w:r>
        <w:rPr>
          <w:rFonts w:ascii="Times New Roman" w:cs="Times New Roman" w:eastAsia="Times New Roman" w:hAnsi="Times New Roman"/>
          <w:sz w:val="14"/>
          <w:szCs w:val="14"/>
          <w:color w:val="auto"/>
        </w:rPr>
        <w:t>Total revenue increased by $224.2 million, or 29%, for the three months ended October 31, 2024 compared to the three months ended October 31, 2023. Subscription revenue accounted for 95% and 93% of our total revenue for the three months ended October 31, 2024 and October 31, 2023, respectively. Professional services revenue accounted for 5% and 7% of our total revenue for the three months ended October 31, 2024 and October 31, 2023, respectively.</w:t>
      </w:r>
    </w:p>
    <w:p>
      <w:pPr>
        <w:spacing w:after="0" w:line="136"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Subscription revenue increased by $229.3 million, or 31%, for the three months ended October 31, 2024 compared to the three months ended October 31, 2023, which was primarily driven by a combination of the addition of new customers and the sale of additional sensors and modules to existing customers.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revenue decreased by $5.1 million, or 10%, for the three months ended October 31, 2024, compared to the three months ended October 31, 2023, which was primarily driven by a decrease in services provided based on billable and non-billable hours.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81"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cost of revenue related to subscriptions and professional services for the three months ended October 31, 2024 as compared to the three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4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216,301</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159,830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56,471</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38,786</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cost of revenue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255,087</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60,083</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right="40" w:firstLine="255"/>
        <w:spacing w:after="0" w:line="235" w:lineRule="auto"/>
        <w:rPr>
          <w:sz w:val="20"/>
          <w:szCs w:val="20"/>
          <w:color w:val="auto"/>
        </w:rPr>
      </w:pPr>
      <w:r>
        <w:rPr>
          <w:rFonts w:ascii="Times New Roman" w:cs="Times New Roman" w:eastAsia="Times New Roman" w:hAnsi="Times New Roman"/>
          <w:sz w:val="14"/>
          <w:szCs w:val="14"/>
          <w:color w:val="auto"/>
        </w:rPr>
        <w:t>Total cost of revenue increased by $60.1 million, or 31%, for the three months ended October 31, 2024 compared to the three months ended October 31, 2023. Subscription cost of revenue increased by $56.5 million, or 35%, for the three months ended October 31, 2024, compared to the three months ended October 31, 2023. The increase in subscription cost of revenue was primarily due to an increase in employee-related expenses of $13.9 million driven by a 30% increase in average headcount, an increase in cloud hosting and related services cost of $10.5 million, an increase in depreciation of data center equipment of $9.4 million, an increase in stock-based compensation expense of $7.1 million, an increase in allocated overhead costs of $5.5 million, an increase in amortization of internal-use software of $5.4 million, an increase in hardware maintenance costs of $1.4 million, and an increase in employee benefits of $1.2 million.</w:t>
      </w:r>
    </w:p>
    <w:p>
      <w:pPr>
        <w:spacing w:after="0" w:line="146" w:lineRule="exact"/>
        <w:rPr>
          <w:sz w:val="20"/>
          <w:szCs w:val="20"/>
          <w:color w:val="auto"/>
        </w:rPr>
      </w:pPr>
    </w:p>
    <w:p>
      <w:pPr>
        <w:ind w:right="280" w:firstLine="255"/>
        <w:spacing w:after="0" w:line="270" w:lineRule="auto"/>
        <w:rPr>
          <w:sz w:val="20"/>
          <w:szCs w:val="20"/>
          <w:color w:val="auto"/>
        </w:rPr>
      </w:pPr>
      <w:r>
        <w:rPr>
          <w:rFonts w:ascii="Times New Roman" w:cs="Times New Roman" w:eastAsia="Times New Roman" w:hAnsi="Times New Roman"/>
          <w:sz w:val="14"/>
          <w:szCs w:val="14"/>
          <w:color w:val="auto"/>
        </w:rPr>
        <w:t>Professional services cost of revenue increased by $3.6 million, or 10%, for the three months ended October 31, 2024, compared to the three months ended October 31, 2023. The increase in professional services cost of revenue was primarily due to an increase in employee-related expenses of $3.2 million driven by an 20% increase in average headcount, an increase in stock-based compensation expense of $1.9 million, and an increase in allocated overhead costs of $1.6 million, partially offset by a decrease in consulting expense of $3.3 million.</w:t>
      </w:r>
    </w:p>
    <w:p>
      <w:pPr>
        <w:spacing w:after="0" w:line="136"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gross profit and gross margin for subscriptions and professional services for the three months ended October 31, 2024 as compared to the three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5"/>
        </w:trPr>
        <w:tc>
          <w:tcPr>
            <w:tcW w:w="49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746,434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573,633</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172,801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profit</w:t>
            </w:r>
          </w:p>
        </w:tc>
        <w:tc>
          <w:tcPr>
            <w:tcW w:w="9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8,657</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17,377</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(8,720)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profit</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755,091</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591,010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164,081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427"/>
        </w:trPr>
        <w:tc>
          <w:tcPr>
            <w:tcW w:w="4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9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margin</w:t>
            </w:r>
          </w:p>
        </w:tc>
        <w:tc>
          <w:tcPr>
            <w:tcW w:w="9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33 %</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margin</w:t>
            </w: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Subscription gross margin was flat for the three months ended October 31, 2024, compared to the three months ended October 31, 2023.</w:t>
      </w:r>
    </w:p>
    <w:p>
      <w:pPr>
        <w:spacing w:after="0" w:line="179" w:lineRule="exact"/>
        <w:rPr>
          <w:sz w:val="20"/>
          <w:szCs w:val="20"/>
          <w:color w:val="auto"/>
        </w:rPr>
      </w:pPr>
    </w:p>
    <w:p>
      <w:pPr>
        <w:ind w:right="10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gross margin decreased by 15% for the three months ended October 31, 2024, compared to the three months ended October 31, 2023. The decrease in professional services gross margin was primarily due to an increase in consulting expense and decreased utilization during the three months ended October 31,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shows sales and marketing expenses for the three months ended October 31, 2024 as compared to the three months ended October 31, 2023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408,267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286,186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122,081</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r>
    </w:tbl>
    <w:p>
      <w:pPr>
        <w:spacing w:after="0" w:line="229"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Sales and marketing expenses increased by $122.1 million, or 43%, for the three months ended October 31, 2024 compared to the three months ended October 31, 2023. The increase in sales and marketing expenses was primarily due to an increase in employee-related expenses of $46.8 million driven by a 16% increase in average headcount, an increase in marketing programs of $22.9 million, $15.1 million of expenses relating to the July 19 Incident, an increase in stock-based compensation expense of $13.7 million, an increase in allocated overhead costs of $8.9 million, an increase in travel expenses of $3.8 million, an increase in cloud hosting and related costs of $1.5 million, an increase in employee benefits of $1.5 million, an increase in term-based software licenses of $1.3 million, and an increase in other labor expenses of $1.1 million.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ind w:right="70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research and development expenses for the three months ended October 31, 2024 as compared to the three months ended October 31, 2023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275,602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79,530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41 %</w:t>
            </w:r>
          </w:p>
        </w:tc>
      </w:tr>
    </w:tbl>
    <w:p>
      <w:pPr>
        <w:spacing w:after="0" w:line="208" w:lineRule="exact"/>
        <w:rPr>
          <w:sz w:val="20"/>
          <w:szCs w:val="20"/>
          <w:color w:val="auto"/>
        </w:rPr>
      </w:pPr>
    </w:p>
    <w:p>
      <w:pPr>
        <w:ind w:right="60" w:firstLine="255"/>
        <w:spacing w:after="0" w:line="238" w:lineRule="auto"/>
        <w:rPr>
          <w:sz w:val="20"/>
          <w:szCs w:val="20"/>
          <w:color w:val="auto"/>
        </w:rPr>
      </w:pPr>
      <w:r>
        <w:rPr>
          <w:rFonts w:ascii="Times New Roman" w:cs="Times New Roman" w:eastAsia="Times New Roman" w:hAnsi="Times New Roman"/>
          <w:sz w:val="14"/>
          <w:szCs w:val="14"/>
          <w:color w:val="auto"/>
        </w:rPr>
        <w:t>Research and development expenses increased by $79.5 million, or 41%, for the three months ended October 31, 2024 compared to the three months ended October 31, 2023. This increase was primarily due to an increase in stock-based compensation expense of $29.5 million, an increase in employee-related expenses of $22.8 million driven by a 20% increase in average headcount, an increase in cloud hosting and related costs of $11.6 million, an increase in allocated overhead costs of $7.4 million, $3.5 million of expenses relating to the July 19 Incident, an increase in term-based software licenses of $1.5 million, and an increase in employee benefits of $1.0 million, partially offset by a decrease in other labor expenses of $2.7 million.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ind w:right="6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general and administrative expenses for the three months ended October 31, 2024 as compared to the three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126,945</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21,356</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20 %</w:t>
            </w:r>
          </w:p>
        </w:tc>
      </w:tr>
    </w:tbl>
    <w:p>
      <w:pPr>
        <w:spacing w:after="0" w:line="229"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expenses increased by $21.4 million, or 20%, for the three months ended October 31, 2024 compared to the three months ended October 31, 2023. The increase in general and administrative expenses was primarily due to $15.3 million of expenses relating to the July 19 Incident, an increase in employee-related expenses of $6.6 million driven by a 19% increase in average headcount, an increase in corporate insurance of $3.6 million, an increase in allocated overhead costs of $2.0 million, an increase in term-based software licenses of $1.0 million, and an increase in leased airfare costs of $1.0 million, partially offset by a decrease in stock-based compensation expense of $2.9 million, a decrease in legal expense of $4.9 million unrelated to the July 19 Incident, and a decrease in consulting expense of $1.8 million.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Interest Income, and Other Expense, Net</w:t>
      </w:r>
    </w:p>
    <w:p>
      <w:pPr>
        <w:spacing w:after="0" w:line="181"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interest expense, interest income, and other expense, net for the three months ended October 31, 2024 as compared to the three months ended October 31, 2023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jc w:val="right"/>
              <w:ind w:right="72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52,201</w:t>
            </w:r>
          </w:p>
        </w:tc>
        <w:tc>
          <w:tcPr>
            <w:tcW w:w="80" w:type="dxa"/>
            <w:vAlign w:val="bottom"/>
          </w:tcPr>
          <w:p>
            <w:pPr>
              <w:spacing w:after="0"/>
              <w:rPr>
                <w:sz w:val="15"/>
                <w:szCs w:val="15"/>
                <w:color w:val="auto"/>
              </w:rPr>
            </w:pP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40,086</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12,115</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 net</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bl>
    <w:p>
      <w:pPr>
        <w:spacing w:after="0" w:line="229"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increase in interest income for the three months ended October 31, 2024 compared to the three months ended October 31, 2023 was driven by an increase in our cash and cash equivalents.</w:t>
      </w:r>
    </w:p>
    <w:p>
      <w:pPr>
        <w:spacing w:after="0" w:line="179" w:lineRule="exact"/>
        <w:rPr>
          <w:sz w:val="20"/>
          <w:szCs w:val="20"/>
          <w:color w:val="auto"/>
        </w:rPr>
      </w:pPr>
    </w:p>
    <w:p>
      <w:pPr>
        <w:ind w:right="360" w:firstLine="255"/>
        <w:spacing w:after="0" w:line="287" w:lineRule="auto"/>
        <w:rPr>
          <w:sz w:val="20"/>
          <w:szCs w:val="20"/>
          <w:color w:val="auto"/>
        </w:rPr>
      </w:pPr>
      <w:r>
        <w:rPr>
          <w:rFonts w:ascii="Times New Roman" w:cs="Times New Roman" w:eastAsia="Times New Roman" w:hAnsi="Times New Roman"/>
          <w:sz w:val="14"/>
          <w:szCs w:val="14"/>
          <w:color w:val="auto"/>
        </w:rPr>
        <w:t>The decrease in other expense, net for the three months ended October 31, 2024 compared to the three months ended October 31, 2023 was primarily due to gains on deferred compensation assets and fluctuations in foreign currency transaction gains and losses.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following shows the provision for income taxes for the three months ended October 31, 2024 as compared to the three months ended October 31, 2023 (in thousands, except percentage):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20" w:type="dxa"/>
            <w:vAlign w:val="bottom"/>
          </w:tcPr>
          <w:p>
            <w:pPr>
              <w:spacing w:after="0"/>
              <w:rPr>
                <w:sz w:val="14"/>
                <w:szCs w:val="14"/>
                <w:color w:val="auto"/>
              </w:rPr>
            </w:pPr>
          </w:p>
        </w:tc>
        <w:tc>
          <w:tcPr>
            <w:tcW w:w="256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3"/>
                <w:szCs w:val="13"/>
                <w:b w:val="1"/>
                <w:bCs w:val="1"/>
                <w:color w:val="auto"/>
              </w:rPr>
              <w:t>Three Months Ended October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59"/>
        </w:trPr>
        <w:tc>
          <w:tcPr>
            <w:tcW w:w="492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3"/>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(3,322)</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bl>
    <w:p>
      <w:pPr>
        <w:spacing w:after="0" w:line="219"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The decrease in provision for income taxes of $3.3 million during the three months ended October 31, 2024 compared to the three months ended October 31, 2023 was primarily attributable to the tax benefit of effective settlement, offset by income taxes from pre-tax earnings and withholding taxes related to customer payments in certain foreign jurisdictions in which the Company conducts 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October 31, 2024 and 2023</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81"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total revenue from subscriptions and professional services for the nine months ended October 31, 2024 as compared to the nine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49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88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2,753,164</w:t>
            </w:r>
          </w:p>
        </w:tc>
        <w:tc>
          <w:tcPr>
            <w:tcW w:w="8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2,074,610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678,554</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141,922</w:t>
            </w: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135,610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5 %</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2,895,086</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2"/>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2,210,220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684,866</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Total revenue increased by $684.9 million, or 31%, for the nine months ended October 31, 2024 compared to the nine months ended October 31, 2023. Subscription revenue accounted for 95% and 94% of our total revenue for the nine months ended October 31, 2024 and October 31, 2023, respectively. Professional services revenue accounted for 5% and 6% of our total revenue for the nine months ended October 31, 2024 and October 31, 2023, respectively.</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Subscription revenue increased by $678.6 million, or 33%, for the nine months ended October 31, 2024 compared to the nine months ended October 31, 2023, which was primarily driven by a combination of the addition of new customers and the sale of additional sensors and modules to existing customers.</w:t>
      </w:r>
    </w:p>
    <w:p>
      <w:pPr>
        <w:spacing w:after="0" w:line="124" w:lineRule="exact"/>
        <w:rPr>
          <w:sz w:val="20"/>
          <w:szCs w:val="20"/>
          <w:color w:val="auto"/>
        </w:rPr>
      </w:pPr>
    </w:p>
    <w:p>
      <w:pPr>
        <w:ind w:right="56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revenue increased by $6.3 million, or 5%, for the nine months ended October 31, 2024, compared to the nine months ended October 31, 2023, which was primarily attributable to an increase in the number of professional service hours performed.</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Gross Profit, and Gross Margin</w:t>
      </w:r>
    </w:p>
    <w:p>
      <w:pPr>
        <w:spacing w:after="0" w:line="181"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cost of revenue related to subscriptions and professional services for the nine months ended October 31, 2024 as compared to the nine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0" w:type="dxa"/>
            <w:vAlign w:val="bottom"/>
          </w:tcPr>
          <w:p>
            <w:pPr>
              <w:spacing w:after="0"/>
              <w:rPr>
                <w:sz w:val="14"/>
                <w:szCs w:val="14"/>
                <w:color w:val="auto"/>
              </w:rPr>
            </w:pPr>
          </w:p>
        </w:tc>
        <w:tc>
          <w:tcPr>
            <w:tcW w:w="1600" w:type="dxa"/>
            <w:vAlign w:val="bottom"/>
          </w:tcPr>
          <w:p>
            <w:pPr>
              <w:jc w:val="right"/>
              <w:ind w:right="533"/>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83"/>
        </w:trPr>
        <w:tc>
          <w:tcPr>
            <w:tcW w:w="49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700" w:type="dxa"/>
            <w:vAlign w:val="bottom"/>
            <w:gridSpan w:val="2"/>
          </w:tcPr>
          <w:p>
            <w:pPr>
              <w:jc w:val="right"/>
              <w:ind w:right="67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w:t>
            </w: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605,868</w:t>
            </w:r>
          </w:p>
        </w:tc>
        <w:tc>
          <w:tcPr>
            <w:tcW w:w="8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455,236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150,632</w:t>
            </w:r>
          </w:p>
        </w:tc>
        <w:tc>
          <w:tcPr>
            <w:tcW w:w="10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w:t>
            </w:r>
          </w:p>
        </w:tc>
        <w:tc>
          <w:tcPr>
            <w:tcW w:w="9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111,623</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91,915</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19,708</w:t>
            </w:r>
          </w:p>
        </w:tc>
        <w:tc>
          <w:tcPr>
            <w:tcW w:w="17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21 %</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cost of revenue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717,491</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547,151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170,340</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right="80" w:firstLine="255"/>
        <w:spacing w:after="0" w:line="235" w:lineRule="auto"/>
        <w:rPr>
          <w:sz w:val="20"/>
          <w:szCs w:val="20"/>
          <w:color w:val="auto"/>
        </w:rPr>
      </w:pPr>
      <w:r>
        <w:rPr>
          <w:rFonts w:ascii="Times New Roman" w:cs="Times New Roman" w:eastAsia="Times New Roman" w:hAnsi="Times New Roman"/>
          <w:sz w:val="14"/>
          <w:szCs w:val="14"/>
          <w:color w:val="auto"/>
        </w:rPr>
        <w:t>Total cost of revenue increased by $170.3 million, or 31%, for the nine months ended October 31, 2024 compared to the nine months ended October 31, 2023. Subscription cost of revenue increased by $150.6 million, or 33%, for the nine months ended October 31, 2024, compared to the nine months ended October 31, 2023. The increase in subscription cost of revenue was primarily due to an increase in employee-related expenses of $43.0 million driven by a 29% increase in average headcount, an increase in depreciation of data center equipment of $28.0 million, an increase in stock-based compensation expense of $18.7 million, an increase in cloud hosting and related services cost of $18.5 million, an increase in amortization of internal-use software of $16.3 million, an increase in allocated overhead costs of $14.4 million, an increase in hardware maintenance costs of $4.7 million, and an increase in employee health benefits of $2.4 million.</w:t>
      </w:r>
    </w:p>
    <w:p>
      <w:pPr>
        <w:spacing w:after="0" w:line="146" w:lineRule="exact"/>
        <w:rPr>
          <w:sz w:val="20"/>
          <w:szCs w:val="20"/>
          <w:color w:val="auto"/>
        </w:rPr>
      </w:pPr>
    </w:p>
    <w:p>
      <w:pPr>
        <w:ind w:right="300" w:firstLine="255"/>
        <w:spacing w:after="0" w:line="270" w:lineRule="auto"/>
        <w:rPr>
          <w:sz w:val="20"/>
          <w:szCs w:val="20"/>
          <w:color w:val="auto"/>
        </w:rPr>
      </w:pPr>
      <w:r>
        <w:rPr>
          <w:rFonts w:ascii="Times New Roman" w:cs="Times New Roman" w:eastAsia="Times New Roman" w:hAnsi="Times New Roman"/>
          <w:sz w:val="14"/>
          <w:szCs w:val="14"/>
          <w:color w:val="auto"/>
        </w:rPr>
        <w:t>Professional services cost of revenue increased by $19.7 million, or 21%, for the nine months ended October 31, 2024, compared to the nine months ended October 31, 2023. The increase in professional services cost of revenue was primarily due to an increase in employee-related expenses of $9.5 million driven by a 19% increase in average headcount, an increase in stock-based compensation expense of $5.1 million, and an increase in allocated overhead costs of $3.5 million.</w:t>
      </w:r>
    </w:p>
    <w:p>
      <w:pPr>
        <w:spacing w:after="0" w:line="136"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gross profit and gross margin for subscriptions and professional services for the nine months ended October 31, 2024 as compared to the nine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00" w:type="dxa"/>
            <w:vAlign w:val="bottom"/>
          </w:tcPr>
          <w:p>
            <w:pPr>
              <w:spacing w:after="0"/>
              <w:rPr>
                <w:sz w:val="14"/>
                <w:szCs w:val="1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5"/>
        </w:trPr>
        <w:tc>
          <w:tcPr>
            <w:tcW w:w="49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profit</w:t>
            </w:r>
          </w:p>
        </w:tc>
        <w:tc>
          <w:tcPr>
            <w:tcW w:w="88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2,147,296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1,619,374</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527,922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profit</w:t>
            </w: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30,299</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43,695</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(13,396)</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profit</w:t>
            </w:r>
          </w:p>
        </w:tc>
        <w:tc>
          <w:tcPr>
            <w:tcW w:w="88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2,177,595</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1,663,069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514,526</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r>
        <w:trPr>
          <w:trHeight w:val="427"/>
        </w:trPr>
        <w:tc>
          <w:tcPr>
            <w:tcW w:w="4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2024</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2023</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Subscription gross margin</w:t>
            </w:r>
          </w:p>
        </w:tc>
        <w:tc>
          <w:tcPr>
            <w:tcW w:w="8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78 %</w:t>
            </w: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8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Professional services gross margin</w:t>
            </w:r>
          </w:p>
        </w:tc>
        <w:tc>
          <w:tcPr>
            <w:tcW w:w="88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32 %</w:t>
            </w:r>
          </w:p>
        </w:tc>
        <w:tc>
          <w:tcPr>
            <w:tcW w:w="80" w:type="dxa"/>
            <w:vAlign w:val="bottom"/>
            <w:tcBorders>
              <w:bottom w:val="single" w:sz="8" w:color="CCEEFF"/>
            </w:tcBorders>
          </w:tcPr>
          <w:p>
            <w:pPr>
              <w:spacing w:after="0"/>
              <w:rPr>
                <w:sz w:val="15"/>
                <w:szCs w:val="15"/>
                <w:color w:val="auto"/>
              </w:rPr>
            </w:pPr>
          </w:p>
        </w:tc>
        <w:tc>
          <w:tcPr>
            <w:tcW w:w="16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6"/>
        </w:trPr>
        <w:tc>
          <w:tcPr>
            <w:tcW w:w="4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gross margin</w:t>
            </w:r>
          </w:p>
        </w:tc>
        <w:tc>
          <w:tcPr>
            <w:tcW w:w="8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75 %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Subscription gross margin was flat for the nine months ended October 31, 2024, compared to the nine months ended October 31, 2023.</w:t>
      </w:r>
    </w:p>
    <w:p>
      <w:pPr>
        <w:spacing w:after="0" w:line="179" w:lineRule="exact"/>
        <w:rPr>
          <w:sz w:val="20"/>
          <w:szCs w:val="20"/>
          <w:color w:val="auto"/>
        </w:rPr>
      </w:pPr>
    </w:p>
    <w:p>
      <w:pPr>
        <w:ind w:right="220" w:firstLine="255"/>
        <w:spacing w:after="0" w:line="287" w:lineRule="auto"/>
        <w:rPr>
          <w:sz w:val="20"/>
          <w:szCs w:val="20"/>
          <w:color w:val="auto"/>
        </w:rPr>
      </w:pPr>
      <w:r>
        <w:rPr>
          <w:rFonts w:ascii="Times New Roman" w:cs="Times New Roman" w:eastAsia="Times New Roman" w:hAnsi="Times New Roman"/>
          <w:sz w:val="14"/>
          <w:szCs w:val="14"/>
          <w:color w:val="auto"/>
        </w:rPr>
        <w:t>Professional services gross margin decreased by 11% for the nine months ended October 31, 2024 compared to the nine months ended October 31, 2023. The decrease in professional services gross margin was primarily due to an increase in consulting expenses and decreased utilization during the nine months ended October 31, 2024.</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sales and marketing expenses for the nine months ended October 31, 2024 as compared to the nine months ended October 31, 2023 (in thousands, except percentages):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4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1,113,852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850,209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263,643</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31 %</w:t>
            </w:r>
          </w:p>
        </w:tc>
      </w:tr>
    </w:tbl>
    <w:p>
      <w:pPr>
        <w:spacing w:after="0" w:line="229"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Sales and marketing expenses increased by $263.6 million, or 31%, for the nine months ended October 31, 2024 compared to the nine months ended October 31, 2023. The increase in sales and marketing expenses was primarily due to an increase in employee-related expenses of $108.3 million driven by a 13% increase in average headcount, an increase in marketing programs of $43.4 million, an increase in stock-based compensation expense of $36.2 million, an increase in allocated overhead costs of $19.5 million, $18.2 million of expenses relating to the July 19 Incident, an increase in travel expenses of $9.3 million, an increase in company events expenses of $5.4 million, an increase in term-based software licenses of $3.8 million, an increase in cloud hosting and related costs of $3.4 million, an increase in employee health benefits of $2.8 million, an increase in other labor expenses of $2.5 million, and an increase in consulting expense of $1.5 million, partially offset by a decrease in taxes and licenses of $1.3 million.</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181" w:lineRule="exact"/>
        <w:rPr>
          <w:sz w:val="20"/>
          <w:szCs w:val="20"/>
          <w:color w:val="auto"/>
        </w:rPr>
      </w:pPr>
    </w:p>
    <w:p>
      <w:pPr>
        <w:ind w:right="78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research and development expenses for the nine months ended October 31, 2024 as compared to the nine months ended October 31, 2023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920" w:type="dxa"/>
            <w:vAlign w:val="bottom"/>
            <w:shd w:val="clear" w:color="auto" w:fill="CCEEFF"/>
          </w:tcPr>
          <w:p>
            <w:pPr>
              <w:jc w:val="right"/>
              <w:ind w:right="75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761,759</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554,499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207,260</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37 %</w:t>
            </w:r>
          </w:p>
        </w:tc>
      </w:tr>
    </w:tbl>
    <w:p>
      <w:pPr>
        <w:spacing w:after="0" w:line="208" w:lineRule="exact"/>
        <w:rPr>
          <w:sz w:val="20"/>
          <w:szCs w:val="20"/>
          <w:color w:val="auto"/>
        </w:rPr>
      </w:pPr>
    </w:p>
    <w:p>
      <w:pPr>
        <w:ind w:right="100" w:firstLine="255"/>
        <w:spacing w:after="0" w:line="238" w:lineRule="auto"/>
        <w:rPr>
          <w:sz w:val="20"/>
          <w:szCs w:val="20"/>
          <w:color w:val="auto"/>
        </w:rPr>
      </w:pPr>
      <w:r>
        <w:rPr>
          <w:rFonts w:ascii="Times New Roman" w:cs="Times New Roman" w:eastAsia="Times New Roman" w:hAnsi="Times New Roman"/>
          <w:sz w:val="14"/>
          <w:szCs w:val="14"/>
          <w:color w:val="auto"/>
        </w:rPr>
        <w:t>Research and development expenses increased by $207.3 million, or 37%, for the nine months ended October 31, 2024 compared to the nine months ended October 31, 2023. This increase was primarily due an increase in stock-based compensation expense of $80.7 million, an increase in employee-related expenses of $69.3 million driven by a 15% increase in average headcount, an increase in cloud hosting and related costs of $21.9 million, an increase in allocated overhead costs of $17.7 million, $4.6 million of expenses relating to the July 19 Incident, an increase in term-based software licenses of $3.0 million, an increase in employee related benefits of $2.5 million, an increase in travel expenses of $2.4 million, and an increase in consulting expense of $1.1 million.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181" w:lineRule="exact"/>
        <w:rPr>
          <w:sz w:val="20"/>
          <w:szCs w:val="20"/>
          <w:color w:val="auto"/>
        </w:rPr>
      </w:pPr>
    </w:p>
    <w:p>
      <w:pPr>
        <w:ind w:right="76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general and administrative expenses for the nine months ended October 31, 2024 as compared to the nine months ended October 31, 2023 (in thousands, except percentages):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83"/>
        </w:trPr>
        <w:tc>
          <w:tcPr>
            <w:tcW w:w="49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337,113</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47,086</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r>
    </w:tbl>
    <w:p>
      <w:pPr>
        <w:spacing w:after="0" w:line="229"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General and administrative expenses increased by $47.1 million, or 16%, for the nine months ended October 31, 2024 compared to the nine months ended October 31, 2023. The increase in general and administrative expenses was primarily due to an increase in employee-related expenses of $21.0 million driven by an 17% increase in average headcount, $16.3 million of expenses relating to the July 19 Incident, an increase in allocated overhead costs of $4.4 million, an increase in consulting expense of $2.8 million, an increase in leased airfare costs of $2.6 million, an increase in tax and licenses of $1.6 million, and an increase in company events expenses of $1.0 million, partially offset by a decrease in legal expense of $7.5 million unrelated to the July 19 Incident.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 Interest Income, and Other Income (Expense), Net</w:t>
      </w:r>
    </w:p>
    <w:p>
      <w:pPr>
        <w:spacing w:after="0" w:line="181" w:lineRule="exact"/>
        <w:rPr>
          <w:sz w:val="20"/>
          <w:szCs w:val="20"/>
          <w:color w:val="auto"/>
        </w:rPr>
      </w:pPr>
    </w:p>
    <w:p>
      <w:pPr>
        <w:ind w:right="120" w:firstLine="255"/>
        <w:spacing w:after="0" w:line="287" w:lineRule="auto"/>
        <w:rPr>
          <w:sz w:val="20"/>
          <w:szCs w:val="20"/>
          <w:color w:val="auto"/>
        </w:rPr>
      </w:pPr>
      <w:r>
        <w:rPr>
          <w:rFonts w:ascii="Times New Roman" w:cs="Times New Roman" w:eastAsia="Times New Roman" w:hAnsi="Times New Roman"/>
          <w:sz w:val="14"/>
          <w:szCs w:val="14"/>
          <w:color w:val="auto"/>
        </w:rPr>
        <w:t>The following shows interest expense, interest income, and other income (expense), net for the nine months ended October 31, 2024 as compared to the nine months ended October 31, 2023 (in thousands, except percentages):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2520" w:type="dxa"/>
            <w:vAlign w:val="bottom"/>
            <w:tcBorders>
              <w:bottom w:val="single" w:sz="8" w:color="auto"/>
            </w:tcBorders>
            <w:gridSpan w:val="4"/>
          </w:tcPr>
          <w:p>
            <w:pPr>
              <w:jc w:val="right"/>
              <w:ind w:right="31"/>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600" w:type="dxa"/>
            <w:vAlign w:val="bottom"/>
          </w:tcPr>
          <w:p>
            <w:pPr>
              <w:jc w:val="right"/>
              <w:ind w:right="532"/>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(19,647)</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r>
      <w:tr>
        <w:trPr>
          <w:trHeight w:val="180"/>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920" w:type="dxa"/>
            <w:vAlign w:val="bottom"/>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149,577</w:t>
            </w:r>
          </w:p>
        </w:tc>
        <w:tc>
          <w:tcPr>
            <w:tcW w:w="80" w:type="dxa"/>
            <w:vAlign w:val="bottom"/>
          </w:tcPr>
          <w:p>
            <w:pPr>
              <w:spacing w:after="0"/>
              <w:rPr>
                <w:sz w:val="15"/>
                <w:szCs w:val="15"/>
                <w:color w:val="auto"/>
              </w:rPr>
            </w:pPr>
          </w:p>
        </w:tc>
        <w:tc>
          <w:tcPr>
            <w:tcW w:w="940" w:type="dxa"/>
            <w:vAlign w:val="bottom"/>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107,245</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42,332</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39 %</w:t>
            </w:r>
          </w:p>
        </w:tc>
      </w:tr>
      <w:tr>
        <w:trPr>
          <w:trHeight w:val="18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r>
    </w:tbl>
    <w:p>
      <w:pPr>
        <w:spacing w:after="0" w:line="229" w:lineRule="exact"/>
        <w:rPr>
          <w:sz w:val="20"/>
          <w:szCs w:val="20"/>
          <w:color w:val="auto"/>
        </w:rPr>
      </w:pPr>
    </w:p>
    <w:p>
      <w:pPr>
        <w:jc w:val="both"/>
        <w:ind w:right="20" w:firstLine="255"/>
        <w:spacing w:after="0" w:line="287" w:lineRule="auto"/>
        <w:rPr>
          <w:sz w:val="20"/>
          <w:szCs w:val="20"/>
          <w:color w:val="auto"/>
        </w:rPr>
      </w:pPr>
      <w:r>
        <w:rPr>
          <w:rFonts w:ascii="Times New Roman" w:cs="Times New Roman" w:eastAsia="Times New Roman" w:hAnsi="Times New Roman"/>
          <w:sz w:val="14"/>
          <w:szCs w:val="14"/>
          <w:color w:val="auto"/>
        </w:rPr>
        <w:t>Interest expense consists primarily of amortization of debt issuance costs, contractual interest expense, accretion of debt discount for our Senior Notes issued in January 2021, and amortization of debt issuance costs on our Revolving Facility.</w:t>
      </w:r>
    </w:p>
    <w:p>
      <w:pPr>
        <w:spacing w:after="0" w:line="124" w:lineRule="exact"/>
        <w:rPr>
          <w:sz w:val="20"/>
          <w:szCs w:val="20"/>
          <w:color w:val="auto"/>
        </w:rPr>
      </w:pPr>
    </w:p>
    <w:p>
      <w:pPr>
        <w:jc w:val="both"/>
        <w:ind w:right="40" w:firstLine="255"/>
        <w:spacing w:after="0" w:line="287" w:lineRule="auto"/>
        <w:rPr>
          <w:sz w:val="20"/>
          <w:szCs w:val="20"/>
          <w:color w:val="auto"/>
        </w:rPr>
      </w:pPr>
      <w:r>
        <w:rPr>
          <w:rFonts w:ascii="Times New Roman" w:cs="Times New Roman" w:eastAsia="Times New Roman" w:hAnsi="Times New Roman"/>
          <w:sz w:val="14"/>
          <w:szCs w:val="14"/>
          <w:color w:val="auto"/>
        </w:rPr>
        <w:t>The increase in interest income for the nine months ended October 31, 2024 compared to the nine months ended October 31, 2023 was driven by increases in market interest rates and an increase in our cash and cash equivalents.</w:t>
      </w:r>
    </w:p>
    <w:p>
      <w:pPr>
        <w:spacing w:after="0" w:line="124" w:lineRule="exact"/>
        <w:rPr>
          <w:sz w:val="20"/>
          <w:szCs w:val="20"/>
          <w:color w:val="auto"/>
        </w:rPr>
      </w:pPr>
    </w:p>
    <w:p>
      <w:pPr>
        <w:jc w:val="both"/>
        <w:ind w:right="40" w:firstLine="255"/>
        <w:spacing w:after="0" w:line="287" w:lineRule="auto"/>
        <w:rPr>
          <w:sz w:val="20"/>
          <w:szCs w:val="20"/>
          <w:color w:val="auto"/>
        </w:rPr>
      </w:pPr>
      <w:r>
        <w:rPr>
          <w:rFonts w:ascii="Times New Roman" w:cs="Times New Roman" w:eastAsia="Times New Roman" w:hAnsi="Times New Roman"/>
          <w:sz w:val="14"/>
          <w:szCs w:val="14"/>
          <w:color w:val="auto"/>
        </w:rPr>
        <w:t>The increase in other income (expense), net for the nine months ended October 31, 2024 compared to the nine months ended October 31, 2023 was primarily due to gains on sales of our strategic investments of $6.2 million and an increase in net foreign currency transaction gains of $1.1 million.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shows the provision for income taxes for the nine months ended October 31, 2024 as compared to the nine months ended October 31, 2023 (in thousands, except percentage):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Nine Months Ended October 31,</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1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w:t>
            </w:r>
          </w:p>
        </w:tc>
      </w:tr>
      <w:tr>
        <w:trPr>
          <w:trHeight w:val="159"/>
        </w:trPr>
        <w:tc>
          <w:tcPr>
            <w:tcW w:w="490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16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24,862</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6,239</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34 %</w:t>
            </w:r>
          </w:p>
        </w:tc>
      </w:tr>
    </w:tbl>
    <w:p>
      <w:pPr>
        <w:spacing w:after="0" w:line="219" w:lineRule="exact"/>
        <w:rPr>
          <w:sz w:val="20"/>
          <w:szCs w:val="20"/>
          <w:color w:val="auto"/>
        </w:rPr>
      </w:pPr>
    </w:p>
    <w:p>
      <w:pPr>
        <w:ind w:right="80" w:firstLine="255"/>
        <w:spacing w:after="0" w:line="287" w:lineRule="auto"/>
        <w:rPr>
          <w:sz w:val="20"/>
          <w:szCs w:val="20"/>
          <w:color w:val="auto"/>
        </w:rPr>
      </w:pPr>
      <w:r>
        <w:rPr>
          <w:rFonts w:ascii="Times New Roman" w:cs="Times New Roman" w:eastAsia="Times New Roman" w:hAnsi="Times New Roman"/>
          <w:sz w:val="14"/>
          <w:szCs w:val="14"/>
          <w:color w:val="auto"/>
        </w:rPr>
        <w:t>The increase in provision for income taxes of $6.2 million during the nine months ended October 31, 2024 compared to the nine months ended October 31, 2023 was primarily attributable to the increase in pre-tax earnings and withholding taxes related to customer payments in certain foreign jurisdictions in which the Company conducts business.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Our primary sources of liquidity as of October 31, 2024, consisted of: (i) $4.3 billion in cash and cash equivalents, which mainly consists of cash on hand and highly liquid investments in money market funds and U.S. Treasury bills, (ii) cash we expect to generate from operations, and (iii) available capacity under our $750.0 million Revolving Facility. It is not currently possible to reasonably estimate the amount of loss or range of possible loss that might result from adverse judgments, settlements, penalties, or other resolution of proceedings resulting from the July 19 Incident. However, despite such uncertainties, we expect that the combination of our existing cash and cash equivalents, cash flows from operations, and the Revolving Facility will be sufficient to meet our anticipated cash needs for working capital and capital expenditures for at least the next 12 months.</w:t>
      </w:r>
    </w:p>
    <w:p>
      <w:pPr>
        <w:spacing w:after="0" w:line="143"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40" w:lineRule="exact"/>
        <w:rPr>
          <w:sz w:val="20"/>
          <w:szCs w:val="20"/>
          <w:color w:val="auto"/>
        </w:rPr>
      </w:pPr>
    </w:p>
    <w:p>
      <w:pPr>
        <w:jc w:val="both"/>
        <w:ind w:right="60" w:firstLine="255"/>
        <w:spacing w:after="0" w:line="270" w:lineRule="auto"/>
        <w:rPr>
          <w:sz w:val="20"/>
          <w:szCs w:val="20"/>
          <w:color w:val="auto"/>
        </w:rPr>
      </w:pPr>
      <w:r>
        <w:rPr>
          <w:rFonts w:ascii="Times New Roman" w:cs="Times New Roman" w:eastAsia="Times New Roman" w:hAnsi="Times New Roman"/>
          <w:sz w:val="14"/>
          <w:szCs w:val="14"/>
          <w:color w:val="auto"/>
        </w:rPr>
        <w:t>We have historically generated operating losses prior to fiscal 2024 and during the three months ended October 31, 2024, which corresponds to the third quarter of fiscal 2025, as reflected in our accumulated deficit of $1.0 billion as of October 31, 2024. We expect to continue to make investments, particularly in sales and marketing and research and development. As a result, we may require additional capital resources in the future to execute strategic initiatives to grow our business.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We typically invoice our subscription customers annually in advance. Therefore, a substantial source of our cash is from such prepayments, which are included on our condensed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October 31, 2024, we had deferred revenue of $3.2 billion, of which $2.4 billion was recorded as a current liability and is expected to be recorded as revenue in the next 12 months, provided all other revenue recognition criteria have been met.</w:t>
      </w:r>
    </w:p>
    <w:p>
      <w:pPr>
        <w:spacing w:after="0" w:line="140" w:lineRule="exact"/>
        <w:rPr>
          <w:sz w:val="20"/>
          <w:szCs w:val="20"/>
          <w:color w:val="auto"/>
        </w:rPr>
      </w:pPr>
    </w:p>
    <w:p>
      <w:pPr>
        <w:ind w:right="320" w:firstLine="255"/>
        <w:spacing w:after="0" w:line="287" w:lineRule="auto"/>
        <w:rPr>
          <w:sz w:val="20"/>
          <w:szCs w:val="20"/>
          <w:color w:val="auto"/>
        </w:rPr>
      </w:pPr>
      <w:r>
        <w:rPr>
          <w:rFonts w:ascii="Times New Roman" w:cs="Times New Roman" w:eastAsia="Times New Roman" w:hAnsi="Times New Roman"/>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40"/>
        </w:trPr>
        <w:tc>
          <w:tcPr>
            <w:tcW w:w="79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2"/>
        </w:trPr>
        <w:tc>
          <w:tcPr>
            <w:tcW w:w="7960" w:type="dxa"/>
            <w:vAlign w:val="bottom"/>
          </w:tcPr>
          <w:p>
            <w:pPr>
              <w:spacing w:after="0"/>
              <w:rPr>
                <w:sz w:val="24"/>
                <w:szCs w:val="24"/>
                <w:color w:val="auto"/>
              </w:rPr>
            </w:pPr>
          </w:p>
        </w:tc>
        <w:tc>
          <w:tcPr>
            <w:tcW w:w="27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20" w:type="dxa"/>
            <w:vAlign w:val="bottom"/>
            <w:tcBorders>
              <w:bottom w:val="single" w:sz="8" w:color="auto"/>
            </w:tcBorders>
          </w:tcPr>
          <w:p>
            <w:pPr>
              <w:spacing w:after="0"/>
              <w:rPr>
                <w:sz w:val="24"/>
                <w:szCs w:val="24"/>
                <w:color w:val="auto"/>
              </w:rPr>
            </w:pPr>
          </w:p>
        </w:tc>
      </w:tr>
      <w:tr>
        <w:trPr>
          <w:trHeight w:val="171"/>
        </w:trPr>
        <w:tc>
          <w:tcPr>
            <w:tcW w:w="79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80" w:type="dxa"/>
            <w:vAlign w:val="bottom"/>
            <w:shd w:val="clear" w:color="auto" w:fill="CCEEFF"/>
          </w:tcPr>
          <w:p>
            <w:pPr>
              <w:jc w:val="right"/>
              <w:ind w:right="829"/>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1,036,005</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819,191</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(211,569)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(361,045)</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9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60,822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59,698</w:t>
            </w:r>
          </w:p>
        </w:tc>
      </w:tr>
      <w:tr>
        <w:trPr>
          <w:trHeight w:val="184"/>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restricted cash</w:t>
            </w:r>
          </w:p>
        </w:tc>
        <w:tc>
          <w:tcPr>
            <w:tcW w:w="9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884,617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514,433</w:t>
            </w:r>
          </w:p>
        </w:tc>
      </w:tr>
    </w:tbl>
    <w:p>
      <w:pPr>
        <w:spacing w:after="0" w:line="2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Net cash provided by operating activities during the nine months ended October 31, 2024 was $1,036.0 million, which resulted from net income of $76.1 million, adjusted for non-cash charges of $984.9 million and net cash outflow of $25.0 million from changes in operating assets and liabilities. Non-cash charges primarily consisted of $592.9 million in stock-based compensation expense, $227.7 million of amortization of deferred contract acquisition costs, $137.9 million of depreciation and amortization, $18.7 million of amortization of intangibles assets, $11.1 million of non-cash operating lease costs, $2.7 million of non-cash interest expense, and $2.3 million of accretion of short-term investments purchased at a discount, partially offset by $6.2 million realized gains on strategic investments and $2.1 million of deferred income taxes. The net cash outflow from changes in operating assets and liabilities was primarily due to a $361.4 million increase in deferred contract acquisition costs, a $42.8 million increase in prepaid expenses and other assets, and a $11.8 million decrease in operating lease liabilities, partially offset by a $142.2 million increase in deferred revenue, an $89.9 million increase in accrued payroll and benefits, an $85.7 million increase in accrued expenses and other liabilities, a $39.2 million decrease in accounts receivable, and a $34.1 million increase in accounts payable.</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of $211.6 million during the nine months ended October 31, 2024 was primarily due to purchases of property and equipment of $167.6 million, business acquisitions, net of cash acquired, of $96.4 million, which was related to the Flow Security acquisition, capitalized internal-use software and website development costs of $41.3 million, purchases of strategic investments of $12.7 million, and purchases of deferred compensation investments of $1.8 million, partially offset by proceeds from maturities of short-term investments of $97.3 million and proceeds from sales of strategic investments of $10.9 million.</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1" w:lineRule="exact"/>
        <w:rPr>
          <w:sz w:val="20"/>
          <w:szCs w:val="20"/>
          <w:color w:val="auto"/>
        </w:rPr>
      </w:pPr>
    </w:p>
    <w:p>
      <w:pPr>
        <w:jc w:val="both"/>
        <w:ind w:right="20" w:firstLine="255"/>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of $60.8 million during the nine months ended October 31, 2024 was primarily due to proceeds from our employee stock purchase plan of $56.1 million, capital contributions from non-controlling interests of $5.5 million, and proceeds from the exercise of stock options of $3.3 million, partially offset by distributions to non-controlling interest holders of $4.1 million.</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Guarantor Financial Information</w:t>
      </w:r>
    </w:p>
    <w:p>
      <w:pPr>
        <w:spacing w:after="0" w:line="18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to our condensed consolidated financial statements in Part I, Item 1 of this Quarterly Report on Form 10-Q, for a brief description of the Senior Notes.</w:t>
      </w:r>
    </w:p>
    <w:p>
      <w:pPr>
        <w:spacing w:after="0" w:line="136" w:lineRule="exact"/>
        <w:rPr>
          <w:sz w:val="20"/>
          <w:szCs w:val="20"/>
          <w:color w:val="auto"/>
        </w:rPr>
      </w:pPr>
    </w:p>
    <w:p>
      <w:pPr>
        <w:ind w:right="180" w:firstLine="255"/>
        <w:spacing w:after="0" w:line="270" w:lineRule="auto"/>
        <w:rPr>
          <w:sz w:val="20"/>
          <w:szCs w:val="20"/>
          <w:color w:val="auto"/>
        </w:rPr>
      </w:pPr>
      <w:r>
        <w:rPr>
          <w:rFonts w:ascii="Times New Roman" w:cs="Times New Roman" w:eastAsia="Times New Roman" w:hAnsi="Times New Roman"/>
          <w:sz w:val="14"/>
          <w:szCs w:val="14"/>
          <w:color w:val="auto"/>
        </w:rPr>
        <w:t>We conduct our operations almost entirely through our subsidiaries. Accordingly, the Obligor Group’s cash flows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36"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condensed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60" w:type="dxa"/>
            <w:vAlign w:val="bottom"/>
          </w:tcPr>
          <w:p>
            <w:pPr>
              <w:spacing w:after="0"/>
              <w:rPr>
                <w:sz w:val="13"/>
                <w:szCs w:val="13"/>
                <w:color w:val="auto"/>
              </w:rPr>
            </w:pPr>
          </w:p>
        </w:tc>
        <w:tc>
          <w:tcPr>
            <w:tcW w:w="1820" w:type="dxa"/>
            <w:vAlign w:val="bottom"/>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92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0" w:type="dxa"/>
            <w:vAlign w:val="bottom"/>
          </w:tcPr>
          <w:p>
            <w:pPr>
              <w:spacing w:after="0"/>
              <w:rPr>
                <w:sz w:val="1"/>
                <w:szCs w:val="1"/>
                <w:color w:val="auto"/>
              </w:rPr>
            </w:pPr>
          </w:p>
        </w:tc>
      </w:tr>
      <w:tr>
        <w:trPr>
          <w:trHeight w:val="171"/>
        </w:trPr>
        <w:tc>
          <w:tcPr>
            <w:tcW w:w="9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jc w:val="center"/>
              <w:ind w:right="20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2,891,704</w:t>
            </w:r>
          </w:p>
        </w:tc>
        <w:tc>
          <w:tcPr>
            <w:tcW w:w="0" w:type="dxa"/>
            <w:vAlign w:val="bottom"/>
          </w:tcPr>
          <w:p>
            <w:pPr>
              <w:spacing w:after="0"/>
              <w:rPr>
                <w:sz w:val="1"/>
                <w:szCs w:val="1"/>
                <w:color w:val="auto"/>
              </w:rPr>
            </w:pP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740,626</w:t>
            </w:r>
          </w:p>
        </w:tc>
        <w:tc>
          <w:tcPr>
            <w:tcW w:w="0" w:type="dxa"/>
            <w:vAlign w:val="bottom"/>
          </w:tcPr>
          <w:p>
            <w:pPr>
              <w:spacing w:after="0"/>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2,197,725</w:t>
            </w:r>
          </w:p>
        </w:tc>
        <w:tc>
          <w:tcPr>
            <w:tcW w:w="0" w:type="dxa"/>
            <w:vAlign w:val="bottom"/>
          </w:tcPr>
          <w:p>
            <w:pPr>
              <w:spacing w:after="0"/>
              <w:rPr>
                <w:sz w:val="1"/>
                <w:szCs w:val="1"/>
                <w:color w:val="auto"/>
              </w:rPr>
            </w:pPr>
          </w:p>
        </w:tc>
      </w:tr>
      <w:tr>
        <w:trPr>
          <w:trHeight w:val="180"/>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(46,647)</w:t>
            </w:r>
          </w:p>
        </w:tc>
        <w:tc>
          <w:tcPr>
            <w:tcW w:w="0" w:type="dxa"/>
            <w:vAlign w:val="bottom"/>
          </w:tcPr>
          <w:p>
            <w:pPr>
              <w:spacing w:after="0"/>
              <w:rPr>
                <w:sz w:val="1"/>
                <w:szCs w:val="1"/>
                <w:color w:val="auto"/>
              </w:rPr>
            </w:pPr>
          </w:p>
        </w:tc>
      </w:tr>
      <w:tr>
        <w:trPr>
          <w:trHeight w:val="180"/>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63,365</w:t>
            </w:r>
          </w:p>
        </w:tc>
        <w:tc>
          <w:tcPr>
            <w:tcW w:w="0" w:type="dxa"/>
            <w:vAlign w:val="bottom"/>
          </w:tcPr>
          <w:p>
            <w:pPr>
              <w:spacing w:after="0"/>
              <w:rPr>
                <w:sz w:val="1"/>
                <w:szCs w:val="1"/>
                <w:color w:val="auto"/>
              </w:rPr>
            </w:pPr>
          </w:p>
        </w:tc>
      </w:tr>
      <w:tr>
        <w:trPr>
          <w:trHeight w:val="184"/>
        </w:trPr>
        <w:tc>
          <w:tcPr>
            <w:tcW w:w="9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CrowdStrike</w:t>
            </w:r>
          </w:p>
        </w:tc>
        <w:tc>
          <w:tcPr>
            <w:tcW w:w="260" w:type="dxa"/>
            <w:vAlign w:val="bottom"/>
          </w:tcPr>
          <w:p>
            <w:pPr>
              <w:spacing w:after="0"/>
              <w:rPr>
                <w:sz w:val="16"/>
                <w:szCs w:val="16"/>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63,365</w:t>
            </w: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October 31, 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w w:val="99"/>
              </w:rPr>
              <w:t>January 31, 2024</w:t>
            </w:r>
          </w:p>
        </w:tc>
      </w:tr>
      <w:tr>
        <w:trPr>
          <w:trHeight w:val="203"/>
        </w:trPr>
        <w:tc>
          <w:tcPr>
            <w:tcW w:w="53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tcPr>
          <w:p>
            <w:pPr>
              <w:spacing w:after="0"/>
              <w:rPr>
                <w:sz w:val="17"/>
                <w:szCs w:val="17"/>
                <w:color w:val="auto"/>
              </w:rPr>
            </w:pPr>
          </w:p>
        </w:tc>
      </w:tr>
      <w:tr>
        <w:trPr>
          <w:trHeight w:val="181"/>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 (excluding current intercompany receivables from non-Guarantors)</w:t>
            </w:r>
          </w:p>
        </w:tc>
        <w:tc>
          <w:tcPr>
            <w:tcW w:w="2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5,403,852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4,563,521</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intercompany receivables from non-Guarantors</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25,660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24,716</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assets (excluding noncurrent intercompany receivables from non-Guarantors)</w:t>
            </w:r>
          </w:p>
        </w:tc>
        <w:tc>
          <w:tcPr>
            <w:tcW w:w="2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1,796,543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1,605,308</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intercompany receivables from non-Guarantors</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392,279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280,426</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 (excluding current intercompany payables to non-Guarantors)</w:t>
            </w:r>
          </w:p>
        </w:tc>
        <w:tc>
          <w:tcPr>
            <w:tcW w:w="2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2,882,966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2,605,892</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intercompany payables to non-Guarantors</w:t>
            </w:r>
          </w:p>
        </w:tc>
        <w:tc>
          <w:tcPr>
            <w:tcW w:w="2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Noncurrent liabilities (excluding noncurrent intercompany payables to non-Guarantors)</w:t>
            </w:r>
          </w:p>
        </w:tc>
        <w:tc>
          <w:tcPr>
            <w:tcW w:w="2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1,663,028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1,586,566</w:t>
            </w:r>
          </w:p>
        </w:tc>
      </w:tr>
      <w:tr>
        <w:trPr>
          <w:trHeight w:val="184"/>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intercompany payables to non-Guarantors</w:t>
            </w:r>
          </w:p>
        </w:tc>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696"/>
        </w:trPr>
        <w:tc>
          <w:tcPr>
            <w:tcW w:w="5320" w:type="dxa"/>
            <w:vAlign w:val="bottom"/>
          </w:tcPr>
          <w:p>
            <w:pPr>
              <w:spacing w:after="0"/>
              <w:rPr>
                <w:sz w:val="24"/>
                <w:szCs w:val="24"/>
                <w:color w:val="auto"/>
              </w:rPr>
            </w:pPr>
          </w:p>
        </w:tc>
        <w:tc>
          <w:tcPr>
            <w:tcW w:w="2220" w:type="dxa"/>
            <w:vAlign w:val="bottom"/>
          </w:tcPr>
          <w:p>
            <w:pPr>
              <w:jc w:val="right"/>
              <w:ind w:right="1749"/>
              <w:spacing w:after="0"/>
              <w:rPr>
                <w:sz w:val="20"/>
                <w:szCs w:val="20"/>
                <w:color w:val="auto"/>
              </w:rPr>
            </w:pPr>
            <w:r>
              <w:rPr>
                <w:rFonts w:ascii="Times New Roman" w:cs="Times New Roman" w:eastAsia="Times New Roman" w:hAnsi="Times New Roman"/>
                <w:sz w:val="14"/>
                <w:szCs w:val="14"/>
                <w:color w:val="auto"/>
              </w:rPr>
              <w:t>45</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7"/>
        </w:trPr>
        <w:tc>
          <w:tcPr>
            <w:tcW w:w="5320" w:type="dxa"/>
            <w:vAlign w:val="bottom"/>
            <w:tcBorders>
              <w:bottom w:val="single" w:sz="8" w:color="9A9A9A"/>
            </w:tcBorders>
          </w:tcPr>
          <w:p>
            <w:pPr>
              <w:spacing w:after="0"/>
              <w:rPr>
                <w:sz w:val="7"/>
                <w:szCs w:val="7"/>
                <w:color w:val="auto"/>
              </w:rPr>
            </w:pPr>
          </w:p>
        </w:tc>
        <w:tc>
          <w:tcPr>
            <w:tcW w:w="2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Strategic Investments</w:t>
      </w:r>
    </w:p>
    <w:p>
      <w:pPr>
        <w:spacing w:after="0" w:line="181"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47"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ind w:right="40" w:firstLine="255"/>
        <w:spacing w:after="0" w:line="270" w:lineRule="auto"/>
        <w:rPr>
          <w:sz w:val="20"/>
          <w:szCs w:val="20"/>
          <w:color w:val="auto"/>
        </w:rPr>
      </w:pPr>
      <w:r>
        <w:rPr>
          <w:rFonts w:ascii="Times New Roman" w:cs="Times New Roman" w:eastAsia="Times New Roman" w:hAnsi="Times New Roman"/>
          <w:sz w:val="14"/>
          <w:szCs w:val="14"/>
          <w:color w:val="auto"/>
        </w:rPr>
        <w:t>During the nine months ended October 31, 2024, there were no significant changes to our debt obligations related to the Senior Notes or our contractual obligations under our non-cancelable real estate arrangements, as presented in Part II, Item 7, Management’s Discussion and Analysis of Financial Condition and Results of Operations included in our Annual Report on Form 10-K for the fiscal year ended January 31, 2024.</w:t>
      </w:r>
    </w:p>
    <w:p>
      <w:pPr>
        <w:spacing w:after="0" w:line="136" w:lineRule="exact"/>
        <w:rPr>
          <w:sz w:val="20"/>
          <w:szCs w:val="20"/>
          <w:color w:val="auto"/>
        </w:rPr>
      </w:pPr>
    </w:p>
    <w:p>
      <w:pPr>
        <w:ind w:right="60" w:firstLine="255"/>
        <w:spacing w:after="0" w:line="287" w:lineRule="auto"/>
        <w:rPr>
          <w:sz w:val="20"/>
          <w:szCs w:val="20"/>
          <w:color w:val="auto"/>
        </w:rPr>
      </w:pPr>
      <w:r>
        <w:rPr>
          <w:rFonts w:ascii="Times New Roman" w:cs="Times New Roman" w:eastAsia="Times New Roman" w:hAnsi="Times New Roman"/>
          <w:sz w:val="14"/>
          <w:szCs w:val="14"/>
          <w:color w:val="auto"/>
        </w:rPr>
        <w:t>We have non-cancellable purchase commitments with various parties to purchase products and services entered in the normal course of business totaling $2.8 billion as of October 31, 2024, with remaining terms in excess of 12 months. We expect to fund these obligations with cash flows from operations and cash and cash equivalents on our balance sheet.</w:t>
      </w:r>
    </w:p>
    <w:p>
      <w:pPr>
        <w:spacing w:after="0" w:line="124"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As of October 31, 2024, our unrecognized tax benefits included $12.3 million, which were classified as long-term liabilities due to the inherent uncertainty with respect to the timing of future cash outflows associated with our unrecognized tax benefits.</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As of October 31, 2024, we had non-cancellable unfunded commitments from our financing arrangements totaling approximately $49.3 million.</w:t>
      </w:r>
    </w:p>
    <w:p>
      <w:pPr>
        <w:spacing w:after="0" w:line="179" w:lineRule="exact"/>
        <w:rPr>
          <w:sz w:val="20"/>
          <w:szCs w:val="20"/>
          <w:color w:val="auto"/>
        </w:rPr>
      </w:pPr>
    </w:p>
    <w:p>
      <w:pPr>
        <w:ind w:right="380" w:firstLine="255"/>
        <w:spacing w:after="0" w:line="270" w:lineRule="auto"/>
        <w:rPr>
          <w:sz w:val="20"/>
          <w:szCs w:val="20"/>
          <w:color w:val="auto"/>
        </w:rPr>
      </w:pPr>
      <w:r>
        <w:rPr>
          <w:rFonts w:ascii="Times New Roman" w:cs="Times New Roman" w:eastAsia="Times New Roman" w:hAnsi="Times New Roman"/>
          <w:sz w:val="14"/>
          <w:szCs w:val="14"/>
          <w:color w:val="auto"/>
        </w:rPr>
        <w:t>On November 5, 2024, we entered into an agreement to acquire all of the ownership interests in A.S. Adaptive Shield Ltd. The acquisition was closed on November 20, 2024 and the total consideration transferred consisted of $213.8 million in cash, net of $13.8 million of cash acquired, and $0.7 million representing the fair value of replacement equity awards attributable to pre-acquisition service, subject to customary net working capital and purchase price adjustments. We are in the process of finalizing the intangible assets valuation and purchase price allocation.</w:t>
      </w:r>
    </w:p>
    <w:p>
      <w:pPr>
        <w:spacing w:after="0" w:line="1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condensed consolidated financial statements were prepared in accordance with U.S GAAP. The preparation of the condensed consolidated financial statements requires our management to make estimates and assumptions that affect the amounts reported in the financial statements and accompanying notes.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36"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40"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There have been no significant changes in our critical accounting policies and estimates during the nine months ended October 31, 2024, as compared to the critical accounting policies and estimates disclosed in Management’s Discussion and Analysis of Financial Condition and Results of Operations included in our Annual Report on Form 10-K for the year ended January 31, 2024, filed with the SEC on March 6, 2024.</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condensed consolidated financial statements, and are considered by us to be backlog. As of October 31, 2024, we had backlog of approximately $2.2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4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181" w:lineRule="exact"/>
        <w:rPr>
          <w:sz w:val="20"/>
          <w:szCs w:val="20"/>
          <w:color w:val="auto"/>
        </w:rPr>
      </w:pPr>
    </w:p>
    <w:p>
      <w:pPr>
        <w:ind w:right="260" w:firstLine="255"/>
        <w:spacing w:after="0" w:line="270" w:lineRule="auto"/>
        <w:rPr>
          <w:sz w:val="20"/>
          <w:szCs w:val="20"/>
          <w:color w:val="auto"/>
        </w:rPr>
      </w:pPr>
      <w:r>
        <w:rPr>
          <w:rFonts w:ascii="Times New Roman" w:cs="Times New Roman" w:eastAsia="Times New Roman" w:hAnsi="Times New Roman"/>
          <w:sz w:val="14"/>
          <w:szCs w:val="14"/>
          <w:color w:val="auto"/>
        </w:rPr>
        <w:t>Given the annual budget approval processes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b w:val="1"/>
          <w:bCs w:val="1"/>
          <w:color w:val="auto"/>
        </w:rPr>
        <w:t>Employees</w:t>
      </w:r>
    </w:p>
    <w:p>
      <w:pPr>
        <w:spacing w:after="0" w:line="181" w:lineRule="exact"/>
        <w:rPr>
          <w:sz w:val="20"/>
          <w:szCs w:val="20"/>
          <w:color w:val="auto"/>
        </w:rPr>
      </w:pPr>
    </w:p>
    <w:p>
      <w:pPr>
        <w:ind w:right="80" w:firstLine="255"/>
        <w:spacing w:after="0" w:line="264" w:lineRule="auto"/>
        <w:rPr>
          <w:sz w:val="20"/>
          <w:szCs w:val="20"/>
          <w:color w:val="auto"/>
        </w:rPr>
      </w:pPr>
      <w:r>
        <w:rPr>
          <w:rFonts w:ascii="Times New Roman" w:cs="Times New Roman" w:eastAsia="Times New Roman" w:hAnsi="Times New Roman"/>
          <w:sz w:val="14"/>
          <w:szCs w:val="14"/>
          <w:color w:val="auto"/>
        </w:rPr>
        <w:t>As of October 31, 2024, we had 9,666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38"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181"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Quarterly Report on Form 10-Q.</w:t>
      </w:r>
    </w:p>
    <w:p>
      <w:pPr>
        <w:spacing w:after="0" w:line="1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4"/>
          <w:szCs w:val="14"/>
          <w:b w:val="1"/>
          <w:bCs w:val="1"/>
          <w:color w:val="auto"/>
        </w:rPr>
        <w:t>Recently Issued Accounting Pronouncements</w:t>
      </w:r>
    </w:p>
    <w:p>
      <w:pPr>
        <w:spacing w:after="0" w:line="181" w:lineRule="exact"/>
        <w:rPr>
          <w:sz w:val="20"/>
          <w:szCs w:val="20"/>
          <w:color w:val="auto"/>
        </w:rPr>
      </w:pPr>
    </w:p>
    <w:p>
      <w:pPr>
        <w:jc w:val="both"/>
        <w:ind w:right="40" w:firstLine="255"/>
        <w:spacing w:after="0" w:line="287" w:lineRule="auto"/>
        <w:rPr>
          <w:sz w:val="20"/>
          <w:szCs w:val="20"/>
          <w:color w:val="auto"/>
        </w:rPr>
      </w:pPr>
      <w:r>
        <w:rPr>
          <w:rFonts w:ascii="Times New Roman" w:cs="Times New Roman" w:eastAsia="Times New Roman" w:hAnsi="Times New Roman"/>
          <w:sz w:val="14"/>
          <w:szCs w:val="14"/>
          <w:color w:val="auto"/>
        </w:rPr>
        <w:t>See Note 1, “Description of Business and Significant Accounting Policies,” to our condensed consolidated financial statements in Part I, Item 1 of this Quarterly Report on Form 10-Q, for more information about the impact of certain recent accounting pronouncements on our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1"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our market risks during the three and nine months ended October 31, 2024 compared to our disclosures in Part II, Item 7A of our Annual Report on Form 10-K for the fiscal year ended January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81"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Our management, with the participation of our Chief Executive Officer and Chief Financial Officer, has evaluated the effectiveness of our disclosure controls and procedures as of October 31, 2024. Based on such evaluation of our disclosure controls and procedures as of October 31, 2024, our Chief Executive Officer and Chief Financial Officer concluded that, as of such date, our disclosure controls and procedures were effective at the reasonable assurance level.</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81" w:lineRule="exact"/>
        <w:rPr>
          <w:sz w:val="20"/>
          <w:szCs w:val="20"/>
          <w:color w:val="auto"/>
        </w:rPr>
      </w:pPr>
    </w:p>
    <w:p>
      <w:pPr>
        <w:ind w:right="460" w:firstLine="255"/>
        <w:spacing w:after="0" w:line="287" w:lineRule="auto"/>
        <w:rPr>
          <w:sz w:val="20"/>
          <w:szCs w:val="20"/>
          <w:color w:val="auto"/>
        </w:rPr>
      </w:pPr>
      <w:r>
        <w:rPr>
          <w:rFonts w:ascii="Times New Roman" w:cs="Times New Roman" w:eastAsia="Times New Roman" w:hAnsi="Times New Roman"/>
          <w:sz w:val="14"/>
          <w:szCs w:val="14"/>
          <w:color w:val="auto"/>
        </w:rPr>
        <w:t>There was no change in our internal control over financial reporting identified in connection with the evaluation required by Rule 13a-15(d) and Rule 15d-15(d) of the Exchange Act that occurred during the period covered by this Quarterly Report on Form 10-Q that has materially affected, or is reasonably likely to materially affect, our internal control over financial reporting.</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8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Inherent limitations in all control systems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1"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8, “Commitments and Contingencies,” to our condensed consolidated financial statements in Part I, Item 1 of this Quarterly Report on Form 10-Q.</w:t>
      </w:r>
    </w:p>
    <w:p>
      <w:pPr>
        <w:spacing w:after="0" w:line="136"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For any claims for which we believe a liability is both probable and reasonably estimable, we record a liability in the period in which we make this determination. Other than as disclosed in Note 8, there is no pending or threatened legal proceeding to which we are a party that, in our opinion, is likely to have a material adverse effect on our business and our condensed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condensed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1"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A description of the risks and uncertainties associated with our business is set forth below. You should carefully consider the risks and uncertainties described below,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79" w:lineRule="exact"/>
        <w:rPr>
          <w:sz w:val="20"/>
          <w:szCs w:val="20"/>
          <w:color w:val="auto"/>
        </w:rPr>
      </w:pPr>
    </w:p>
    <w:p>
      <w:pPr>
        <w:ind w:right="4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July 19 Incident has had, and is expected to continue to have, an adverse effect on our business, sales, customer and partner relations, reputation, results of operations and financial condition.</w:t>
      </w:r>
    </w:p>
    <w:p>
      <w:pPr>
        <w:spacing w:after="0" w:line="122"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On July 19, 2024, we released a content configuration update for our Falcon sensor that resulted in system crashes for certain Windows systems (the “July 19 Incident”). We have incurred, and expect to continue to incur, significant costs and expenses related to the incident, including in connection with remediation efforts, customer and partner relations, measures taken to address the damage to our reputation, and other measures taken in response to the incident. Our management and other personnel are devoting significant time and resources to address the impacts of the July 19 Incident. We may also hire additional personnel to assist with our ongoing efforts. Any real or perceived failure, by us or the third-party service providers we engage, to remediate and respond to the July 19 Incident could adversely impact our business.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spacing w:after="0" w:line="146"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The July 19 Incident has harmed, and is expected to continue to harm, our business, sales, customer and partner relations, and our reputation. As a result of the incident, certain of our existing or prospective customers have elected to, and may in the future elect to, defer purchasing decisions relating to our products and services or not purchase our products and services at all. Customers have also decided, and may in the future decide, to terminate or not renew their agreements with us.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If we are unable to regain the trust of our current and prospective customers and partners, or if negative media coverage and publicity continues, our reputation and brand may suffer further, exacerbating the effects discussed herein. These factors may result in harm to our business, results of operations and financial condition.</w:t>
      </w:r>
    </w:p>
    <w:p>
      <w:pPr>
        <w:spacing w:after="0" w:line="14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are party to a number of legal proceedings relating to the July 19 Incident, such as lawsuits filed by or on behalf of third parties, including securities litigation brought on behalf of certain purchasers of our Class A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46" w:lineRule="exact"/>
        <w:rPr>
          <w:sz w:val="20"/>
          <w:szCs w:val="20"/>
          <w:color w:val="auto"/>
        </w:rPr>
      </w:pPr>
    </w:p>
    <w:p>
      <w:pPr>
        <w:ind w:right="180" w:firstLine="255"/>
        <w:spacing w:after="0" w:line="261" w:lineRule="auto"/>
        <w:rPr>
          <w:sz w:val="20"/>
          <w:szCs w:val="20"/>
          <w:color w:val="auto"/>
        </w:rPr>
      </w:pPr>
      <w:r>
        <w:rPr>
          <w:rFonts w:ascii="Times New Roman" w:cs="Times New Roman" w:eastAsia="Times New Roman" w:hAnsi="Times New Roman"/>
          <w:sz w:val="14"/>
          <w:szCs w:val="14"/>
          <w:color w:val="auto"/>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81" w:lineRule="exact"/>
        <w:rPr>
          <w:sz w:val="20"/>
          <w:szCs w:val="20"/>
          <w:color w:val="auto"/>
        </w:rPr>
      </w:pPr>
    </w:p>
    <w:p>
      <w:pPr>
        <w:ind w:right="180" w:firstLine="255"/>
        <w:spacing w:after="0" w:line="264" w:lineRule="auto"/>
        <w:rPr>
          <w:sz w:val="20"/>
          <w:szCs w:val="20"/>
          <w:color w:val="auto"/>
        </w:rPr>
      </w:pPr>
      <w:r>
        <w:rPr>
          <w:rFonts w:ascii="Times New Roman" w:cs="Times New Roman" w:eastAsia="Times New Roman" w:hAnsi="Times New Roman"/>
          <w:sz w:val="14"/>
          <w:szCs w:val="14"/>
          <w:color w:val="auto"/>
        </w:rPr>
        <w:t>We have experienced rapid revenue growth in recent periods and we expect to continue to invest broadly across our organization to support our growth. For example, our headcount grew from 4,965 employees as of January 31, 2022, to 9,666 employees as of October 31, 2024.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40" w:lineRule="exact"/>
        <w:rPr>
          <w:sz w:val="20"/>
          <w:szCs w:val="20"/>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effectively attract, integrate, and retain a large number of new employees, particularly members of our sales and marketing and research and development teams;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improve our Falcon platform, including our cloud modules, and IT infrastructure, including expanding and optimizing our data centers, to support our business needs;</w:t>
      </w:r>
    </w:p>
    <w:p>
      <w:pPr>
        <w:spacing w:after="0" w:line="178" w:lineRule="exact"/>
        <w:rPr>
          <w:rFonts w:ascii="Times New Roman" w:cs="Times New Roman" w:eastAsia="Times New Roman" w:hAnsi="Times New Roman"/>
          <w:sz w:val="14"/>
          <w:szCs w:val="14"/>
          <w:color w:val="auto"/>
        </w:rPr>
      </w:pPr>
    </w:p>
    <w:p>
      <w:pPr>
        <w:ind w:left="900" w:right="20" w:hanging="259"/>
        <w:spacing w:after="0" w:line="287" w:lineRule="auto"/>
        <w:tabs>
          <w:tab w:leader="none" w:pos="89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improve our financial, management, and compliance systems and controls.</w:t>
      </w:r>
    </w:p>
    <w:p>
      <w:pPr>
        <w:spacing w:after="0" w:line="179"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a history of losses, and while we have achieved profitability in certain periods, including fiscal 2024, we may not be able to achieve or sustain profitability in the future.</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have incurred net losses each year prior to fiscal 2024, and we may not achieve or maintain profitability in the future. We experienced net gains of $89.3 million for fiscal 2024, and net losses of $183.2 million, and $234.8 million for fiscal 2023, and fiscal 2022, respectively. As of October 31, 2024, we had an accumulated deficit of $1.0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organizations do not adopt cloud-based SaaS-delivered endpoint security solutions, our ability to grow our business and results of operations may be adversely affected.</w:t>
      </w:r>
    </w:p>
    <w:p>
      <w:pPr>
        <w:spacing w:after="0" w:line="181"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affected. You should consider our business and prospects in light of the risks and difficulties we encounter in this new and evolving market.</w:t>
      </w:r>
    </w:p>
    <w:p>
      <w:pPr>
        <w:spacing w:after="0" w:line="177" w:lineRule="exact"/>
        <w:rPr>
          <w:sz w:val="20"/>
          <w:szCs w:val="20"/>
          <w:color w:val="auto"/>
        </w:rPr>
      </w:pPr>
    </w:p>
    <w:p>
      <w:pPr>
        <w:ind w:right="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22" w:lineRule="exact"/>
        <w:rPr>
          <w:sz w:val="20"/>
          <w:szCs w:val="20"/>
          <w:color w:val="auto"/>
        </w:rPr>
      </w:pPr>
    </w:p>
    <w:p>
      <w:pPr>
        <w:ind w:right="360" w:firstLine="255"/>
        <w:spacing w:after="0" w:line="261" w:lineRule="auto"/>
        <w:rPr>
          <w:sz w:val="20"/>
          <w:szCs w:val="20"/>
          <w:color w:val="auto"/>
        </w:rPr>
      </w:pPr>
      <w:r>
        <w:rPr>
          <w:rFonts w:ascii="Times New Roman" w:cs="Times New Roman" w:eastAsia="Times New Roman" w:hAnsi="Times New Roman"/>
          <w:sz w:val="14"/>
          <w:szCs w:val="14"/>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43"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we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our future results of operations could be harmed.</w:t>
      </w:r>
    </w:p>
    <w:p>
      <w:pPr>
        <w:spacing w:after="0" w:line="181"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or other public health crises, volatility in the banking and financial services sector,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customers do not renew their subscriptions for our products and add additional cloud modules to their subscriptions, our future results of operations could be harmed.</w:t>
      </w:r>
    </w:p>
    <w:p>
      <w:pPr>
        <w:spacing w:after="0" w:line="181"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4"/>
          <w:szCs w:val="14"/>
          <w:color w:val="auto"/>
        </w:rPr>
        <w:t>decline to purchase additional cloud modules or choose not to consolidate onto our Falcon platform.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and general economic and geopolitical conditions. If our efforts to maintain and expand our relationships with our existing customers are not successful, our business, results of operations, and financial condition may materially suffer.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sales cycles can be long and unpredictable, and our sales efforts require considerable time and expense.</w:t>
      </w:r>
    </w:p>
    <w:p>
      <w:pPr>
        <w:spacing w:after="0" w:line="181"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expect to continue to experience, longer sales cycles in connection with the July 19 Incident.</w:t>
      </w:r>
    </w:p>
    <w:p>
      <w:pPr>
        <w:spacing w:after="0" w:line="146" w:lineRule="exact"/>
        <w:rPr>
          <w:sz w:val="20"/>
          <w:szCs w:val="20"/>
          <w:color w:val="auto"/>
        </w:rPr>
      </w:pPr>
    </w:p>
    <w:p>
      <w:pPr>
        <w:ind w:right="100" w:firstLine="255"/>
        <w:spacing w:after="0" w:line="264" w:lineRule="auto"/>
        <w:rPr>
          <w:sz w:val="20"/>
          <w:szCs w:val="20"/>
          <w:color w:val="auto"/>
        </w:rPr>
      </w:pPr>
      <w:r>
        <w:rPr>
          <w:rFonts w:ascii="Times New Roman" w:cs="Times New Roman" w:eastAsia="Times New Roman" w:hAnsi="Times New Roman"/>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81"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3" w:lineRule="exact"/>
        <w:rPr>
          <w:sz w:val="20"/>
          <w:szCs w:val="20"/>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capabilities, including performance and reliability, of our Falcon platform, including our cloud modules, services, and features compared to those of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ability of our competitors, to improve existing products, services, and features, or to develop new ones to address evolving customer needs;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retain, and motivate talented employees;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and maintain relationships with channel partners and direct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sales and marketing efforts;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strength of our reputation and brand, including the impact to our reputation and brand as a result of the July 19 Incident;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or consolidation within our industry, which may result in more formidable competitors.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competitors include the following by general category:</w:t>
      </w:r>
    </w:p>
    <w:p>
      <w:pPr>
        <w:spacing w:after="0" w:line="179" w:lineRule="exact"/>
        <w:rPr>
          <w:sz w:val="20"/>
          <w:szCs w:val="20"/>
          <w:color w:val="auto"/>
        </w:rPr>
      </w:pPr>
    </w:p>
    <w:p>
      <w:pPr>
        <w:ind w:left="5580" w:right="2120" w:hanging="4939"/>
        <w:spacing w:after="0" w:line="983" w:lineRule="auto"/>
        <w:tabs>
          <w:tab w:leader="none" w:pos="899"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legacy antivirus product providers who offer a broad range of approaches and solutions including traditional signature-based anti-virus protection;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-274320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endpoint security providers who generally offer a mix of on-premise and cloud-hosted products that rely heavily on malware-only or application whitelisting techniques;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security vendors who are supplementing their core perimeter-based offerings with endpoint or cloud security solutions;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cloud security vendors, including those who focus on public cloud infrastructure and services;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identity security vendors that seek to identify and secure user accounts and related activities;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professional service providers who offer cybersecurity response services.</w:t>
      </w:r>
    </w:p>
    <w:p>
      <w:pPr>
        <w:spacing w:after="0" w:line="17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including with respect to AI. Our competitors may more successfully incorporate AI into their products, gain or leverage superior access 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pricing pressure may reduce our gross profits and adversely affect our financial results.</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3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43" w:lineRule="exact"/>
        <w:rPr>
          <w:sz w:val="20"/>
          <w:szCs w:val="20"/>
          <w:color w:val="auto"/>
        </w:rPr>
      </w:pPr>
    </w:p>
    <w:p>
      <w:pPr>
        <w:ind w:right="140" w:firstLine="255"/>
        <w:spacing w:after="0" w:line="261" w:lineRule="auto"/>
        <w:rPr>
          <w:sz w:val="20"/>
          <w:szCs w:val="20"/>
          <w:color w:val="auto"/>
        </w:rPr>
      </w:pPr>
      <w:r>
        <w:rPr>
          <w:rFonts w:ascii="Times New Roman" w:cs="Times New Roman" w:eastAsia="Times New Roman" w:hAnsi="Times New Roman"/>
          <w:sz w:val="14"/>
          <w:szCs w:val="14"/>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If we fail to timely detect defects or errors before deployment in the future, our brand and reputation, business and results of operations will suffer further. We cannot assure you that our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4"/>
          <w:szCs w:val="14"/>
          <w:color w:val="auto"/>
        </w:rPr>
        <w:t>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147"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4"/>
          <w:szCs w:val="14"/>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47"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44" w:lineRule="exact"/>
        <w:rPr>
          <w:sz w:val="20"/>
          <w:szCs w:val="20"/>
          <w:color w:val="auto"/>
        </w:rPr>
      </w:pPr>
    </w:p>
    <w:p>
      <w:pPr>
        <w:ind w:right="1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 cybersecurity provider, we have been, and expect to continue to be, a target of cyberattacks. If our or our service providers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internal networks, systems, or data are or are perceived to have been compromised, our reputation may be damaged and our financial results may be negatively affected.</w:t>
      </w:r>
    </w:p>
    <w:p>
      <w:pPr>
        <w:spacing w:after="0" w:line="122"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4"/>
          <w:szCs w:val="14"/>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regular briefing of our directors and officers on our cybersecurity risks, preparedness, and management, will be effective in protecting us from such attacks.</w:t>
      </w:r>
    </w:p>
    <w:p>
      <w:pPr>
        <w:spacing w:after="0" w:line="179"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46"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38"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22"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factors, many of which are beyond our control, can affect the delivery, availability, and the performance of our Falcon platform:</w:t>
      </w:r>
    </w:p>
    <w:p>
      <w:pPr>
        <w:spacing w:after="0" w:line="179" w:lineRule="exact"/>
        <w:rPr>
          <w:sz w:val="20"/>
          <w:szCs w:val="20"/>
          <w:color w:val="auto"/>
        </w:rPr>
      </w:pPr>
    </w:p>
    <w:p>
      <w:pPr>
        <w:ind w:left="900" w:hanging="259"/>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and maintenance of the infrastructure of the internet;</w:t>
      </w:r>
    </w:p>
    <w:p>
      <w:pPr>
        <w:spacing w:after="0" w:line="178" w:lineRule="exact"/>
        <w:rPr>
          <w:rFonts w:ascii="Times New Roman" w:cs="Times New Roman" w:eastAsia="Times New Roman" w:hAnsi="Times New Roman"/>
          <w:sz w:val="14"/>
          <w:szCs w:val="14"/>
          <w:color w:val="auto"/>
        </w:rPr>
      </w:pPr>
    </w:p>
    <w:p>
      <w:pPr>
        <w:ind w:left="900" w:right="260" w:hanging="259"/>
        <w:spacing w:after="0" w:line="287" w:lineRule="auto"/>
        <w:tabs>
          <w:tab w:leader="none" w:pos="89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24" w:lineRule="exact"/>
        <w:rPr>
          <w:rFonts w:ascii="Times New Roman" w:cs="Times New Roman" w:eastAsia="Times New Roman" w:hAnsi="Times New Roman"/>
          <w:sz w:val="14"/>
          <w:szCs w:val="14"/>
          <w:color w:val="auto"/>
        </w:rPr>
      </w:pPr>
    </w:p>
    <w:p>
      <w:pPr>
        <w:ind w:left="900" w:right="240" w:hanging="259"/>
        <w:spacing w:after="0" w:line="287" w:lineRule="auto"/>
        <w:tabs>
          <w:tab w:leader="none" w:pos="89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24" w:lineRule="exact"/>
        <w:rPr>
          <w:rFonts w:ascii="Times New Roman" w:cs="Times New Roman" w:eastAsia="Times New Roman" w:hAnsi="Times New Roman"/>
          <w:sz w:val="14"/>
          <w:szCs w:val="14"/>
          <w:color w:val="auto"/>
        </w:rPr>
      </w:pPr>
    </w:p>
    <w:p>
      <w:pPr>
        <w:ind w:left="900" w:right="180" w:hanging="259"/>
        <w:spacing w:after="0" w:line="287" w:lineRule="auto"/>
        <w:tabs>
          <w:tab w:leader="none" w:pos="89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physical or electronic break-ins, acts of war or terrorism, human error or interference (including by disgruntled employees, former employees or contractors) and other catastrophic events;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including denial of service attacks, targeted at us, our data centers, or the infrastructure of the internet;</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by us to maintain and update our cloud infrastructure to meet our data capacity requirements;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errors, defects or performance problems in our software, including third-party software incorporated in our software;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improper deployment or configuration of our solutions;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redundancy systems, in the event of a service disruption at one of our data centers, to provide failover to other data centers in our data center network;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our disaster recovery and business continuity arrangements.</w:t>
      </w:r>
    </w:p>
    <w:p>
      <w:pPr>
        <w:spacing w:after="0" w:line="17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rely on our key technical, sales and management personnel to grow our business, and the loss of one or more key employees could harm our business.</w:t>
      </w:r>
    </w:p>
    <w:p>
      <w:pPr>
        <w:spacing w:after="0" w:line="181" w:lineRule="exact"/>
        <w:rPr>
          <w:sz w:val="20"/>
          <w:szCs w:val="20"/>
          <w:color w:val="auto"/>
        </w:rPr>
      </w:pPr>
    </w:p>
    <w:p>
      <w:pPr>
        <w:ind w:right="100" w:firstLine="255"/>
        <w:spacing w:after="0" w:line="259" w:lineRule="auto"/>
        <w:rPr>
          <w:sz w:val="20"/>
          <w:szCs w:val="20"/>
          <w:color w:val="auto"/>
        </w:rPr>
      </w:pPr>
      <w:r>
        <w:rPr>
          <w:rFonts w:ascii="Times New Roman" w:cs="Times New Roman" w:eastAsia="Times New Roman" w:hAnsi="Times New Roman"/>
          <w:sz w:val="14"/>
          <w:szCs w:val="14"/>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qualified personnel, our business could be harmed.</w:t>
      </w:r>
    </w:p>
    <w:p>
      <w:pPr>
        <w:spacing w:after="0" w:line="18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48" w:lineRule="exact"/>
        <w:rPr>
          <w:sz w:val="20"/>
          <w:szCs w:val="20"/>
          <w:color w:val="auto"/>
        </w:rPr>
      </w:pPr>
    </w:p>
    <w:p>
      <w:pPr>
        <w:ind w:firstLine="255"/>
        <w:spacing w:after="0" w:line="264" w:lineRule="auto"/>
        <w:rPr>
          <w:sz w:val="20"/>
          <w:szCs w:val="20"/>
          <w:color w:val="auto"/>
        </w:rPr>
      </w:pPr>
      <w:r>
        <w:rPr>
          <w:rFonts w:ascii="Times New Roman" w:cs="Times New Roman" w:eastAsia="Times New Roman" w:hAnsi="Times New Roman"/>
          <w:sz w:val="14"/>
          <w:szCs w:val="14"/>
          <w:color w:val="auto"/>
        </w:rPr>
        <w:t>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w:t>
      </w: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failure to successfully attract, integrate or retain qualified personnel to fulfill our current or future needs could adversely affect our business, results of operations and financial condition.</w:t>
      </w:r>
    </w:p>
    <w:p>
      <w:pPr>
        <w:spacing w:after="0" w:line="17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8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48" w:lineRule="exact"/>
        <w:rPr>
          <w:sz w:val="20"/>
          <w:szCs w:val="20"/>
          <w:color w:val="auto"/>
        </w:rPr>
      </w:pPr>
    </w:p>
    <w:p>
      <w:pPr>
        <w:ind w:right="2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81" w:lineRule="exact"/>
        <w:rPr>
          <w:sz w:val="20"/>
          <w:szCs w:val="20"/>
          <w:color w:val="auto"/>
        </w:rPr>
      </w:pPr>
    </w:p>
    <w:p>
      <w:pPr>
        <w:jc w:val="both"/>
        <w:ind w:right="140" w:firstLine="255"/>
        <w:spacing w:after="0" w:line="270" w:lineRule="auto"/>
        <w:rPr>
          <w:sz w:val="20"/>
          <w:szCs w:val="20"/>
          <w:color w:val="auto"/>
        </w:rPr>
      </w:pPr>
      <w:r>
        <w:rPr>
          <w:rFonts w:ascii="Times New Roman" w:cs="Times New Roman" w:eastAsia="Times New Roman" w:hAnsi="Times New Roman"/>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36" w:lineRule="exact"/>
        <w:rPr>
          <w:sz w:val="20"/>
          <w:szCs w:val="20"/>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and retain existing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budgeting cycles, seasonal buying patterns, and purchasing practices of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difficulties confronting our customers, which may impact the number of modules or endpoint deployments they are willing or able to purchase;</w:t>
      </w:r>
    </w:p>
    <w:p>
      <w:pPr>
        <w:spacing w:after="0" w:line="178" w:lineRule="exact"/>
        <w:rPr>
          <w:rFonts w:ascii="Times New Roman" w:cs="Times New Roman" w:eastAsia="Times New Roman" w:hAnsi="Times New Roman"/>
          <w:sz w:val="14"/>
          <w:szCs w:val="14"/>
          <w:color w:val="auto"/>
        </w:rPr>
      </w:pPr>
    </w:p>
    <w:p>
      <w:pPr>
        <w:ind w:left="900" w:right="480" w:hanging="259"/>
        <w:spacing w:after="0" w:line="287" w:lineRule="auto"/>
        <w:tabs>
          <w:tab w:leader="none" w:pos="89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insolvency or credit difficulties confronting our customers, affecting their ability to purchase or pay for our solutions, including in connection with our customer and end-user financing arrangements;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length of our sales cycles;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 or channel partner requirements or market needs;</w:t>
      </w:r>
    </w:p>
    <w:p>
      <w:pPr>
        <w:spacing w:after="0" w:line="200" w:lineRule="exact"/>
        <w:rPr>
          <w:sz w:val="20"/>
          <w:szCs w:val="20"/>
          <w:color w:val="auto"/>
        </w:rPr>
      </w:pPr>
    </w:p>
    <w:p>
      <w:pPr>
        <w:spacing w:after="0" w:line="2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4"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disruption in our relationship with channel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growth rate of the cloud-based SaaS-delivered endpoint security solutions market;</w:t>
      </w:r>
    </w:p>
    <w:p>
      <w:pPr>
        <w:spacing w:after="0" w:line="178" w:lineRule="exact"/>
        <w:rPr>
          <w:rFonts w:ascii="Times New Roman" w:cs="Times New Roman" w:eastAsia="Times New Roman" w:hAnsi="Times New Roman"/>
          <w:sz w:val="14"/>
          <w:szCs w:val="14"/>
          <w:color w:val="auto"/>
        </w:rPr>
      </w:pPr>
    </w:p>
    <w:p>
      <w:pPr>
        <w:ind w:left="900" w:right="240" w:hanging="259"/>
        <w:spacing w:after="0" w:line="287" w:lineRule="auto"/>
        <w:tabs>
          <w:tab w:leader="none" w:pos="89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 and service introductions by us or our competitors or any other competitive developments, including consolidation among our customers or competitors;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decisions by organizations to purchase security solutions from larger, more established security vendors or from their primary IT equipment vendors;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awareness of cybersecurity threats, particularly advanced cyberattacks, and the market adoption of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of, technical difficulties with or interruptions to, the use of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to our business from the July 19 Incident;</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negative media coverage or publicity;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expand our business domestically and internationally;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operating costs (including new hires), tightening of labor markets and capital expenditures related to the expansion of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extraordinary expenses such as litigation or other dispute-related settlement payments or outcomes;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decreases in our expenses caused by fluctuations in foreign currency exchange rates;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accounting pronouncements or changes in our accounting policies or practices;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valuation allowances for our deferred tax assets;</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deteriorating or volatile conditions in the global economy and financial markets, including as a result of weak or negative gross domestic product growth, uncertainty or disruptions in the capital and credit markets, changing interest rates, inflation, bank failures or adverse conditions impacting financial institutions, and supply-chain disruptions; and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events, geopolitical unrest or tension, acts of war and terrorism.</w:t>
      </w:r>
    </w:p>
    <w:p>
      <w:pPr>
        <w:spacing w:after="0" w:line="17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Class A common stock.</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295"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22"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43"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spacing w:after="0" w:line="146"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22"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international operations and plans for future international expansion expose us to significant risks, and failure to manage those risks could adversely impact our business.</w:t>
      </w:r>
    </w:p>
    <w:p>
      <w:pPr>
        <w:spacing w:after="0" w:line="181"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derived approximately 28%, 30%, 32% and 32% of our total revenue from our international customers for fiscal 2022, fiscal 2023, fiscal 2024 and the nine months ended October 31, 2024,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40" w:lineRule="exact"/>
        <w:rPr>
          <w:sz w:val="20"/>
          <w:szCs w:val="20"/>
          <w:color w:val="auto"/>
        </w:rPr>
      </w:pPr>
    </w:p>
    <w:p>
      <w:pPr>
        <w:ind w:left="900" w:hanging="259"/>
        <w:spacing w:after="0"/>
        <w:tabs>
          <w:tab w:leader="none" w:pos="900" w:val="left"/>
        </w:tabs>
        <w:numPr>
          <w:ilvl w:val="0"/>
          <w:numId w:val="23"/>
        </w:numPr>
        <w:rPr>
          <w:rFonts w:ascii="Arial" w:cs="Arial" w:eastAsia="Arial" w:hAnsi="Arial"/>
          <w:sz w:val="14"/>
          <w:szCs w:val="14"/>
          <w:color w:val="auto"/>
        </w:rPr>
      </w:pPr>
      <w:r>
        <w:rPr>
          <w:rFonts w:ascii="Times New Roman" w:cs="Times New Roman" w:eastAsia="Times New Roman" w:hAnsi="Times New Roman"/>
          <w:sz w:val="14"/>
          <w:szCs w:val="14"/>
          <w:color w:val="auto"/>
        </w:rPr>
        <w:t>greater difficulty in negotiating contracts with standard terms, enforcing contracts and managing collections, and longer collection periods;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of doing business internationally, including costs incurred in establishing and maintaining office space and equipment for our international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communication and integration problems resulting from cultural and geographic dispersion;</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greater risk of unexpected changes in regulatory practices, tariffs, and tax laws and treaties;</w:t>
      </w:r>
    </w:p>
    <w:p>
      <w:pPr>
        <w:spacing w:after="0" w:line="178" w:lineRule="exact"/>
        <w:rPr>
          <w:rFonts w:ascii="Times New Roman" w:cs="Times New Roman" w:eastAsia="Times New Roman" w:hAnsi="Times New Roman"/>
          <w:sz w:val="14"/>
          <w:szCs w:val="14"/>
          <w:color w:val="auto"/>
        </w:rPr>
      </w:pPr>
    </w:p>
    <w:p>
      <w:pPr>
        <w:ind w:left="900" w:right="40" w:hanging="259"/>
        <w:spacing w:after="0" w:line="287" w:lineRule="auto"/>
        <w:tabs>
          <w:tab w:leader="none" w:pos="89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24" w:lineRule="exact"/>
        <w:rPr>
          <w:rFonts w:ascii="Times New Roman" w:cs="Times New Roman" w:eastAsia="Times New Roman" w:hAnsi="Times New Roman"/>
          <w:sz w:val="14"/>
          <w:szCs w:val="14"/>
          <w:color w:val="auto"/>
        </w:rPr>
      </w:pPr>
    </w:p>
    <w:p>
      <w:pPr>
        <w:ind w:left="900" w:right="520" w:hanging="259"/>
        <w:spacing w:after="0" w:line="286" w:lineRule="auto"/>
        <w:tabs>
          <w:tab w:leader="none" w:pos="896"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24"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the uncertainty of protection for intellectual property rights in some countries;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general economic and political conditions in these foreign markets;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foreign exchange controls or tax regulations that might prevent us from repatriating cash earned outside the United States;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political and economic instability in some countries;</w:t>
      </w:r>
    </w:p>
    <w:p>
      <w:pPr>
        <w:spacing w:after="0" w:line="177" w:lineRule="exact"/>
        <w:rPr>
          <w:rFonts w:ascii="Arial" w:cs="Arial" w:eastAsia="Arial" w:hAnsi="Arial"/>
          <w:sz w:val="14"/>
          <w:szCs w:val="14"/>
          <w:color w:val="auto"/>
        </w:rPr>
      </w:pPr>
    </w:p>
    <w:p>
      <w:pPr>
        <w:ind w:left="900" w:right="260" w:hanging="259"/>
        <w:spacing w:after="0" w:line="286" w:lineRule="auto"/>
        <w:tabs>
          <w:tab w:leader="none" w:pos="896"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double taxation of our international earnings and potentially adverse tax consequences due to changes in the tax laws of the United States or the foreign jurisdictions in which we operate;</w:t>
      </w:r>
    </w:p>
    <w:p>
      <w:pPr>
        <w:spacing w:after="0" w:line="124" w:lineRule="exact"/>
        <w:rPr>
          <w:rFonts w:ascii="Arial" w:cs="Arial" w:eastAsia="Arial" w:hAnsi="Arial"/>
          <w:sz w:val="14"/>
          <w:szCs w:val="14"/>
          <w:color w:val="auto"/>
        </w:rPr>
      </w:pPr>
    </w:p>
    <w:p>
      <w:pPr>
        <w:ind w:left="900" w:right="200" w:hanging="259"/>
        <w:spacing w:after="0" w:line="286" w:lineRule="auto"/>
        <w:tabs>
          <w:tab w:leader="none" w:pos="896"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24"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requirements to comply with foreign privacy, data protection, and information security laws and regulations and the risks and costs of noncompliance;</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greater difficulty in identifying, attracting and retaining local qualified personnel, and the costs and expenses associated with such activities;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greater difficulty identifying qualified channel partners and maintaining successful relationships with such partners;</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Arial" w:cs="Arial" w:eastAsia="Arial" w:hAnsi="Arial"/>
          <w:sz w:val="14"/>
          <w:szCs w:val="14"/>
          <w:color w:val="auto"/>
        </w:rPr>
      </w:pPr>
      <w:r>
        <w:rPr>
          <w:rFonts w:ascii="Times New Roman" w:cs="Times New Roman" w:eastAsia="Times New Roman" w:hAnsi="Times New Roman"/>
          <w:sz w:val="14"/>
          <w:szCs w:val="14"/>
          <w:color w:val="auto"/>
        </w:rPr>
        <w:t>differing employment practices and labor relations issues; and</w:t>
      </w:r>
    </w:p>
    <w:p>
      <w:pPr>
        <w:spacing w:after="0" w:line="177" w:lineRule="exact"/>
        <w:rPr>
          <w:rFonts w:ascii="Arial" w:cs="Arial" w:eastAsia="Arial" w:hAnsi="Arial"/>
          <w:sz w:val="14"/>
          <w:szCs w:val="14"/>
          <w:color w:val="auto"/>
        </w:rPr>
      </w:pPr>
    </w:p>
    <w:p>
      <w:pPr>
        <w:ind w:left="900" w:hanging="259"/>
        <w:spacing w:after="0"/>
        <w:tabs>
          <w:tab w:leader="none" w:pos="9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and staffing international offices and increased travel, infrastructure, and legal compliance costs associated with multiple international locations.</w:t>
      </w:r>
    </w:p>
    <w:p>
      <w:pPr>
        <w:spacing w:after="0" w:line="179" w:lineRule="exact"/>
        <w:rPr>
          <w:sz w:val="20"/>
          <w:szCs w:val="20"/>
          <w:color w:val="auto"/>
        </w:rPr>
      </w:pPr>
    </w:p>
    <w:p>
      <w:pPr>
        <w:jc w:val="both"/>
        <w:ind w:right="60" w:firstLine="255"/>
        <w:spacing w:after="0" w:line="261" w:lineRule="auto"/>
        <w:rPr>
          <w:sz w:val="20"/>
          <w:szCs w:val="20"/>
          <w:color w:val="auto"/>
        </w:rPr>
      </w:pPr>
      <w:r>
        <w:rPr>
          <w:rFonts w:ascii="Times New Roman" w:cs="Times New Roman" w:eastAsia="Times New Roman" w:hAnsi="Times New Roman"/>
          <w:sz w:val="14"/>
          <w:szCs w:val="14"/>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43" w:lineRule="exact"/>
        <w:rPr>
          <w:sz w:val="20"/>
          <w:szCs w:val="20"/>
          <w:color w:val="auto"/>
        </w:rPr>
      </w:pPr>
    </w:p>
    <w:p>
      <w:pPr>
        <w:jc w:val="both"/>
        <w:ind w:right="220" w:firstLine="255"/>
        <w:spacing w:after="0" w:line="270" w:lineRule="auto"/>
        <w:rPr>
          <w:sz w:val="20"/>
          <w:szCs w:val="20"/>
          <w:color w:val="auto"/>
        </w:rPr>
      </w:pPr>
      <w:r>
        <w:rPr>
          <w:rFonts w:ascii="Times New Roman" w:cs="Times New Roman" w:eastAsia="Times New Roman" w:hAnsi="Times New Roman"/>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295"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22" w:lineRule="exact"/>
        <w:rPr>
          <w:sz w:val="20"/>
          <w:szCs w:val="20"/>
          <w:color w:val="auto"/>
        </w:rPr>
      </w:pPr>
    </w:p>
    <w:p>
      <w:pPr>
        <w:ind w:right="20" w:firstLine="255"/>
        <w:spacing w:after="0" w:line="264" w:lineRule="auto"/>
        <w:rPr>
          <w:sz w:val="20"/>
          <w:szCs w:val="20"/>
          <w:color w:val="auto"/>
        </w:rPr>
      </w:pPr>
      <w:r>
        <w:rPr>
          <w:rFonts w:ascii="Times New Roman" w:cs="Times New Roman" w:eastAsia="Times New Roman" w:hAnsi="Times New Roman"/>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Sales to such government entities include, but are not limited to, the following risks:</w:t>
      </w:r>
    </w:p>
    <w:p>
      <w:pPr>
        <w:spacing w:after="0" w:line="210" w:lineRule="exact"/>
        <w:rPr>
          <w:sz w:val="20"/>
          <w:szCs w:val="20"/>
          <w:color w:val="auto"/>
        </w:rPr>
      </w:pPr>
    </w:p>
    <w:p>
      <w:pPr>
        <w:ind w:left="900" w:right="340" w:hanging="259"/>
        <w:spacing w:after="0" w:line="238"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87" w:lineRule="exact"/>
        <w:rPr>
          <w:rFonts w:ascii="Arial" w:cs="Arial" w:eastAsia="Arial" w:hAnsi="Arial"/>
          <w:sz w:val="17"/>
          <w:szCs w:val="17"/>
          <w:color w:val="auto"/>
        </w:rPr>
      </w:pPr>
    </w:p>
    <w:p>
      <w:pPr>
        <w:ind w:left="900" w:hanging="259"/>
        <w:spacing w:after="0" w:line="238"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87" w:lineRule="exact"/>
        <w:rPr>
          <w:rFonts w:ascii="Arial" w:cs="Arial" w:eastAsia="Arial" w:hAnsi="Arial"/>
          <w:sz w:val="17"/>
          <w:szCs w:val="17"/>
          <w:color w:val="auto"/>
        </w:rPr>
      </w:pPr>
    </w:p>
    <w:p>
      <w:pPr>
        <w:ind w:left="900" w:right="40" w:hanging="259"/>
        <w:spacing w:after="0" w:line="251"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81" w:lineRule="exact"/>
        <w:rPr>
          <w:rFonts w:ascii="Arial" w:cs="Arial" w:eastAsia="Arial" w:hAnsi="Arial"/>
          <w:sz w:val="17"/>
          <w:szCs w:val="17"/>
          <w:color w:val="auto"/>
        </w:rPr>
      </w:pPr>
    </w:p>
    <w:p>
      <w:pPr>
        <w:ind w:left="900" w:right="20" w:hanging="259"/>
        <w:spacing w:after="0" w:line="238"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187" w:lineRule="exact"/>
        <w:rPr>
          <w:rFonts w:ascii="Arial" w:cs="Arial" w:eastAsia="Arial" w:hAnsi="Arial"/>
          <w:sz w:val="17"/>
          <w:szCs w:val="17"/>
          <w:color w:val="auto"/>
        </w:rPr>
      </w:pPr>
    </w:p>
    <w:p>
      <w:pPr>
        <w:ind w:left="900" w:right="60" w:hanging="259"/>
        <w:spacing w:after="0" w:line="244"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84" w:lineRule="exact"/>
        <w:rPr>
          <w:rFonts w:ascii="Arial" w:cs="Arial" w:eastAsia="Arial" w:hAnsi="Arial"/>
          <w:sz w:val="17"/>
          <w:szCs w:val="17"/>
          <w:color w:val="auto"/>
        </w:rPr>
      </w:pPr>
    </w:p>
    <w:p>
      <w:pPr>
        <w:ind w:left="900" w:right="40" w:hanging="259"/>
        <w:spacing w:after="0" w:line="238"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 attitudes towards us as a company, our platform or the capabilities that we offer as a viable software solution may change, and reduce interest in our products and services as acceptable solutions;</w:t>
      </w:r>
    </w:p>
    <w:p>
      <w:pPr>
        <w:spacing w:after="0" w:line="187" w:lineRule="exact"/>
        <w:rPr>
          <w:rFonts w:ascii="Arial" w:cs="Arial" w:eastAsia="Arial" w:hAnsi="Arial"/>
          <w:sz w:val="17"/>
          <w:szCs w:val="17"/>
          <w:color w:val="auto"/>
        </w:rPr>
      </w:pPr>
    </w:p>
    <w:p>
      <w:pPr>
        <w:ind w:left="900" w:hanging="259"/>
        <w:spacing w:after="0" w:line="238"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187" w:lineRule="exact"/>
        <w:rPr>
          <w:rFonts w:ascii="Arial" w:cs="Arial" w:eastAsia="Arial" w:hAnsi="Arial"/>
          <w:sz w:val="17"/>
          <w:szCs w:val="17"/>
          <w:color w:val="auto"/>
        </w:rPr>
      </w:pPr>
    </w:p>
    <w:p>
      <w:pPr>
        <w:jc w:val="both"/>
        <w:ind w:left="900" w:right="560" w:hanging="259"/>
        <w:spacing w:after="0" w:line="251"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67" w:lineRule="exact"/>
        <w:rPr>
          <w:rFonts w:ascii="Arial" w:cs="Arial" w:eastAsia="Arial" w:hAnsi="Arial"/>
          <w:sz w:val="17"/>
          <w:szCs w:val="17"/>
          <w:color w:val="auto"/>
        </w:rPr>
      </w:pPr>
    </w:p>
    <w:p>
      <w:pPr>
        <w:ind w:left="900" w:hanging="259"/>
        <w:spacing w:after="0"/>
        <w:tabs>
          <w:tab w:leader="none" w:pos="900"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even if we are awarded a sale, the terms of such contracts may be unusually burdensome;</w:t>
      </w:r>
    </w:p>
    <w:p>
      <w:pPr>
        <w:spacing w:after="0" w:line="187" w:lineRule="exact"/>
        <w:rPr>
          <w:rFonts w:ascii="Arial" w:cs="Arial" w:eastAsia="Arial" w:hAnsi="Arial"/>
          <w:sz w:val="17"/>
          <w:szCs w:val="17"/>
          <w:color w:val="auto"/>
        </w:rPr>
      </w:pPr>
    </w:p>
    <w:p>
      <w:pPr>
        <w:ind w:left="900" w:right="40" w:hanging="259"/>
        <w:spacing w:after="0" w:line="244" w:lineRule="auto"/>
        <w:tabs>
          <w:tab w:leader="none" w:pos="89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00" w:right="280" w:hanging="259"/>
        <w:spacing w:after="0" w:line="238" w:lineRule="auto"/>
        <w:tabs>
          <w:tab w:leader="none" w:pos="896" w:val="left"/>
        </w:tabs>
        <w:numPr>
          <w:ilvl w:val="0"/>
          <w:numId w:val="26"/>
        </w:numPr>
        <w:rPr>
          <w:rFonts w:ascii="Arial" w:cs="Arial" w:eastAsia="Arial" w:hAnsi="Arial"/>
          <w:sz w:val="17"/>
          <w:szCs w:val="17"/>
          <w:color w:val="auto"/>
        </w:rPr>
      </w:pPr>
      <w:r>
        <w:rPr>
          <w:rFonts w:ascii="Times New Roman" w:cs="Times New Roman" w:eastAsia="Times New Roman" w:hAnsi="Times New Roman"/>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56" w:lineRule="exact"/>
        <w:rPr>
          <w:sz w:val="20"/>
          <w:szCs w:val="20"/>
          <w:color w:val="auto"/>
        </w:rPr>
      </w:pPr>
    </w:p>
    <w:p>
      <w:pPr>
        <w:ind w:right="260" w:firstLine="255"/>
        <w:spacing w:after="0" w:line="287" w:lineRule="auto"/>
        <w:rPr>
          <w:sz w:val="20"/>
          <w:szCs w:val="20"/>
          <w:color w:val="auto"/>
        </w:rPr>
      </w:pPr>
      <w:r>
        <w:rPr>
          <w:rFonts w:ascii="Times New Roman" w:cs="Times New Roman" w:eastAsia="Times New Roman" w:hAnsi="Times New Roman"/>
          <w:sz w:val="14"/>
          <w:szCs w:val="14"/>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timely and cost-effectively scale and adapt our existing technology to meet our customers’ performance and other requirements.</w:t>
      </w:r>
    </w:p>
    <w:p>
      <w:pPr>
        <w:spacing w:after="0" w:line="18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4"/>
          <w:szCs w:val="14"/>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to operate and make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48"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maintain customer satisfaction depends in part on the quality of our customer support.</w:t>
      </w:r>
    </w:p>
    <w:p>
      <w:pPr>
        <w:spacing w:after="0" w:line="181"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22" w:lineRule="exact"/>
        <w:rPr>
          <w:sz w:val="20"/>
          <w:szCs w:val="20"/>
          <w:color w:val="auto"/>
        </w:rPr>
      </w:pPr>
    </w:p>
    <w:p>
      <w:pPr>
        <w:ind w:right="40" w:firstLine="255"/>
        <w:spacing w:after="0" w:line="257" w:lineRule="auto"/>
        <w:rPr>
          <w:sz w:val="20"/>
          <w:szCs w:val="20"/>
          <w:color w:val="auto"/>
        </w:rPr>
      </w:pPr>
      <w:r>
        <w:rPr>
          <w:rFonts w:ascii="Times New Roman" w:cs="Times New Roman" w:eastAsia="Times New Roman" w:hAnsi="Times New Roman"/>
          <w:sz w:val="14"/>
          <w:szCs w:val="14"/>
          <w:color w:val="auto"/>
        </w:rPr>
        <w:t>We expect that our existing cash and cash equivalents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4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2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41" w:lineRule="exact"/>
        <w:rPr>
          <w:sz w:val="20"/>
          <w:szCs w:val="20"/>
          <w:color w:val="auto"/>
        </w:rPr>
      </w:pPr>
    </w:p>
    <w:p>
      <w:pPr>
        <w:ind w:right="1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22"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experienced widespread component shortages and delivery delays, including as a result of geopolitical tensions, public health crises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the credit risks of certain of our customers and end-users, which could adversely impact our business, financial condition or results of operations.</w:t>
      </w:r>
    </w:p>
    <w:p>
      <w:pPr>
        <w:spacing w:after="0" w:line="181" w:lineRule="exact"/>
        <w:rPr>
          <w:sz w:val="20"/>
          <w:szCs w:val="20"/>
          <w:color w:val="auto"/>
        </w:rPr>
      </w:pPr>
    </w:p>
    <w:p>
      <w:pPr>
        <w:ind w:right="120" w:firstLine="255"/>
        <w:spacing w:after="0" w:line="264" w:lineRule="auto"/>
        <w:rPr>
          <w:sz w:val="20"/>
          <w:szCs w:val="20"/>
          <w:color w:val="auto"/>
        </w:rPr>
      </w:pPr>
      <w:r>
        <w:rPr>
          <w:rFonts w:ascii="Times New Roman" w:cs="Times New Roman" w:eastAsia="Times New Roman" w:hAnsi="Times New Roman"/>
          <w:sz w:val="14"/>
          <w:szCs w:val="14"/>
          <w:color w:val="auto"/>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Intellectual Property, Legal, and Regulatory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success of our business depends in part on our ability to protect and enforce our intellectual property rights.</w:t>
      </w:r>
    </w:p>
    <w:p>
      <w:pPr>
        <w:spacing w:after="0" w:line="18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48"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47" w:lineRule="exact"/>
        <w:rPr>
          <w:sz w:val="20"/>
          <w:szCs w:val="20"/>
          <w:color w:val="auto"/>
        </w:rPr>
      </w:pPr>
    </w:p>
    <w:p>
      <w:pPr>
        <w:ind w:right="3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22"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43"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4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license technology from third parties, and our inability to maintain those licenses could harm our business.</w:t>
      </w:r>
    </w:p>
    <w:p>
      <w:pPr>
        <w:spacing w:after="0" w:line="181"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47"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22" w:lineRule="exact"/>
        <w:rPr>
          <w:sz w:val="20"/>
          <w:szCs w:val="20"/>
          <w:color w:val="auto"/>
        </w:rPr>
      </w:pPr>
    </w:p>
    <w:p>
      <w:pPr>
        <w:ind w:right="220" w:firstLine="255"/>
        <w:spacing w:after="0" w:line="270" w:lineRule="auto"/>
        <w:rPr>
          <w:sz w:val="20"/>
          <w:szCs w:val="20"/>
          <w:color w:val="auto"/>
        </w:rPr>
      </w:pPr>
      <w:r>
        <w:rPr>
          <w:rFonts w:ascii="Times New Roman" w:cs="Times New Roman" w:eastAsia="Times New Roman" w:hAnsi="Times New Roman"/>
          <w:sz w:val="14"/>
          <w:szCs w:val="14"/>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36"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255"/>
        <w:spacing w:after="0" w:line="259" w:lineRule="auto"/>
        <w:rPr>
          <w:sz w:val="20"/>
          <w:szCs w:val="20"/>
          <w:color w:val="auto"/>
        </w:rPr>
      </w:pPr>
      <w:r>
        <w:rPr>
          <w:rFonts w:ascii="Times New Roman" w:cs="Times New Roman" w:eastAsia="Times New Roman" w:hAnsi="Times New Roman"/>
          <w:sz w:val="14"/>
          <w:szCs w:val="14"/>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46" w:lineRule="exact"/>
        <w:rPr>
          <w:sz w:val="20"/>
          <w:szCs w:val="20"/>
          <w:color w:val="auto"/>
        </w:rPr>
      </w:pPr>
    </w:p>
    <w:p>
      <w:pPr>
        <w:ind w:right="60" w:firstLine="255"/>
        <w:spacing w:after="0" w:line="257" w:lineRule="auto"/>
        <w:rPr>
          <w:sz w:val="20"/>
          <w:szCs w:val="20"/>
          <w:color w:val="auto"/>
        </w:rPr>
      </w:pPr>
      <w:r>
        <w:rPr>
          <w:rFonts w:ascii="Times New Roman" w:cs="Times New Roman" w:eastAsia="Times New Roman" w:hAnsi="Times New Roman"/>
          <w:sz w:val="14"/>
          <w:szCs w:val="14"/>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318"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Legal developments in the European Economic Area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53"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51" w:lineRule="exact"/>
        <w:rPr>
          <w:sz w:val="20"/>
          <w:szCs w:val="20"/>
          <w:color w:val="auto"/>
        </w:rPr>
      </w:pPr>
    </w:p>
    <w:p>
      <w:pPr>
        <w:ind w:right="4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22"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and concentration risk. Noncompliance by us, our employees, representatives, contractors, channel partners, agents, intermediaries, or other third parties with applicable regulations or requirements could subject us to:</w:t>
      </w:r>
    </w:p>
    <w:p>
      <w:pPr>
        <w:spacing w:after="0" w:line="143" w:lineRule="exact"/>
        <w:rPr>
          <w:sz w:val="20"/>
          <w:szCs w:val="20"/>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investigations, enforcement actions and sanctions;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mandatory changes to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disgorgement of profits, fines and damages;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civil and criminal penalties or injunctions;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claims for damages by our customers or channel partners;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contracts;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intellectual property rights;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our license to do business in the jurisdictions in which we operate; or</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or permanent debarment from sales to government organizations.</w:t>
      </w:r>
    </w:p>
    <w:p>
      <w:pPr>
        <w:spacing w:after="0" w:line="179" w:lineRule="exact"/>
        <w:rPr>
          <w:sz w:val="20"/>
          <w:szCs w:val="20"/>
          <w:color w:val="auto"/>
        </w:rPr>
      </w:pPr>
    </w:p>
    <w:p>
      <w:pPr>
        <w:jc w:val="both"/>
        <w:ind w:right="360" w:firstLine="255"/>
        <w:spacing w:after="0" w:line="270" w:lineRule="auto"/>
        <w:rPr>
          <w:sz w:val="20"/>
          <w:szCs w:val="20"/>
          <w:color w:val="auto"/>
        </w:rPr>
      </w:pPr>
      <w:r>
        <w:rPr>
          <w:rFonts w:ascii="Times New Roman" w:cs="Times New Roman" w:eastAsia="Times New Roman" w:hAnsi="Times New Roman"/>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24" w:lineRule="exact"/>
        <w:rPr>
          <w:sz w:val="20"/>
          <w:szCs w:val="20"/>
          <w:color w:val="auto"/>
        </w:rPr>
      </w:pPr>
    </w:p>
    <w:p>
      <w:pPr>
        <w:ind w:right="120" w:firstLine="255"/>
        <w:spacing w:after="0" w:line="261" w:lineRule="auto"/>
        <w:rPr>
          <w:sz w:val="20"/>
          <w:szCs w:val="20"/>
          <w:color w:val="auto"/>
        </w:rPr>
      </w:pPr>
      <w:r>
        <w:rPr>
          <w:rFonts w:ascii="Times New Roman" w:cs="Times New Roman" w:eastAsia="Times New Roman" w:hAnsi="Times New Roman"/>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41"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22"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4"/>
          <w:szCs w:val="14"/>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151"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22"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pacing w:after="0" w:line="140" w:lineRule="exact"/>
        <w:rPr>
          <w:sz w:val="20"/>
          <w:szCs w:val="20"/>
          <w:color w:val="auto"/>
        </w:rPr>
      </w:pPr>
    </w:p>
    <w:p>
      <w:pPr>
        <w:ind w:right="40" w:firstLine="255"/>
        <w:spacing w:after="0" w:line="261" w:lineRule="auto"/>
        <w:rPr>
          <w:sz w:val="20"/>
          <w:szCs w:val="20"/>
          <w:color w:val="auto"/>
        </w:rPr>
      </w:pPr>
      <w:r>
        <w:rPr>
          <w:rFonts w:ascii="Times New Roman" w:cs="Times New Roman" w:eastAsia="Times New Roman" w:hAnsi="Times New Roman"/>
          <w:sz w:val="14"/>
          <w:szCs w:val="14"/>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255"/>
        <w:spacing w:after="0" w:line="264" w:lineRule="auto"/>
        <w:rPr>
          <w:sz w:val="20"/>
          <w:szCs w:val="20"/>
          <w:color w:val="auto"/>
        </w:rPr>
      </w:pPr>
      <w:r>
        <w:rPr>
          <w:rFonts w:ascii="Times New Roman" w:cs="Times New Roman" w:eastAsia="Times New Roman" w:hAnsi="Times New Roman"/>
          <w:sz w:val="14"/>
          <w:szCs w:val="14"/>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81"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43"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47" w:lineRule="exact"/>
        <w:rPr>
          <w:sz w:val="20"/>
          <w:szCs w:val="20"/>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resulting in time-consuming and costly litigation;</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diverting management’s time and attention from developing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pay monetary damages or enter into royalty and licensing agreements that we would not normally find acceptable;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causing delays in the deployment of our Falcon platform or service offerings to our customers;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stop offering certain services or features of our Falcon platform;</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redesign certain components of our Falcon platform using alternative non-infringing or non-open source technology, which could require significant effort and expense;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disclose our software source code and the detailed program commands for our software;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us to satisfy indemnification obligations to our customers.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utilize AI, which could expose us to liability or adversely affect our business.</w:t>
      </w:r>
    </w:p>
    <w:p>
      <w:pPr>
        <w:spacing w:after="0" w:line="181"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a false or “hallucinatory” interferences or output,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spacing w:after="0" w:line="316" w:lineRule="exact"/>
        <w:rPr>
          <w:sz w:val="20"/>
          <w:szCs w:val="20"/>
          <w:color w:val="auto"/>
        </w:rPr>
      </w:pPr>
    </w:p>
    <w:p>
      <w:pPr>
        <w:ind w:right="80" w:firstLine="255"/>
        <w:spacing w:after="0" w:line="257" w:lineRule="auto"/>
        <w:rPr>
          <w:sz w:val="20"/>
          <w:szCs w:val="20"/>
          <w:color w:val="auto"/>
        </w:rPr>
      </w:pPr>
      <w:r>
        <w:rPr>
          <w:rFonts w:ascii="Times New Roman" w:cs="Times New Roman" w:eastAsia="Times New Roman" w:hAnsi="Times New Roman"/>
          <w:sz w:val="14"/>
          <w:szCs w:val="14"/>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Europe, the EU’s AI Act was published in the Official Journal of the EU on July 12, 2024 and entered into force on August 1, 2024.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w:t>
      </w:r>
    </w:p>
    <w:p>
      <w:pPr>
        <w:spacing w:after="0" w:line="149"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pacing w:after="0" w:line="14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22" w:lineRule="exact"/>
        <w:rPr>
          <w:sz w:val="20"/>
          <w:szCs w:val="20"/>
          <w:color w:val="auto"/>
        </w:rPr>
      </w:pPr>
    </w:p>
    <w:p>
      <w:pPr>
        <w:ind w:firstLine="255"/>
        <w:spacing w:after="0" w:line="259" w:lineRule="auto"/>
        <w:rPr>
          <w:sz w:val="20"/>
          <w:szCs w:val="20"/>
          <w:color w:val="auto"/>
        </w:rPr>
      </w:pPr>
      <w:r>
        <w:rPr>
          <w:rFonts w:ascii="Times New Roman" w:cs="Times New Roman" w:eastAsia="Times New Roman" w:hAnsi="Times New Roman"/>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and may in the future become, involved in litigation that may adversely affect us.</w:t>
      </w:r>
    </w:p>
    <w:p>
      <w:pPr>
        <w:spacing w:after="0" w:line="181"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condensed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46"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36"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spacing w:after="0" w:line="143" w:lineRule="exact"/>
        <w:rPr>
          <w:sz w:val="20"/>
          <w:szCs w:val="20"/>
          <w:color w:val="auto"/>
        </w:rPr>
      </w:pPr>
    </w:p>
    <w:p>
      <w:pPr>
        <w:ind w:right="200" w:firstLine="255"/>
        <w:spacing w:after="0" w:line="264" w:lineRule="auto"/>
        <w:rPr>
          <w:sz w:val="20"/>
          <w:szCs w:val="20"/>
          <w:color w:val="auto"/>
        </w:rPr>
      </w:pPr>
      <w:r>
        <w:rPr>
          <w:rFonts w:ascii="Times New Roman" w:cs="Times New Roman" w:eastAsia="Times New Roman" w:hAnsi="Times New Roman"/>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spacing w:after="0" w:line="140"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43" w:lineRule="exact"/>
        <w:rPr>
          <w:sz w:val="20"/>
          <w:szCs w:val="20"/>
          <w:color w:val="auto"/>
        </w:rPr>
      </w:pPr>
    </w:p>
    <w:p>
      <w:pPr>
        <w:ind w:right="380" w:firstLine="255"/>
        <w:spacing w:after="0" w:line="287" w:lineRule="auto"/>
        <w:rPr>
          <w:sz w:val="20"/>
          <w:szCs w:val="20"/>
          <w:color w:val="auto"/>
        </w:rPr>
      </w:pPr>
      <w:r>
        <w:rPr>
          <w:rFonts w:ascii="Times New Roman" w:cs="Times New Roman" w:eastAsia="Times New Roman" w:hAnsi="Times New Roman"/>
          <w:sz w:val="14"/>
          <w:szCs w:val="14"/>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24" w:lineRule="exact"/>
        <w:rPr>
          <w:sz w:val="20"/>
          <w:szCs w:val="20"/>
          <w:color w:val="auto"/>
        </w:rPr>
      </w:pPr>
    </w:p>
    <w:p>
      <w:pPr>
        <w:ind w:right="80" w:firstLine="255"/>
        <w:spacing w:after="0" w:line="270" w:lineRule="auto"/>
        <w:rPr>
          <w:sz w:val="20"/>
          <w:szCs w:val="20"/>
          <w:color w:val="auto"/>
        </w:rPr>
      </w:pPr>
      <w:r>
        <w:rPr>
          <w:rFonts w:ascii="Times New Roman" w:cs="Times New Roman" w:eastAsia="Times New Roman" w:hAnsi="Times New Roman"/>
          <w:sz w:val="14"/>
          <w:szCs w:val="14"/>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Class A common stock may be volatile regardless of our operating performance, and you could lose all or part of your investment.</w:t>
      </w:r>
    </w:p>
    <w:p>
      <w:pPr>
        <w:spacing w:after="0" w:line="181" w:lineRule="exact"/>
        <w:rPr>
          <w:sz w:val="20"/>
          <w:szCs w:val="20"/>
          <w:color w:val="auto"/>
        </w:rPr>
      </w:pPr>
    </w:p>
    <w:p>
      <w:pPr>
        <w:jc w:val="both"/>
        <w:ind w:right="200" w:firstLine="255"/>
        <w:spacing w:after="0" w:line="270" w:lineRule="auto"/>
        <w:rPr>
          <w:sz w:val="20"/>
          <w:szCs w:val="20"/>
          <w:color w:val="auto"/>
        </w:rPr>
      </w:pPr>
      <w:r>
        <w:rPr>
          <w:rFonts w:ascii="Times New Roman" w:cs="Times New Roman" w:eastAsia="Times New Roman" w:hAnsi="Times New Roman"/>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136" w:lineRule="exact"/>
        <w:rPr>
          <w:sz w:val="20"/>
          <w:szCs w:val="20"/>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changes or fluctuations in our results of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may provide to the public, any changes in these projections or our failure to meet these projections;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new products or services or new or terminated significant contracts, commercial relationships or capital commitments;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industry or financial analyst or investor reaction to our press releases, other public announcements and filings with the SEC;</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and market speculation involving us or other companies in our industry;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from time to time;</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our industry in particular;</w:t>
      </w:r>
    </w:p>
    <w:p>
      <w:pPr>
        <w:spacing w:after="0" w:line="178" w:lineRule="exact"/>
        <w:rPr>
          <w:rFonts w:ascii="Times New Roman" w:cs="Times New Roman" w:eastAsia="Times New Roman" w:hAnsi="Times New Roman"/>
          <w:sz w:val="14"/>
          <w:szCs w:val="14"/>
          <w:color w:val="auto"/>
        </w:rPr>
      </w:pPr>
    </w:p>
    <w:p>
      <w:pPr>
        <w:ind w:left="900" w:hanging="259"/>
        <w:spacing w:after="0" w:line="287" w:lineRule="auto"/>
        <w:tabs>
          <w:tab w:leader="none" w:pos="89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developments in our business or our competitors’ businesses or the competitive landscape generally;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involving us, our industry or both, or investigations by regulators into our operations or those of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our intellectual property rights or our solutions, or third-party proprietary rights;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announced or completed acquisitions of businesses or technologies by us or our competitors;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laws or regulations or new interpretations of existing laws or regulations applicable to our business;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major changes in our management or our board of directors, particularly with respect to Mr. Kurtz;</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public health crises, pandemics and epidemics;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emergence of new or different information relating to the impact of the July 19 Incident;</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slow or negative growth of our markets;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In addition, the stock market in general, and the market for technology companies in particular, has experienced</w:t>
      </w:r>
    </w:p>
    <w:p>
      <w:pPr>
        <w:spacing w:after="0" w:line="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spacing w:after="0" w:line="144"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22" w:lineRule="exact"/>
        <w:rPr>
          <w:sz w:val="20"/>
          <w:szCs w:val="20"/>
          <w:color w:val="auto"/>
        </w:rPr>
      </w:pPr>
    </w:p>
    <w:p>
      <w:pPr>
        <w:jc w:val="both"/>
        <w:ind w:right="40" w:firstLine="255"/>
        <w:spacing w:after="0" w:line="270" w:lineRule="auto"/>
        <w:rPr>
          <w:sz w:val="20"/>
          <w:szCs w:val="20"/>
          <w:color w:val="auto"/>
        </w:rPr>
      </w:pPr>
      <w:r>
        <w:rPr>
          <w:rFonts w:ascii="Times New Roman" w:cs="Times New Roman" w:eastAsia="Times New Roman" w:hAnsi="Times New Roman"/>
          <w:sz w:val="14"/>
          <w:szCs w:val="14"/>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November 15, 2024, we had 233,851,230 shares of Class A common stock outstanding and 12,460,182 shares of Class B common stock outstanding.</w:t>
      </w:r>
    </w:p>
    <w:p>
      <w:pPr>
        <w:spacing w:after="0" w:line="136" w:lineRule="exact"/>
        <w:rPr>
          <w:sz w:val="20"/>
          <w:szCs w:val="20"/>
          <w:color w:val="auto"/>
        </w:rPr>
      </w:pPr>
    </w:p>
    <w:p>
      <w:pPr>
        <w:ind w:right="160" w:firstLine="255"/>
        <w:spacing w:after="0" w:line="270" w:lineRule="auto"/>
        <w:rPr>
          <w:sz w:val="20"/>
          <w:szCs w:val="20"/>
          <w:color w:val="auto"/>
        </w:rPr>
      </w:pPr>
      <w:r>
        <w:rPr>
          <w:rFonts w:ascii="Times New Roman" w:cs="Times New Roman" w:eastAsia="Times New Roman" w:hAnsi="Times New Roman"/>
          <w:sz w:val="14"/>
          <w:szCs w:val="14"/>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36" w:lineRule="exact"/>
        <w:rPr>
          <w:sz w:val="20"/>
          <w:szCs w:val="20"/>
          <w:color w:val="auto"/>
        </w:rPr>
      </w:pPr>
    </w:p>
    <w:p>
      <w:pPr>
        <w:ind w:right="580" w:firstLine="255"/>
        <w:spacing w:after="0" w:line="287" w:lineRule="auto"/>
        <w:rPr>
          <w:sz w:val="20"/>
          <w:szCs w:val="20"/>
          <w:color w:val="auto"/>
        </w:rPr>
      </w:pPr>
      <w:r>
        <w:rPr>
          <w:rFonts w:ascii="Times New Roman" w:cs="Times New Roman" w:eastAsia="Times New Roman" w:hAnsi="Times New Roman"/>
          <w:sz w:val="14"/>
          <w:szCs w:val="14"/>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122" w:lineRule="exact"/>
        <w:rPr>
          <w:sz w:val="20"/>
          <w:szCs w:val="20"/>
          <w:color w:val="auto"/>
        </w:rPr>
      </w:pPr>
    </w:p>
    <w:p>
      <w:pPr>
        <w:ind w:right="1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22" w:lineRule="exact"/>
        <w:rPr>
          <w:sz w:val="20"/>
          <w:szCs w:val="20"/>
          <w:color w:val="auto"/>
        </w:rPr>
      </w:pPr>
    </w:p>
    <w:p>
      <w:pPr>
        <w:ind w:right="120" w:firstLine="255"/>
        <w:spacing w:after="0" w:line="259" w:lineRule="auto"/>
        <w:rPr>
          <w:sz w:val="20"/>
          <w:szCs w:val="20"/>
          <w:color w:val="auto"/>
        </w:rPr>
      </w:pPr>
      <w:r>
        <w:rPr>
          <w:rFonts w:ascii="Times New Roman" w:cs="Times New Roman" w:eastAsia="Times New Roman" w:hAnsi="Times New Roman"/>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44"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36" w:lineRule="exact"/>
        <w:rPr>
          <w:sz w:val="20"/>
          <w:szCs w:val="20"/>
          <w:color w:val="auto"/>
        </w:rPr>
      </w:pPr>
    </w:p>
    <w:p>
      <w:pPr>
        <w:ind w:right="240" w:firstLine="255"/>
        <w:spacing w:after="0" w:line="270" w:lineRule="auto"/>
        <w:rPr>
          <w:sz w:val="20"/>
          <w:szCs w:val="20"/>
          <w:color w:val="auto"/>
        </w:rPr>
      </w:pPr>
      <w:r>
        <w:rPr>
          <w:rFonts w:ascii="Times New Roman" w:cs="Times New Roman" w:eastAsia="Times New Roman" w:hAnsi="Times New Roman"/>
          <w:sz w:val="14"/>
          <w:szCs w:val="14"/>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right="280"/>
        <w:spacing w:after="0" w:line="270" w:lineRule="auto"/>
        <w:rPr>
          <w:sz w:val="20"/>
          <w:szCs w:val="20"/>
          <w:color w:val="auto"/>
        </w:rPr>
      </w:pPr>
      <w:r>
        <w:rPr>
          <w:rFonts w:ascii="Times New Roman" w:cs="Times New Roman" w:eastAsia="Times New Roman" w:hAnsi="Times New Roman"/>
          <w:sz w:val="14"/>
          <w:szCs w:val="14"/>
          <w:color w:val="auto"/>
        </w:rPr>
        <w:t>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36" w:lineRule="exact"/>
        <w:rPr>
          <w:sz w:val="20"/>
          <w:szCs w:val="20"/>
          <w:color w:val="auto"/>
        </w:rPr>
      </w:pPr>
    </w:p>
    <w:p>
      <w:pPr>
        <w:ind w:right="60" w:firstLine="255"/>
        <w:spacing w:after="0" w:line="261" w:lineRule="auto"/>
        <w:rPr>
          <w:sz w:val="20"/>
          <w:szCs w:val="20"/>
          <w:color w:val="auto"/>
        </w:rPr>
      </w:pPr>
      <w:r>
        <w:rPr>
          <w:rFonts w:ascii="Times New Roman" w:cs="Times New Roman" w:eastAsia="Times New Roman" w:hAnsi="Times New Roman"/>
          <w:sz w:val="14"/>
          <w:szCs w:val="14"/>
          <w:color w:val="auto"/>
        </w:rPr>
        <w:t>As of October 31, 2024, our executive officers, directors, one of our current stockholders and its respective affiliates held, in aggregate, 35%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43"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181" w:lineRule="exact"/>
        <w:rPr>
          <w:sz w:val="20"/>
          <w:szCs w:val="20"/>
          <w:color w:val="auto"/>
        </w:rPr>
      </w:pPr>
    </w:p>
    <w:p>
      <w:pPr>
        <w:ind w:right="40" w:firstLine="255"/>
        <w:spacing w:after="0" w:line="264"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38"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2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36" w:lineRule="exact"/>
        <w:rPr>
          <w:sz w:val="20"/>
          <w:szCs w:val="20"/>
          <w:color w:val="auto"/>
        </w:rPr>
      </w:pPr>
    </w:p>
    <w:p>
      <w:pPr>
        <w:ind w:left="900" w:right="180" w:hanging="259"/>
        <w:spacing w:after="0" w:line="287" w:lineRule="auto"/>
        <w:tabs>
          <w:tab w:leader="none" w:pos="8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classified board of directors with three-year staggered terms, which could delay the ability of stockholders to change the membership of a majority of our board of directors;</w:t>
      </w:r>
    </w:p>
    <w:p>
      <w:pPr>
        <w:spacing w:after="0" w:line="178" w:lineRule="exact"/>
        <w:rPr>
          <w:rFonts w:ascii="Times New Roman" w:cs="Times New Roman" w:eastAsia="Times New Roman" w:hAnsi="Times New Roman"/>
          <w:sz w:val="14"/>
          <w:szCs w:val="14"/>
          <w:color w:val="auto"/>
        </w:rPr>
      </w:pPr>
    </w:p>
    <w:p>
      <w:pPr>
        <w:ind w:left="900" w:right="420" w:hanging="259"/>
        <w:spacing w:after="0" w:line="287" w:lineRule="auto"/>
        <w:tabs>
          <w:tab w:leader="none" w:pos="8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24" w:lineRule="exact"/>
        <w:rPr>
          <w:rFonts w:ascii="Times New Roman" w:cs="Times New Roman" w:eastAsia="Times New Roman" w:hAnsi="Times New Roman"/>
          <w:sz w:val="14"/>
          <w:szCs w:val="14"/>
          <w:color w:val="auto"/>
        </w:rPr>
      </w:pPr>
    </w:p>
    <w:p>
      <w:pPr>
        <w:ind w:left="900" w:right="300" w:hanging="259"/>
        <w:spacing w:after="0" w:line="287" w:lineRule="auto"/>
        <w:tabs>
          <w:tab w:leader="none" w:pos="8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24" w:lineRule="exact"/>
        <w:rPr>
          <w:rFonts w:ascii="Times New Roman" w:cs="Times New Roman" w:eastAsia="Times New Roman" w:hAnsi="Times New Roman"/>
          <w:sz w:val="14"/>
          <w:szCs w:val="14"/>
          <w:color w:val="auto"/>
        </w:rPr>
      </w:pPr>
    </w:p>
    <w:p>
      <w:pPr>
        <w:ind w:left="900" w:right="20" w:hanging="259"/>
        <w:spacing w:after="0" w:line="270" w:lineRule="auto"/>
        <w:tabs>
          <w:tab w:leader="none" w:pos="89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right="340" w:hanging="259"/>
        <w:spacing w:after="0" w:line="270" w:lineRule="auto"/>
        <w:tabs>
          <w:tab w:leader="none" w:pos="8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35"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amendments to our amended and restated certificate of incorporation require the approval of two-thirds of the then-outstanding voting power of our capital stock; and</w:t>
      </w:r>
    </w:p>
    <w:p>
      <w:pPr>
        <w:spacing w:after="0" w:line="178" w:lineRule="exact"/>
        <w:rPr>
          <w:rFonts w:ascii="Times New Roman" w:cs="Times New Roman" w:eastAsia="Times New Roman" w:hAnsi="Times New Roman"/>
          <w:sz w:val="14"/>
          <w:szCs w:val="14"/>
          <w:color w:val="auto"/>
        </w:rPr>
      </w:pPr>
    </w:p>
    <w:p>
      <w:pPr>
        <w:jc w:val="both"/>
        <w:ind w:left="900" w:right="80" w:hanging="259"/>
        <w:spacing w:after="0" w:line="270" w:lineRule="auto"/>
        <w:tabs>
          <w:tab w:leader="none" w:pos="896"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provisions may prohibit large stockholders, in particular those owning 15% or more of our outstanding voting stock, from merging or combining with us for a certain period of time.</w:t>
      </w:r>
    </w:p>
    <w:p>
      <w:pPr>
        <w:spacing w:after="0" w:line="17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Our amended and restated bylaws provide that the Court of Chancery of the State of Delaware is the exclusive forum for:</w:t>
      </w:r>
    </w:p>
    <w:p>
      <w:pPr>
        <w:spacing w:after="0" w:line="179" w:lineRule="exact"/>
        <w:rPr>
          <w:sz w:val="20"/>
          <w:szCs w:val="20"/>
          <w:color w:val="auto"/>
        </w:rPr>
      </w:pPr>
    </w:p>
    <w:p>
      <w:pPr>
        <w:ind w:left="900" w:hanging="259"/>
        <w:spacing w:after="0"/>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derivative action or proceeding brought on our behalf;</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breach of fiduciary duty;</w:t>
      </w:r>
    </w:p>
    <w:p>
      <w:pPr>
        <w:spacing w:after="0" w:line="178" w:lineRule="exact"/>
        <w:rPr>
          <w:rFonts w:ascii="Times New Roman" w:cs="Times New Roman" w:eastAsia="Times New Roman" w:hAnsi="Times New Roman"/>
          <w:sz w:val="14"/>
          <w:szCs w:val="14"/>
          <w:color w:val="auto"/>
        </w:rPr>
      </w:pPr>
    </w:p>
    <w:p>
      <w:pPr>
        <w:ind w:left="900" w:right="400" w:hanging="259"/>
        <w:spacing w:after="0" w:line="287" w:lineRule="auto"/>
        <w:tabs>
          <w:tab w:leader="none" w:pos="89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arising under the Delaware General Corporation Law, our amended and restated certificate of incorporation or our amended and restated bylaws;</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to interpret, apply, enforce or determine the validity of our amended and restated certificate of incorporation or our amended and restated bylaws;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against us that is governed by the internal-affairs doctrine.</w:t>
      </w:r>
    </w:p>
    <w:p>
      <w:pPr>
        <w:spacing w:after="0" w:line="179" w:lineRule="exact"/>
        <w:rPr>
          <w:sz w:val="20"/>
          <w:szCs w:val="20"/>
          <w:color w:val="auto"/>
        </w:rPr>
      </w:pPr>
    </w:p>
    <w:p>
      <w:pPr>
        <w:ind w:right="20" w:firstLine="255"/>
        <w:spacing w:after="0" w:line="270" w:lineRule="auto"/>
        <w:rPr>
          <w:sz w:val="20"/>
          <w:szCs w:val="20"/>
          <w:color w:val="auto"/>
        </w:rPr>
      </w:pPr>
      <w:r>
        <w:rPr>
          <w:rFonts w:ascii="Times New Roman" w:cs="Times New Roman" w:eastAsia="Times New Roman" w:hAnsi="Times New Roman"/>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36"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Indebtedness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adversely affect our financial condition.</w:t>
      </w:r>
    </w:p>
    <w:p>
      <w:pPr>
        <w:spacing w:after="0" w:line="181" w:lineRule="exact"/>
        <w:rPr>
          <w:sz w:val="20"/>
          <w:szCs w:val="20"/>
          <w:color w:val="auto"/>
        </w:rPr>
      </w:pPr>
    </w:p>
    <w:p>
      <w:pPr>
        <w:ind w:right="240" w:firstLine="255"/>
        <w:spacing w:after="0" w:line="287" w:lineRule="auto"/>
        <w:rPr>
          <w:sz w:val="20"/>
          <w:szCs w:val="20"/>
          <w:color w:val="auto"/>
        </w:rPr>
      </w:pPr>
      <w:r>
        <w:rPr>
          <w:rFonts w:ascii="Times New Roman" w:cs="Times New Roman" w:eastAsia="Times New Roman" w:hAnsi="Times New Roman"/>
          <w:sz w:val="14"/>
          <w:szCs w:val="14"/>
          <w:color w:val="auto"/>
        </w:rPr>
        <w:t>As of October 31, 2024,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24" w:lineRule="exact"/>
        <w:rPr>
          <w:sz w:val="20"/>
          <w:szCs w:val="20"/>
          <w:color w:val="auto"/>
        </w:rPr>
      </w:pPr>
    </w:p>
    <w:p>
      <w:pPr>
        <w:ind w:left="900" w:hanging="259"/>
        <w:spacing w:after="0"/>
        <w:tabs>
          <w:tab w:leader="none" w:pos="9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 to fund future working capital, capital expenditures, acquisitions or other general corporate requirements;</w:t>
      </w:r>
    </w:p>
    <w:p>
      <w:pPr>
        <w:spacing w:after="0" w:line="178" w:lineRule="exact"/>
        <w:rPr>
          <w:rFonts w:ascii="Times New Roman" w:cs="Times New Roman" w:eastAsia="Times New Roman" w:hAnsi="Times New Roman"/>
          <w:sz w:val="14"/>
          <w:szCs w:val="14"/>
          <w:color w:val="auto"/>
        </w:rPr>
      </w:pPr>
    </w:p>
    <w:p>
      <w:pPr>
        <w:ind w:left="900" w:right="280" w:hanging="259"/>
        <w:spacing w:after="0" w:line="287" w:lineRule="auto"/>
        <w:tabs>
          <w:tab w:leader="none" w:pos="89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294"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changes in general economic, industry and competitive conditions; and</w:t>
      </w:r>
    </w:p>
    <w:p>
      <w:pPr>
        <w:spacing w:after="0" w:line="178" w:lineRule="exact"/>
        <w:rPr>
          <w:rFonts w:ascii="Times New Roman" w:cs="Times New Roman" w:eastAsia="Times New Roman" w:hAnsi="Times New Roman"/>
          <w:sz w:val="14"/>
          <w:szCs w:val="14"/>
          <w:color w:val="auto"/>
        </w:rPr>
      </w:pPr>
    </w:p>
    <w:p>
      <w:pPr>
        <w:ind w:left="900" w:right="220" w:hanging="259"/>
        <w:spacing w:after="0" w:line="287" w:lineRule="auto"/>
        <w:tabs>
          <w:tab w:leader="none" w:pos="896"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exposing us to the risk of increased interest rates as certain of our borrowings, including borrowings under our revolving facility, are at variable rates of interest; and increasing our cost of borrowing.</w:t>
      </w:r>
    </w:p>
    <w:p>
      <w:pPr>
        <w:spacing w:after="0" w:line="122" w:lineRule="exact"/>
        <w:rPr>
          <w:sz w:val="20"/>
          <w:szCs w:val="20"/>
          <w:color w:val="auto"/>
        </w:rPr>
      </w:pPr>
    </w:p>
    <w:p>
      <w:pPr>
        <w:ind w:right="16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22"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36" w:lineRule="exact"/>
        <w:rPr>
          <w:sz w:val="20"/>
          <w:szCs w:val="20"/>
          <w:color w:val="auto"/>
        </w:rPr>
      </w:pPr>
    </w:p>
    <w:p>
      <w:pPr>
        <w:ind w:right="20" w:firstLine="255"/>
        <w:spacing w:after="0" w:line="258" w:lineRule="auto"/>
        <w:rPr>
          <w:sz w:val="20"/>
          <w:szCs w:val="20"/>
          <w:color w:val="auto"/>
        </w:rPr>
      </w:pPr>
      <w:r>
        <w:rPr>
          <w:rFonts w:ascii="Times New Roman" w:cs="Times New Roman" w:eastAsia="Times New Roman" w:hAnsi="Times New Roman"/>
          <w:sz w:val="14"/>
          <w:szCs w:val="14"/>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47" w:lineRule="exact"/>
        <w:rPr>
          <w:sz w:val="20"/>
          <w:szCs w:val="20"/>
          <w:color w:val="auto"/>
        </w:rPr>
      </w:pPr>
    </w:p>
    <w:p>
      <w:pPr>
        <w:ind w:right="140" w:firstLine="255"/>
        <w:spacing w:after="0" w:line="270" w:lineRule="auto"/>
        <w:rPr>
          <w:sz w:val="20"/>
          <w:szCs w:val="20"/>
          <w:color w:val="auto"/>
        </w:rPr>
      </w:pPr>
      <w:r>
        <w:rPr>
          <w:rFonts w:ascii="Times New Roman" w:cs="Times New Roman" w:eastAsia="Times New Roman" w:hAnsi="Times New Roman"/>
          <w:sz w:val="14"/>
          <w:szCs w:val="14"/>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36" w:lineRule="exact"/>
        <w:rPr>
          <w:sz w:val="20"/>
          <w:szCs w:val="20"/>
          <w:color w:val="auto"/>
        </w:rPr>
      </w:pPr>
    </w:p>
    <w:p>
      <w:pPr>
        <w:ind w:right="140" w:firstLine="255"/>
        <w:spacing w:after="0" w:line="264" w:lineRule="auto"/>
        <w:rPr>
          <w:sz w:val="20"/>
          <w:szCs w:val="20"/>
          <w:color w:val="auto"/>
        </w:rPr>
      </w:pPr>
      <w:r>
        <w:rPr>
          <w:rFonts w:ascii="Times New Roman" w:cs="Times New Roman" w:eastAsia="Times New Roman" w:hAnsi="Times New Roman"/>
          <w:sz w:val="14"/>
          <w:szCs w:val="14"/>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138"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22" w:lineRule="exact"/>
        <w:rPr>
          <w:sz w:val="20"/>
          <w:szCs w:val="20"/>
          <w:color w:val="auto"/>
        </w:rPr>
      </w:pPr>
    </w:p>
    <w:p>
      <w:pPr>
        <w:ind w:right="160" w:firstLine="255"/>
        <w:spacing w:after="0" w:line="287" w:lineRule="auto"/>
        <w:rPr>
          <w:sz w:val="20"/>
          <w:szCs w:val="20"/>
          <w:color w:val="auto"/>
        </w:rPr>
      </w:pPr>
      <w:r>
        <w:rPr>
          <w:rFonts w:ascii="Times New Roman" w:cs="Times New Roman" w:eastAsia="Times New Roman" w:hAnsi="Times New Roman"/>
          <w:sz w:val="14"/>
          <w:szCs w:val="14"/>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24" w:lineRule="exact"/>
        <w:rPr>
          <w:sz w:val="20"/>
          <w:szCs w:val="20"/>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 and guarantee indebtedness;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prepay, redeem or repurchase certain indebtedness;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liens;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 the businesses we conduct;</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agreements restricting our subsidiaries’ ability to pay dividends; and</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900" w:hanging="259"/>
        <w:spacing w:after="0"/>
        <w:tabs>
          <w:tab w:leader="none" w:pos="9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 merge with, or sell all or substantially all of our assets to, another person.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covenants in the indenture and supplemental indenture that govern the Senior Notes are subject to exceptions and qualifications.</w:t>
      </w:r>
    </w:p>
    <w:p>
      <w:pPr>
        <w:spacing w:after="0" w:line="179" w:lineRule="exact"/>
        <w:rPr>
          <w:sz w:val="20"/>
          <w:szCs w:val="20"/>
          <w:color w:val="auto"/>
        </w:rPr>
      </w:pPr>
    </w:p>
    <w:p>
      <w:pPr>
        <w:ind w:right="20" w:firstLine="255"/>
        <w:spacing w:after="0" w:line="287" w:lineRule="auto"/>
        <w:rPr>
          <w:sz w:val="20"/>
          <w:szCs w:val="20"/>
          <w:color w:val="auto"/>
        </w:rPr>
      </w:pPr>
      <w:r>
        <w:rPr>
          <w:rFonts w:ascii="Times New Roman" w:cs="Times New Roman" w:eastAsia="Times New Roman" w:hAnsi="Times New Roman"/>
          <w:sz w:val="14"/>
          <w:szCs w:val="14"/>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124" w:lineRule="exact"/>
        <w:rPr>
          <w:sz w:val="20"/>
          <w:szCs w:val="20"/>
          <w:color w:val="auto"/>
        </w:rPr>
      </w:pPr>
    </w:p>
    <w:p>
      <w:pPr>
        <w:ind w:left="900" w:hanging="259"/>
        <w:spacing w:after="0"/>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our operations;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needed capital expenditures;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strategic acquisitions or investments or enter into joint ventures;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withstand a future downturn in our business, the industry or the economy in general;</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business activities, including future opportunities, that may be in our best interest; and</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 for or react to market conditions or otherwise execute our business strategies.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These restrictions may affect our ability to expand our business, which could have a material adverse effect on our business, financial condition and results of operations.</w:t>
      </w:r>
    </w:p>
    <w:p>
      <w:pPr>
        <w:spacing w:after="0" w:line="179" w:lineRule="exact"/>
        <w:rPr>
          <w:sz w:val="20"/>
          <w:szCs w:val="20"/>
          <w:color w:val="auto"/>
        </w:rPr>
      </w:pPr>
    </w:p>
    <w:p>
      <w:pPr>
        <w:jc w:val="both"/>
        <w:ind w:right="540" w:firstLine="255"/>
        <w:spacing w:after="0" w:line="270" w:lineRule="auto"/>
        <w:rPr>
          <w:sz w:val="20"/>
          <w:szCs w:val="20"/>
          <w:color w:val="auto"/>
        </w:rPr>
      </w:pPr>
      <w:r>
        <w:rPr>
          <w:rFonts w:ascii="Times New Roman" w:cs="Times New Roman" w:eastAsia="Times New Roman" w:hAnsi="Times New Roman"/>
          <w:sz w:val="14"/>
          <w:szCs w:val="14"/>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36" w:lineRule="exact"/>
        <w:rPr>
          <w:sz w:val="20"/>
          <w:szCs w:val="20"/>
          <w:color w:val="auto"/>
        </w:rPr>
      </w:pPr>
    </w:p>
    <w:p>
      <w:pPr>
        <w:ind w:firstLine="255"/>
        <w:spacing w:after="0" w:line="270" w:lineRule="auto"/>
        <w:rPr>
          <w:sz w:val="20"/>
          <w:szCs w:val="20"/>
          <w:color w:val="auto"/>
        </w:rPr>
      </w:pPr>
      <w:r>
        <w:rPr>
          <w:rFonts w:ascii="Times New Roman" w:cs="Times New Roman" w:eastAsia="Times New Roman" w:hAnsi="Times New Roman"/>
          <w:sz w:val="14"/>
          <w:szCs w:val="14"/>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revolving facility and the indenture that governs our Senior Notes contain cross-default provisions that could result in the acceleration of all of our indebtedness.</w:t>
      </w:r>
    </w:p>
    <w:p>
      <w:pPr>
        <w:spacing w:after="0" w:line="181" w:lineRule="exact"/>
        <w:rPr>
          <w:sz w:val="20"/>
          <w:szCs w:val="20"/>
          <w:color w:val="auto"/>
        </w:rPr>
      </w:pPr>
    </w:p>
    <w:p>
      <w:pPr>
        <w:ind w:right="60" w:firstLine="255"/>
        <w:spacing w:after="0" w:line="259" w:lineRule="auto"/>
        <w:rPr>
          <w:sz w:val="20"/>
          <w:szCs w:val="20"/>
          <w:color w:val="auto"/>
        </w:rPr>
      </w:pPr>
      <w:r>
        <w:rPr>
          <w:rFonts w:ascii="Times New Roman" w:cs="Times New Roman" w:eastAsia="Times New Roman" w:hAnsi="Times New Roman"/>
          <w:sz w:val="14"/>
          <w:szCs w:val="14"/>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29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81"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condensed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47" w:lineRule="exact"/>
        <w:rPr>
          <w:sz w:val="20"/>
          <w:szCs w:val="20"/>
          <w:color w:val="auto"/>
        </w:rPr>
      </w:pPr>
    </w:p>
    <w:p>
      <w:pPr>
        <w:ind w:right="200" w:firstLine="255"/>
        <w:spacing w:after="0" w:line="261" w:lineRule="auto"/>
        <w:rPr>
          <w:sz w:val="20"/>
          <w:szCs w:val="20"/>
          <w:color w:val="auto"/>
        </w:rPr>
      </w:pPr>
      <w:r>
        <w:rPr>
          <w:rFonts w:ascii="Times New Roman" w:cs="Times New Roman" w:eastAsia="Times New Roman" w:hAnsi="Times New Roman"/>
          <w:sz w:val="14"/>
          <w:szCs w:val="14"/>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condensed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43" w:lineRule="exact"/>
        <w:rPr>
          <w:sz w:val="20"/>
          <w:szCs w:val="20"/>
          <w:color w:val="auto"/>
        </w:rPr>
      </w:pPr>
    </w:p>
    <w:p>
      <w:pPr>
        <w:ind w:firstLine="255"/>
        <w:spacing w:after="0" w:line="261" w:lineRule="auto"/>
        <w:rPr>
          <w:sz w:val="20"/>
          <w:szCs w:val="20"/>
          <w:color w:val="auto"/>
        </w:rPr>
      </w:pPr>
      <w:r>
        <w:rPr>
          <w:rFonts w:ascii="Times New Roman" w:cs="Times New Roman" w:eastAsia="Times New Roman" w:hAnsi="Times New Roman"/>
          <w:sz w:val="14"/>
          <w:szCs w:val="14"/>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43" w:lineRule="exact"/>
        <w:rPr>
          <w:sz w:val="20"/>
          <w:szCs w:val="20"/>
          <w:color w:val="auto"/>
        </w:rPr>
      </w:pPr>
    </w:p>
    <w:p>
      <w:pPr>
        <w:ind w:right="280" w:firstLine="255"/>
        <w:spacing w:after="0" w:line="287" w:lineRule="auto"/>
        <w:rPr>
          <w:sz w:val="20"/>
          <w:szCs w:val="20"/>
          <w:color w:val="auto"/>
        </w:rPr>
      </w:pPr>
      <w:r>
        <w:rPr>
          <w:rFonts w:ascii="Times New Roman" w:cs="Times New Roman" w:eastAsia="Times New Roman" w:hAnsi="Times New Roman"/>
          <w:sz w:val="14"/>
          <w:szCs w:val="14"/>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2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2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4"/>
          <w:szCs w:val="14"/>
          <w:color w:val="auto"/>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295"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Additional risks we may face in connection with acquisitions include:</w:t>
      </w:r>
    </w:p>
    <w:p>
      <w:pPr>
        <w:spacing w:after="0" w:line="179" w:lineRule="exact"/>
        <w:rPr>
          <w:sz w:val="20"/>
          <w:szCs w:val="20"/>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 time and focus from operating our business to addressing acquisition integration challenges;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coordination of research and development and sales and marketing functions;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of administrative systems, employee, product and service offerings;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retention of key employees from the acquired company;</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relationships with strategic partners as a result of product acquisitions or strategic positioning resulting from the acquisition;</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or improve controls, procedures, and policies at a business that prior to the acquisition may have lacked sufficiently effective controls, procedures and policies;</w:t>
      </w:r>
    </w:p>
    <w:p>
      <w:pPr>
        <w:spacing w:after="0" w:line="178"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legal, regulatory or compliance requirements;</w:t>
      </w:r>
    </w:p>
    <w:p>
      <w:pPr>
        <w:spacing w:after="0" w:line="178" w:lineRule="exact"/>
        <w:rPr>
          <w:rFonts w:ascii="Times New Roman" w:cs="Times New Roman" w:eastAsia="Times New Roman" w:hAnsi="Times New Roman"/>
          <w:sz w:val="14"/>
          <w:szCs w:val="14"/>
          <w:color w:val="auto"/>
        </w:rPr>
      </w:pPr>
    </w:p>
    <w:p>
      <w:pPr>
        <w:ind w:left="900" w:right="160" w:hanging="259"/>
        <w:spacing w:after="0" w:line="287" w:lineRule="auto"/>
        <w:tabs>
          <w:tab w:leader="none" w:pos="89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reporting, revenue recognition or other financial or control deficiencies of the acquired company that we do not adequately address and that cause our reported results to be incorrect;</w:t>
      </w:r>
    </w:p>
    <w:p>
      <w:pPr>
        <w:spacing w:after="0" w:line="124" w:lineRule="exact"/>
        <w:rPr>
          <w:rFonts w:ascii="Times New Roman" w:cs="Times New Roman" w:eastAsia="Times New Roman" w:hAnsi="Times New Roman"/>
          <w:sz w:val="14"/>
          <w:szCs w:val="14"/>
          <w:color w:val="auto"/>
        </w:rPr>
      </w:pPr>
    </w:p>
    <w:p>
      <w:pPr>
        <w:ind w:left="900" w:right="200" w:hanging="259"/>
        <w:spacing w:after="0" w:line="287" w:lineRule="auto"/>
        <w:tabs>
          <w:tab w:leader="none" w:pos="89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24" w:lineRule="exact"/>
        <w:rPr>
          <w:rFonts w:ascii="Times New Roman" w:cs="Times New Roman" w:eastAsia="Times New Roman" w:hAnsi="Times New Roman"/>
          <w:sz w:val="14"/>
          <w:szCs w:val="14"/>
          <w:color w:val="auto"/>
        </w:rPr>
      </w:pPr>
    </w:p>
    <w:p>
      <w:pPr>
        <w:ind w:left="900" w:hanging="259"/>
        <w:spacing w:after="0"/>
        <w:tabs>
          <w:tab w:leader="none" w:pos="90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claims in connection with the acquired company, including claims from terminated employees, customers, former stockholders or other third parties.</w:t>
      </w:r>
    </w:p>
    <w:p>
      <w:pPr>
        <w:spacing w:after="0" w:line="179" w:lineRule="exact"/>
        <w:rPr>
          <w:sz w:val="20"/>
          <w:szCs w:val="20"/>
          <w:color w:val="auto"/>
        </w:rPr>
      </w:pPr>
    </w:p>
    <w:p>
      <w:pPr>
        <w:ind w:right="180" w:firstLine="255"/>
        <w:spacing w:after="0" w:line="287" w:lineRule="auto"/>
        <w:rPr>
          <w:sz w:val="20"/>
          <w:szCs w:val="20"/>
          <w:color w:val="auto"/>
        </w:rPr>
      </w:pPr>
      <w:r>
        <w:rPr>
          <w:rFonts w:ascii="Times New Roman" w:cs="Times New Roman" w:eastAsia="Times New Roman" w:hAnsi="Times New Roman"/>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22" w:lineRule="exact"/>
        <w:rPr>
          <w:sz w:val="20"/>
          <w:szCs w:val="20"/>
          <w:color w:val="auto"/>
        </w:rPr>
      </w:pPr>
    </w:p>
    <w:p>
      <w:pPr>
        <w:ind w:right="12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7" w:lineRule="exact"/>
        <w:rPr>
          <w:sz w:val="20"/>
          <w:szCs w:val="20"/>
          <w:color w:val="auto"/>
        </w:rPr>
      </w:pPr>
    </w:p>
    <w:p>
      <w:pPr>
        <w:ind w:right="20" w:firstLine="255"/>
        <w:spacing w:after="0" w:line="257" w:lineRule="auto"/>
        <w:rPr>
          <w:sz w:val="20"/>
          <w:szCs w:val="20"/>
          <w:color w:val="auto"/>
        </w:rPr>
      </w:pPr>
      <w:r>
        <w:rPr>
          <w:rFonts w:ascii="Times New Roman" w:cs="Times New Roman" w:eastAsia="Times New Roman" w:hAnsi="Times New Roman"/>
          <w:sz w:val="14"/>
          <w:szCs w:val="14"/>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accruals, which could have an adverse effect on our results of operations or cash flows in the period or periods for which a determination is made.</w:t>
      </w:r>
    </w:p>
    <w:p>
      <w:pPr>
        <w:spacing w:after="0" w:line="17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4"/>
          <w:szCs w:val="14"/>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2023. The timetable for implementation has since been extended to 2024 and, with respect to certain components of the plan, to 2025. Under Pillar Two, the Inclusive Framework has agreed on a global minimum corporate tax rate of 15% for companies with revenue above €750 million, calculated on a jurisdictional basis.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In addition, the OECD’s proposed solution envisages new international tax rules and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 We have analyzed jurisdictional Pillar Two regulations, as well as the OECD Model Rules, and have assessed no material Pillar Two impact on the income tax provision for the nine months ended October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and certain other tax attributes may be limited.</w:t>
      </w:r>
    </w:p>
    <w:p>
      <w:pPr>
        <w:spacing w:after="0" w:line="181"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4"/>
          <w:szCs w:val="14"/>
          <w:color w:val="auto"/>
        </w:rPr>
        <w:t>As of January 31, 2024, we had aggregate U.S. federal and California net operating loss carryforwards of $1.5 billion and $243.9 million, respectively, which may be available to offset future taxable income for income tax purposes. The federal net operating losses are carried forward indefinitely, and California net operating loss carryforwards will begin to expire in fiscal 2032. As of January 31, 2024, we had net operating loss carryforwards for other states of $0.8 billion that will begin to expire in fiscal 2025. As of January 31, 2024, we had federal and California research and development credit carryforwards of $113.9 million and $27.4 million, respectively. The federal research and development credit carryforwards will begin to expire in fiscal 2036, and the California carryforwards are carried forward indefinitely. As of January 31, 2024, we had aggregate United Kingdom net operating loss carryforwards of $78.0 million and Israel net operating loss carryforwards of $51.5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47" w:lineRule="exact"/>
        <w:rPr>
          <w:sz w:val="20"/>
          <w:szCs w:val="20"/>
          <w:color w:val="auto"/>
        </w:rPr>
      </w:pPr>
    </w:p>
    <w:p>
      <w:pPr>
        <w:ind w:right="20" w:firstLine="255"/>
        <w:spacing w:after="0" w:line="261" w:lineRule="auto"/>
        <w:rPr>
          <w:sz w:val="20"/>
          <w:szCs w:val="20"/>
          <w:color w:val="auto"/>
        </w:rPr>
      </w:pPr>
      <w:r>
        <w:rPr>
          <w:rFonts w:ascii="Times New Roman" w:cs="Times New Roman" w:eastAsia="Times New Roman" w:hAnsi="Times New Roman"/>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41"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22" w:lineRule="exact"/>
        <w:rPr>
          <w:sz w:val="20"/>
          <w:szCs w:val="20"/>
          <w:color w:val="auto"/>
        </w:rPr>
      </w:pPr>
    </w:p>
    <w:p>
      <w:pPr>
        <w:ind w:right="60" w:firstLine="255"/>
        <w:spacing w:after="0" w:line="264" w:lineRule="auto"/>
        <w:rPr>
          <w:sz w:val="20"/>
          <w:szCs w:val="20"/>
          <w:color w:val="auto"/>
        </w:rPr>
      </w:pPr>
      <w:r>
        <w:rPr>
          <w:rFonts w:ascii="Times New Roman" w:cs="Times New Roman" w:eastAsia="Times New Roman" w:hAnsi="Times New Roman"/>
          <w:sz w:val="14"/>
          <w:szCs w:val="14"/>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22" w:lineRule="exact"/>
        <w:rPr>
          <w:sz w:val="20"/>
          <w:szCs w:val="20"/>
          <w:color w:val="auto"/>
        </w:rPr>
      </w:pPr>
    </w:p>
    <w:p>
      <w:pPr>
        <w:ind w:firstLine="255"/>
        <w:spacing w:after="0" w:line="257"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our condensed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49" w:lineRule="exact"/>
        <w:rPr>
          <w:sz w:val="20"/>
          <w:szCs w:val="20"/>
          <w:color w:val="auto"/>
        </w:rPr>
      </w:pPr>
    </w:p>
    <w:p>
      <w:pPr>
        <w:ind w:right="80" w:firstLine="255"/>
        <w:spacing w:after="0" w:line="261" w:lineRule="auto"/>
        <w:rPr>
          <w:sz w:val="20"/>
          <w:szCs w:val="20"/>
          <w:color w:val="auto"/>
        </w:rPr>
      </w:pPr>
      <w:r>
        <w:rPr>
          <w:rFonts w:ascii="Times New Roman" w:cs="Times New Roman" w:eastAsia="Times New Roman" w:hAnsi="Times New Roman"/>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41" w:lineRule="exact"/>
        <w:rPr>
          <w:sz w:val="20"/>
          <w:szCs w:val="20"/>
          <w:color w:val="auto"/>
        </w:rPr>
      </w:pPr>
    </w:p>
    <w:p>
      <w:pPr>
        <w:ind w:right="30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22"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4"/>
          <w:szCs w:val="14"/>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316" w:lineRule="exact"/>
        <w:rPr>
          <w:sz w:val="20"/>
          <w:szCs w:val="20"/>
          <w:color w:val="auto"/>
        </w:rPr>
      </w:pPr>
    </w:p>
    <w:p>
      <w:pPr>
        <w:ind w:right="280" w:firstLine="255"/>
        <w:spacing w:after="0" w:line="264" w:lineRule="auto"/>
        <w:rPr>
          <w:sz w:val="20"/>
          <w:szCs w:val="20"/>
          <w:color w:val="auto"/>
        </w:rPr>
      </w:pPr>
      <w:r>
        <w:rPr>
          <w:rFonts w:ascii="Times New Roman" w:cs="Times New Roman" w:eastAsia="Times New Roman" w:hAnsi="Times New Roman"/>
          <w:sz w:val="14"/>
          <w:szCs w:val="14"/>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Expectations of our performance relating to environmental, social and governance factors may impose additional costs and expose us to new risks.</w:t>
      </w:r>
    </w:p>
    <w:p>
      <w:pPr>
        <w:spacing w:after="0" w:line="181"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There is an increasing focus from regulators, certain investors, and other stakeholders concerning environmental, social and governance (“ESG”) matters, both in the United States and internationally. We have undertaken and expect to continue to undertake certain ESG-related initiatives, goals and commitments, which we have communicated on our website, in our SEC filings and elsewhere. These initiatives, goals, or commitments could be difficult to achieve and costly to implement. We could fail to achieve, or be perceived to fail to achieve, our ESG-related initiatives, goals, or commitments. In addition, we could be criticized for the timing, scope or nature of these initiatives, goals, or commitments, or for any revisions to them. Stakeholders could also challenge the accuracy, adequacy, or completeness of our ESG-related disclosures. Our actual or perceived failure to achieve some or all of our ESG-related initiatives, goals, or commitments or maintain ESG practices that meet evolving stakeholder expectations or regulatory requirements could harm our reputation, adversely impact our ability to attract and retain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employees or customers and expose us to increased scrutiny from ESG-focused investors, regulatory authorities and others, or subject us to liability. Damage to our reputation or reduced demand for our products may adversely impact our business, financial condition, or results of operations.</w:t>
      </w:r>
    </w:p>
    <w:p>
      <w:pPr>
        <w:spacing w:after="0" w:line="122" w:lineRule="exact"/>
        <w:rPr>
          <w:sz w:val="20"/>
          <w:szCs w:val="20"/>
          <w:color w:val="auto"/>
        </w:rPr>
      </w:pPr>
    </w:p>
    <w:p>
      <w:pPr>
        <w:ind w:right="440"/>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22"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4"/>
          <w:szCs w:val="14"/>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following table provides information with respect to purchases by the Company of shares of Class A Common Stock during the three months ended October 31, 2024:</w:t>
      </w:r>
    </w:p>
    <w:p>
      <w:pPr>
        <w:sectPr>
          <w:pgSz w:w="11900" w:h="16838" w:orient="portrait"/>
          <w:cols w:equalWidth="0" w:num="1">
            <w:col w:w="11280"/>
          </w:cols>
          <w:pgMar w:left="300" w:top="295" w:right="319" w:bottom="1440" w:gutter="0" w:footer="0" w:header="0"/>
        </w:sect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 Total number of shares (or</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99"/>
              </w:rPr>
              <w:t>(b) Average price paid per share (or</w:t>
            </w:r>
          </w:p>
        </w:tc>
      </w:tr>
      <w:tr>
        <w:trPr>
          <w:trHeight w:val="19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9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4"/>
                <w:szCs w:val="14"/>
                <w:color w:val="auto"/>
              </w:rPr>
              <w:t xml:space="preserve">units) purchased </w:t>
            </w:r>
            <w:r>
              <w:rPr>
                <w:rFonts w:ascii="Times New Roman" w:cs="Times New Roman" w:eastAsia="Times New Roman" w:hAnsi="Times New Roman"/>
                <w:sz w:val="18"/>
                <w:szCs w:val="18"/>
                <w:color w:val="auto"/>
                <w:vertAlign w:val="superscript"/>
              </w:rPr>
              <w:t>(1)</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unit)</w:t>
            </w:r>
          </w:p>
        </w:tc>
        <w:tc>
          <w:tcPr>
            <w:tcW w:w="1100" w:type="dxa"/>
            <w:vAlign w:val="bottom"/>
          </w:tcPr>
          <w:p>
            <w:pPr>
              <w:spacing w:after="0"/>
              <w:rPr>
                <w:sz w:val="16"/>
                <w:szCs w:val="16"/>
                <w:color w:val="auto"/>
              </w:rPr>
            </w:pPr>
          </w:p>
        </w:tc>
      </w:tr>
      <w:tr>
        <w:trPr>
          <w:trHeight w:val="167"/>
        </w:trPr>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August 1, 2024 to August 31, 2024</w:t>
            </w:r>
          </w:p>
        </w:tc>
        <w:tc>
          <w:tcPr>
            <w:tcW w:w="60" w:type="dxa"/>
            <w:vAlign w:val="bottom"/>
          </w:tcPr>
          <w:p>
            <w:pPr>
              <w:spacing w:after="0"/>
              <w:rPr>
                <w:sz w:val="14"/>
                <w:szCs w:val="14"/>
                <w:color w:val="auto"/>
              </w:rPr>
            </w:pPr>
          </w:p>
        </w:tc>
        <w:tc>
          <w:tcPr>
            <w:tcW w:w="1820" w:type="dxa"/>
            <w:vAlign w:val="bottom"/>
            <w:tcBorders>
              <w:top w:val="single" w:sz="8" w:color="auto"/>
            </w:tcBorders>
          </w:tcPr>
          <w:p>
            <w:pPr>
              <w:ind w:left="166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4"/>
                <w:szCs w:val="14"/>
                <w:color w:val="auto"/>
              </w:rPr>
            </w:pPr>
          </w:p>
        </w:tc>
        <w:tc>
          <w:tcPr>
            <w:tcW w:w="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September 1, 2024 to September 30, 2024</w:t>
            </w:r>
          </w:p>
        </w:tc>
        <w:tc>
          <w:tcPr>
            <w:tcW w:w="1820" w:type="dxa"/>
            <w:vAlign w:val="bottom"/>
          </w:tcPr>
          <w:p>
            <w:pPr>
              <w:ind w:left="1660"/>
              <w:spacing w:after="0"/>
              <w:rPr>
                <w:sz w:val="20"/>
                <w:szCs w:val="20"/>
                <w:color w:val="auto"/>
              </w:rPr>
            </w:pPr>
            <w:r>
              <w:rPr>
                <w:rFonts w:ascii="Times New Roman" w:cs="Times New Roman" w:eastAsia="Times New Roman" w:hAnsi="Times New Roman"/>
                <w:sz w:val="14"/>
                <w:szCs w:val="14"/>
                <w:color w:val="auto"/>
                <w:w w:val="99"/>
              </w:rPr>
              <w:t>23</w:t>
            </w:r>
          </w:p>
        </w:tc>
        <w:tc>
          <w:tcPr>
            <w:tcW w:w="80" w:type="dxa"/>
            <w:vAlign w:val="bottom"/>
          </w:tcPr>
          <w:p>
            <w:pPr>
              <w:spacing w:after="0"/>
              <w:rPr>
                <w:sz w:val="15"/>
                <w:szCs w:val="15"/>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309.85</w:t>
            </w:r>
          </w:p>
        </w:tc>
      </w:tr>
      <w:tr>
        <w:trPr>
          <w:trHeight w:val="18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October 1, 2024 to October 31, 2024</w:t>
            </w:r>
          </w:p>
        </w:tc>
        <w:tc>
          <w:tcPr>
            <w:tcW w:w="1900" w:type="dxa"/>
            <w:vAlign w:val="bottom"/>
            <w:gridSpan w:val="2"/>
          </w:tcPr>
          <w:p>
            <w:pPr>
              <w:ind w:left="16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161530" cy="1212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-113665</wp:posOffset>
            </wp:positionV>
            <wp:extent cx="7161530"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 Total number of shares (or</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 Maximum number (or</w:t>
            </w:r>
          </w:p>
        </w:tc>
      </w:tr>
      <w:tr>
        <w:trPr>
          <w:trHeight w:val="144"/>
        </w:trPr>
        <w:tc>
          <w:tcPr>
            <w:tcW w:w="206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color w:val="auto"/>
              </w:rPr>
              <w:t>units) purchased as part of</w:t>
            </w:r>
          </w:p>
        </w:tc>
        <w:tc>
          <w:tcPr>
            <w:tcW w:w="218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approximate dollar value) of shares</w:t>
            </w:r>
          </w:p>
        </w:tc>
      </w:tr>
      <w:tr>
        <w:trPr>
          <w:trHeight w:val="142"/>
        </w:trPr>
        <w:tc>
          <w:tcPr>
            <w:tcW w:w="20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color w:val="auto"/>
              </w:rPr>
              <w:t>publicly announced plans or</w:t>
            </w:r>
          </w:p>
        </w:tc>
        <w:tc>
          <w:tcPr>
            <w:tcW w:w="2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(or units) that may yet be purchased</w:t>
            </w:r>
          </w:p>
        </w:tc>
      </w:tr>
      <w:tr>
        <w:trPr>
          <w:trHeight w:val="180"/>
        </w:trPr>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programs</w:t>
            </w:r>
          </w:p>
        </w:tc>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 the plans or programs</w:t>
            </w:r>
          </w:p>
        </w:tc>
      </w:tr>
      <w:tr>
        <w:trPr>
          <w:trHeight w:val="167"/>
        </w:trPr>
        <w:tc>
          <w:tcPr>
            <w:tcW w:w="2000" w:type="dxa"/>
            <w:vAlign w:val="bottom"/>
            <w:tcBorders>
              <w:top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2180" w:type="dxa"/>
            <w:vAlign w:val="bottom"/>
            <w:tcBorders>
              <w:top w:val="single" w:sz="8" w:color="auto"/>
            </w:tcBorders>
          </w:tcPr>
          <w:p>
            <w:pPr>
              <w:ind w:left="2020"/>
              <w:spacing w:after="0"/>
              <w:rPr>
                <w:sz w:val="20"/>
                <w:szCs w:val="20"/>
                <w:color w:val="auto"/>
              </w:rPr>
            </w:pPr>
            <w:r>
              <w:rPr>
                <w:rFonts w:ascii="Times New Roman" w:cs="Times New Roman" w:eastAsia="Times New Roman" w:hAnsi="Times New Roman"/>
                <w:sz w:val="14"/>
                <w:szCs w:val="14"/>
                <w:color w:val="auto"/>
                <w:w w:val="99"/>
              </w:rPr>
              <w:t>—</w:t>
            </w:r>
          </w:p>
        </w:tc>
      </w:tr>
      <w:tr>
        <w:trPr>
          <w:trHeight w:val="180"/>
        </w:trPr>
        <w:tc>
          <w:tcPr>
            <w:tcW w:w="2060" w:type="dxa"/>
            <w:vAlign w:val="bottom"/>
            <w:gridSpan w:val="2"/>
          </w:tcPr>
          <w:p>
            <w:pPr>
              <w:ind w:left="1840"/>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Pr>
          <w:p>
            <w:pPr>
              <w:ind w:left="2020"/>
              <w:spacing w:after="0"/>
              <w:rPr>
                <w:sz w:val="20"/>
                <w:szCs w:val="20"/>
                <w:color w:val="auto"/>
              </w:rPr>
            </w:pPr>
            <w:r>
              <w:rPr>
                <w:rFonts w:ascii="Times New Roman" w:cs="Times New Roman" w:eastAsia="Times New Roman" w:hAnsi="Times New Roman"/>
                <w:sz w:val="14"/>
                <w:szCs w:val="14"/>
                <w:color w:val="auto"/>
                <w:w w:val="99"/>
              </w:rPr>
              <w:t>—</w:t>
            </w:r>
          </w:p>
        </w:tc>
      </w:tr>
      <w:tr>
        <w:trPr>
          <w:trHeight w:val="184"/>
        </w:trPr>
        <w:tc>
          <w:tcPr>
            <w:tcW w:w="2060" w:type="dxa"/>
            <w:vAlign w:val="bottom"/>
            <w:gridSpan w:val="2"/>
          </w:tcPr>
          <w:p>
            <w:pPr>
              <w:ind w:left="1840"/>
              <w:spacing w:after="0"/>
              <w:rPr>
                <w:sz w:val="20"/>
                <w:szCs w:val="20"/>
                <w:color w:val="auto"/>
              </w:rPr>
            </w:pPr>
            <w:r>
              <w:rPr>
                <w:rFonts w:ascii="Times New Roman" w:cs="Times New Roman" w:eastAsia="Times New Roman" w:hAnsi="Times New Roman"/>
                <w:sz w:val="14"/>
                <w:szCs w:val="14"/>
                <w:color w:val="auto"/>
              </w:rPr>
              <w:t>—</w:t>
            </w:r>
          </w:p>
        </w:tc>
        <w:tc>
          <w:tcPr>
            <w:tcW w:w="2180" w:type="dxa"/>
            <w:vAlign w:val="bottom"/>
          </w:tcPr>
          <w:p>
            <w:pPr>
              <w:ind w:left="2020"/>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00" w:lineRule="exact"/>
        <w:rPr>
          <w:sz w:val="20"/>
          <w:szCs w:val="20"/>
          <w:color w:val="auto"/>
        </w:rPr>
      </w:pPr>
    </w:p>
    <w:p>
      <w:pPr>
        <w:sectPr>
          <w:pgSz w:w="11900" w:h="16838" w:orient="portrait"/>
          <w:cols w:equalWidth="0" w:num="2">
            <w:col w:w="6960" w:space="80"/>
            <w:col w:w="4240"/>
          </w:cols>
          <w:pgMar w:left="300" w:top="295" w:right="319" w:bottom="1440" w:gutter="0" w:footer="0" w:header="0"/>
          <w:type w:val="continuous"/>
        </w:sectPr>
      </w:pPr>
    </w:p>
    <w:p>
      <w:pPr>
        <w:spacing w:after="0" w:line="3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3"/>
          <w:szCs w:val="13"/>
          <w:color w:val="auto"/>
        </w:rPr>
        <w:t>(1)</w:t>
      </w:r>
      <w:r>
        <w:rPr>
          <w:sz w:val="20"/>
          <w:szCs w:val="20"/>
          <w:color w:val="auto"/>
        </w:rPr>
        <w:tab/>
      </w:r>
      <w:r>
        <w:rPr>
          <w:rFonts w:ascii="Times New Roman" w:cs="Times New Roman" w:eastAsia="Times New Roman" w:hAnsi="Times New Roman"/>
          <w:sz w:val="12"/>
          <w:szCs w:val="12"/>
          <w:color w:val="auto"/>
        </w:rPr>
        <w:t>We repurchased, in open market transactions, 23 shares in connection with the administration of the 2019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ind w:right="40" w:firstLine="255"/>
        <w:spacing w:after="0" w:line="259" w:lineRule="auto"/>
        <w:rPr>
          <w:sz w:val="20"/>
          <w:szCs w:val="20"/>
          <w:color w:val="auto"/>
        </w:rPr>
      </w:pPr>
      <w:r>
        <w:rPr>
          <w:rFonts w:ascii="Times New Roman" w:cs="Times New Roman" w:eastAsia="Times New Roman" w:hAnsi="Times New Roman"/>
          <w:sz w:val="14"/>
          <w:szCs w:val="14"/>
          <w:color w:val="auto"/>
        </w:rPr>
        <w:t>On November 26, 2024, the Company’s board of directors adopted and approved, effective immediately, amended and restated bylaws of the Company (as amended and restated, the “Amended and Restated Bylaws”). The amendments set forth in the Amended and Restated Bylaws, among other things, enhance and clarify certain procedural and disclosure requirements related to shareholder nominations of directors and submissions of proposals regarding other business at annual or special meetings of shareholders, including with respect to (x) the information about any such shareholders and Stockholder Associated Persons (as defined in the Amended and Restated Bylaws) required to be disclosed to the Company and (y) certain other updates in light of the “universal proxy” rules adopted by the SEC pursuant to Rule 14a-19 of the Exchange Act. The Amended and Restated Bylaws also include updates to matters related to officer appointments and removals, and certain other technical, clarifying and conforming changes.</w:t>
      </w:r>
    </w:p>
    <w:p>
      <w:pPr>
        <w:spacing w:after="0" w:line="146" w:lineRule="exact"/>
        <w:rPr>
          <w:sz w:val="20"/>
          <w:szCs w:val="20"/>
          <w:color w:val="auto"/>
        </w:rPr>
      </w:pPr>
    </w:p>
    <w:p>
      <w:pPr>
        <w:ind w:right="200" w:firstLine="255"/>
        <w:spacing w:after="0" w:line="287" w:lineRule="auto"/>
        <w:rPr>
          <w:sz w:val="20"/>
          <w:szCs w:val="20"/>
          <w:color w:val="auto"/>
        </w:rPr>
      </w:pPr>
      <w:r>
        <w:rPr>
          <w:rFonts w:ascii="Times New Roman" w:cs="Times New Roman" w:eastAsia="Times New Roman" w:hAnsi="Times New Roman"/>
          <w:sz w:val="14"/>
          <w:szCs w:val="14"/>
          <w:color w:val="auto"/>
        </w:rPr>
        <w:t>The foregoing summary of the Amended and Restated Bylaws does not purport to be complete and is qualified in its entirety by reference to the full text of the Amended and Restated Bylaws, which is attached as Exhibit 3.2 to this Quarterly Report on Form 10-Q and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5" w:right="3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Index to 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040" w:type="dxa"/>
            <w:vAlign w:val="bottom"/>
            <w:gridSpan w:val="8"/>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Exhibit</w:t>
            </w:r>
          </w:p>
        </w:tc>
        <w:tc>
          <w:tcPr>
            <w:tcW w:w="1060" w:type="dxa"/>
            <w:vAlign w:val="bottom"/>
          </w:tcPr>
          <w:p>
            <w:pPr>
              <w:spacing w:after="0"/>
              <w:rPr>
                <w:sz w:val="9"/>
                <w:szCs w:val="9"/>
                <w:color w:val="auto"/>
              </w:rPr>
            </w:pPr>
          </w:p>
        </w:tc>
        <w:tc>
          <w:tcPr>
            <w:tcW w:w="3180" w:type="dxa"/>
            <w:vAlign w:val="bottom"/>
            <w:gridSpan w:val="13"/>
            <w:vMerge w:val="restart"/>
          </w:tcPr>
          <w:p>
            <w:pPr>
              <w:ind w:left="54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10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2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9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Filing</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Filed</w:t>
            </w:r>
          </w:p>
        </w:tc>
        <w:tc>
          <w:tcPr>
            <w:tcW w:w="0" w:type="dxa"/>
            <w:vAlign w:val="bottom"/>
          </w:tcPr>
          <w:p>
            <w:pPr>
              <w:spacing w:after="0"/>
              <w:rPr>
                <w:sz w:val="1"/>
                <w:szCs w:val="1"/>
                <w:color w:val="auto"/>
              </w:rPr>
            </w:pPr>
          </w:p>
        </w:tc>
      </w:tr>
      <w:tr>
        <w:trPr>
          <w:trHeight w:val="153"/>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60" w:type="dxa"/>
            <w:vAlign w:val="bottom"/>
          </w:tcPr>
          <w:p>
            <w:pPr>
              <w:spacing w:after="0"/>
              <w:rPr>
                <w:sz w:val="13"/>
                <w:szCs w:val="13"/>
                <w:color w:val="auto"/>
              </w:rPr>
            </w:pPr>
          </w:p>
        </w:tc>
        <w:tc>
          <w:tcPr>
            <w:tcW w:w="3180" w:type="dxa"/>
            <w:vAlign w:val="bottom"/>
            <w:gridSpan w:val="13"/>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Herewith</w:t>
            </w:r>
          </w:p>
        </w:tc>
        <w:tc>
          <w:tcPr>
            <w:tcW w:w="0" w:type="dxa"/>
            <w:vAlign w:val="bottom"/>
          </w:tcPr>
          <w:p>
            <w:pPr>
              <w:spacing w:after="0"/>
              <w:rPr>
                <w:sz w:val="1"/>
                <w:szCs w:val="1"/>
                <w:color w:val="auto"/>
              </w:rPr>
            </w:pPr>
          </w:p>
        </w:tc>
      </w:tr>
      <w:tr>
        <w:trPr>
          <w:trHeight w:val="143"/>
        </w:trPr>
        <w:tc>
          <w:tcPr>
            <w:tcW w:w="560" w:type="dxa"/>
            <w:vAlign w:val="bottom"/>
            <w:tcBorders>
              <w:top w:val="single" w:sz="8" w:color="auto"/>
            </w:tcBorders>
            <w:gridSpan w:val="4"/>
          </w:tcPr>
          <w:p>
            <w:pPr>
              <w:jc w:val="center"/>
              <w:ind w:left="312"/>
              <w:spacing w:after="0" w:line="143"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1</w:t>
              </w:r>
            </w:hyperlink>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160" w:type="dxa"/>
            <w:vAlign w:val="bottom"/>
            <w:tcBorders>
              <w:top w:val="single" w:sz="8" w:color="auto"/>
            </w:tcBorders>
            <w:gridSpan w:val="13"/>
          </w:tcPr>
          <w:p>
            <w:pPr>
              <w:spacing w:after="0" w:line="143" w:lineRule="exact"/>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Amended and Restated Certificate of Incorporation of the Registrant, as</w:t>
              </w:r>
            </w:hyperlink>
          </w:p>
        </w:tc>
        <w:tc>
          <w:tcPr>
            <w:tcW w:w="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rPr>
              <w:t>8-K</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right"/>
              <w:ind w:right="194"/>
              <w:spacing w:after="0" w:line="143" w:lineRule="exact"/>
              <w:rPr>
                <w:sz w:val="20"/>
                <w:szCs w:val="20"/>
                <w:color w:val="auto"/>
              </w:rPr>
            </w:pPr>
            <w:r>
              <w:rPr>
                <w:rFonts w:ascii="Times New Roman" w:cs="Times New Roman" w:eastAsia="Times New Roman" w:hAnsi="Times New Roman"/>
                <w:sz w:val="14"/>
                <w:szCs w:val="14"/>
                <w:color w:val="auto"/>
              </w:rPr>
              <w:t>001-38933</w:t>
            </w: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ind w:right="256"/>
              <w:spacing w:after="0" w:line="143" w:lineRule="exact"/>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2"/>
                <w:szCs w:val="12"/>
                <w:color w:val="auto"/>
              </w:rPr>
            </w:pPr>
          </w:p>
        </w:tc>
        <w:tc>
          <w:tcPr>
            <w:tcW w:w="1860" w:type="dxa"/>
            <w:vAlign w:val="bottom"/>
            <w:tcBorders>
              <w:top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9"/>
              </w:rPr>
              <w:t>June 14, 2019</w:t>
            </w:r>
          </w:p>
        </w:tc>
        <w:tc>
          <w:tcPr>
            <w:tcW w:w="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currently in effect.</w:t>
              </w:r>
            </w:hyperlink>
          </w:p>
        </w:tc>
        <w:tc>
          <w:tcPr>
            <w:tcW w:w="3020" w:type="dxa"/>
            <w:vAlign w:val="bottom"/>
            <w:tcBorders>
              <w:top w:val="single" w:sz="8" w:color="0000FF"/>
            </w:tcBorders>
            <w:gridSpan w:val="9"/>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 w:type="dxa"/>
            <w:vAlign w:val="bottom"/>
            <w:gridSpan w:val="3"/>
          </w:tcPr>
          <w:p>
            <w:pPr>
              <w:spacing w:after="0"/>
              <w:rPr>
                <w:sz w:val="14"/>
                <w:szCs w:val="14"/>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3.</w:t>
            </w:r>
            <w:r>
              <w:rPr>
                <w:rFonts w:ascii="Times New Roman" w:cs="Times New Roman" w:eastAsia="Times New Roman" w:hAnsi="Times New Roman"/>
                <w:sz w:val="14"/>
                <w:szCs w:val="14"/>
                <w:u w:val="single" w:color="auto"/>
                <w:color w:val="0000FF"/>
              </w:rPr>
              <w:t>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Amended and Restated Bylaws of the Registrant, as currently in effect.</w:t>
            </w:r>
          </w:p>
        </w:tc>
        <w:tc>
          <w:tcPr>
            <w:tcW w:w="200" w:type="dxa"/>
            <w:vAlign w:val="bottom"/>
            <w:gridSpan w:val="6"/>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60"/>
        </w:trPr>
        <w:tc>
          <w:tcPr>
            <w:tcW w:w="340" w:type="dxa"/>
            <w:vAlign w:val="bottom"/>
            <w:gridSpan w:val="2"/>
          </w:tcPr>
          <w:p>
            <w:pPr>
              <w:spacing w:after="0"/>
              <w:rPr>
                <w:sz w:val="13"/>
                <w:szCs w:val="13"/>
                <w:color w:val="auto"/>
              </w:rPr>
            </w:pPr>
          </w:p>
        </w:tc>
        <w:tc>
          <w:tcPr>
            <w:tcW w:w="260" w:type="dxa"/>
            <w:vAlign w:val="bottom"/>
            <w:gridSpan w:val="3"/>
          </w:tcPr>
          <w:p>
            <w:pPr>
              <w:jc w:val="cente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22.</w:t>
              </w:r>
              <w:r>
                <w:rPr>
                  <w:rFonts w:ascii="Times New Roman" w:cs="Times New Roman" w:eastAsia="Times New Roman" w:hAnsi="Times New Roman"/>
                  <w:sz w:val="14"/>
                  <w:szCs w:val="14"/>
                  <w:u w:val="single" w:color="auto"/>
                  <w:color w:val="0000FF"/>
                </w:rPr>
                <w:t>1</w:t>
              </w:r>
            </w:hyperlink>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gridSpan w:val="14"/>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List of Subsidiary Guarantors</w:t>
              </w:r>
            </w:hyperlink>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S-3ASR</w:t>
            </w: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color w:val="auto"/>
              </w:rPr>
              <w:t>333-252007</w:t>
            </w:r>
          </w:p>
        </w:tc>
        <w:tc>
          <w:tcPr>
            <w:tcW w:w="80" w:type="dxa"/>
            <w:vAlign w:val="bottom"/>
          </w:tcPr>
          <w:p>
            <w:pPr>
              <w:spacing w:after="0"/>
              <w:rPr>
                <w:sz w:val="13"/>
                <w:szCs w:val="13"/>
                <w:color w:val="auto"/>
              </w:rPr>
            </w:pPr>
          </w:p>
        </w:tc>
        <w:tc>
          <w:tcPr>
            <w:tcW w:w="820" w:type="dxa"/>
            <w:vAlign w:val="bottom"/>
          </w:tcPr>
          <w:p>
            <w:pPr>
              <w:jc w:val="right"/>
              <w:ind w:right="216"/>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3"/>
                <w:szCs w:val="13"/>
                <w:color w:val="auto"/>
              </w:rPr>
            </w:pP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January 11, 2021</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40" w:type="dxa"/>
            <w:vAlign w:val="bottom"/>
            <w:gridSpan w:val="2"/>
          </w:tcPr>
          <w:p>
            <w:pPr>
              <w:spacing w:after="0"/>
              <w:rPr>
                <w:sz w:val="13"/>
                <w:szCs w:val="13"/>
                <w:color w:val="auto"/>
              </w:rPr>
            </w:pPr>
          </w:p>
        </w:tc>
        <w:tc>
          <w:tcPr>
            <w:tcW w:w="26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1</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pursuant to Exchange</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40" w:type="dxa"/>
            <w:vAlign w:val="bottom"/>
            <w:tcBorders>
              <w:top w:val="single" w:sz="8" w:color="0000FF"/>
            </w:tcBorders>
            <w:gridSpan w:val="6"/>
          </w:tcPr>
          <w:p>
            <w:pPr>
              <w:spacing w:after="0" w:line="118" w:lineRule="exact"/>
              <w:rPr>
                <w:sz w:val="20"/>
                <w:szCs w:val="20"/>
                <w:color w:val="auto"/>
              </w:rPr>
            </w:pPr>
            <w:r>
              <w:rPr>
                <w:rFonts w:ascii="Times New Roman" w:cs="Times New Roman" w:eastAsia="Times New Roman" w:hAnsi="Times New Roman"/>
                <w:sz w:val="13"/>
                <w:szCs w:val="13"/>
                <w:color w:val="0000FF"/>
              </w:rPr>
              <w:t>Act Rules 13a14(a) and 15d14(a), as adopted pursuant to Section 302</w:t>
            </w:r>
          </w:p>
        </w:tc>
        <w:tc>
          <w:tcPr>
            <w:tcW w:w="300" w:type="dxa"/>
            <w:vAlign w:val="bottom"/>
            <w:gridSpan w:val="8"/>
          </w:tcPr>
          <w:p>
            <w:pPr>
              <w:ind w:left="40"/>
              <w:spacing w:after="0" w:line="118" w:lineRule="exact"/>
              <w:rPr>
                <w:sz w:val="20"/>
                <w:szCs w:val="20"/>
                <w:color w:val="auto"/>
              </w:rPr>
            </w:pPr>
            <w:r>
              <w:rPr>
                <w:rFonts w:ascii="Times New Roman" w:cs="Times New Roman" w:eastAsia="Times New Roman" w:hAnsi="Times New Roman"/>
                <w:sz w:val="13"/>
                <w:szCs w:val="13"/>
                <w:color w:val="0000FF"/>
              </w:rPr>
              <w:t>of</w:t>
            </w: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100" w:type="dxa"/>
            <w:vAlign w:val="bottom"/>
            <w:tcBorders>
              <w:top w:val="single" w:sz="8" w:color="0000FF"/>
            </w:tcBorders>
            <w:gridSpan w:val="11"/>
          </w:tcPr>
          <w:p>
            <w:pPr>
              <w:spacing w:after="0" w:line="129"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0" w:type="dxa"/>
            <w:vAlign w:val="bottom"/>
            <w:gridSpan w:val="5"/>
          </w:tcPr>
          <w:p>
            <w:pPr>
              <w:jc w:val="center"/>
              <w:ind w:left="272"/>
              <w:spacing w:after="0"/>
              <w:rPr>
                <w:sz w:val="20"/>
                <w:szCs w:val="20"/>
                <w:color w:val="auto"/>
              </w:rPr>
            </w:pPr>
            <w:r>
              <w:rPr>
                <w:rFonts w:ascii="Times New Roman" w:cs="Times New Roman" w:eastAsia="Times New Roman" w:hAnsi="Times New Roman"/>
                <w:sz w:val="14"/>
                <w:szCs w:val="14"/>
                <w:color w:val="0000FF"/>
              </w:rPr>
              <w:t>31.</w:t>
            </w:r>
            <w:r>
              <w:rPr>
                <w:rFonts w:ascii="Times New Roman" w:cs="Times New Roman" w:eastAsia="Times New Roman" w:hAnsi="Times New Roman"/>
                <w:sz w:val="14"/>
                <w:szCs w:val="14"/>
                <w:u w:val="single" w:color="auto"/>
                <w:color w:val="0000FF"/>
              </w:rPr>
              <w:t>2</w:t>
            </w: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the Principal Financial Officer pursuant to Exchange Act</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140" w:type="dxa"/>
            <w:vAlign w:val="bottom"/>
            <w:tcBorders>
              <w:top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Rules 13a14(a) and 15d14(a), as adopted pursuant to Section 302 of the</w:t>
            </w:r>
          </w:p>
        </w:tc>
        <w:tc>
          <w:tcPr>
            <w:tcW w:w="100" w:type="dxa"/>
            <w:vAlign w:val="bottom"/>
            <w:gridSpan w:val="2"/>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Borders>
              <w:top w:val="single" w:sz="8" w:color="0000FF"/>
              <w:bottom w:val="single" w:sz="8" w:color="0000FF"/>
            </w:tcBorders>
            <w:gridSpan w:val="2"/>
          </w:tcPr>
          <w:p>
            <w:pPr>
              <w:spacing w:after="0" w:line="129" w:lineRule="exact"/>
              <w:rPr>
                <w:sz w:val="20"/>
                <w:szCs w:val="20"/>
                <w:color w:val="auto"/>
              </w:rPr>
            </w:pPr>
            <w:r>
              <w:rPr>
                <w:rFonts w:ascii="Times New Roman" w:cs="Times New Roman" w:eastAsia="Times New Roman" w:hAnsi="Times New Roman"/>
                <w:sz w:val="14"/>
                <w:szCs w:val="14"/>
                <w:color w:val="0000FF"/>
              </w:rPr>
              <w:t>Sarbanes-Oxley Act of 2002.</w:t>
            </w:r>
          </w:p>
        </w:tc>
        <w:tc>
          <w:tcPr>
            <w:tcW w:w="2380" w:type="dxa"/>
            <w:vAlign w:val="bottom"/>
            <w:tcBorders>
              <w:top w:val="single" w:sz="8" w:color="0000FF"/>
            </w:tcBorders>
            <w:gridSpan w:val="7"/>
          </w:tcPr>
          <w:p>
            <w:pPr>
              <w:spacing w:after="0"/>
              <w:rPr>
                <w:sz w:val="11"/>
                <w:szCs w:val="11"/>
                <w:color w:val="auto"/>
              </w:rPr>
            </w:pPr>
          </w:p>
        </w:tc>
        <w:tc>
          <w:tcPr>
            <w:tcW w:w="180" w:type="dxa"/>
            <w:vAlign w:val="bottom"/>
            <w:gridSpan w:val="5"/>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940" w:type="dxa"/>
            <w:vAlign w:val="bottom"/>
            <w:gridSpan w:val="7"/>
          </w:tcPr>
          <w:p>
            <w:pPr>
              <w:jc w:val="center"/>
              <w:spacing w:after="0"/>
              <w:rPr>
                <w:sz w:val="20"/>
                <w:szCs w:val="20"/>
                <w:color w:val="auto"/>
              </w:rPr>
            </w:pPr>
            <w:r>
              <w:rPr>
                <w:rFonts w:ascii="Times New Roman" w:cs="Times New Roman" w:eastAsia="Times New Roman" w:hAnsi="Times New Roman"/>
                <w:sz w:val="14"/>
                <w:szCs w:val="14"/>
                <w:color w:val="0000FF"/>
              </w:rPr>
              <w:t>32.</w:t>
            </w:r>
            <w:r>
              <w:rPr>
                <w:rFonts w:ascii="Times New Roman" w:cs="Times New Roman" w:eastAsia="Times New Roman" w:hAnsi="Times New Roman"/>
                <w:sz w:val="14"/>
                <w:szCs w:val="14"/>
                <w:u w:val="single" w:color="auto"/>
                <w:color w:val="0000FF"/>
              </w:rPr>
              <w:t>1*</w:t>
            </w:r>
          </w:p>
        </w:tc>
        <w:tc>
          <w:tcPr>
            <w:tcW w:w="100" w:type="dxa"/>
            <w:vAlign w:val="bottom"/>
          </w:tcPr>
          <w:p>
            <w:pPr>
              <w:spacing w:after="0"/>
              <w:rPr>
                <w:sz w:val="13"/>
                <w:szCs w:val="13"/>
                <w:color w:val="auto"/>
              </w:rPr>
            </w:pP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the Principal Executive Officer and Principal Financial</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18"/>
        </w:trPr>
        <w:tc>
          <w:tcPr>
            <w:tcW w:w="320" w:type="dxa"/>
            <w:vAlign w:val="bottom"/>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tcBorders>
              <w:top w:val="single" w:sz="8" w:color="0000FF"/>
            </w:tcBorders>
            <w:gridSpan w:val="7"/>
          </w:tcPr>
          <w:p>
            <w:pPr>
              <w:spacing w:after="0" w:line="118" w:lineRule="exact"/>
              <w:rPr>
                <w:sz w:val="20"/>
                <w:szCs w:val="20"/>
                <w:color w:val="auto"/>
              </w:rPr>
            </w:pPr>
            <w:r>
              <w:rPr>
                <w:rFonts w:ascii="Times New Roman" w:cs="Times New Roman" w:eastAsia="Times New Roman" w:hAnsi="Times New Roman"/>
                <w:sz w:val="13"/>
                <w:szCs w:val="13"/>
                <w:color w:val="0000FF"/>
              </w:rPr>
              <w:t>Officer pursuant to 18 U.S.C. Section 1350, as adopted pursuant to</w:t>
            </w:r>
          </w:p>
        </w:tc>
        <w:tc>
          <w:tcPr>
            <w:tcW w:w="220" w:type="dxa"/>
            <w:vAlign w:val="bottom"/>
            <w:gridSpan w:val="7"/>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0" w:type="dxa"/>
            <w:vAlign w:val="bottom"/>
            <w:tcBorders>
              <w:top w:val="single" w:sz="8" w:color="0000FF"/>
            </w:tcBorders>
            <w:gridSpan w:val="5"/>
          </w:tcPr>
          <w:p>
            <w:pPr>
              <w:spacing w:after="0" w:line="129" w:lineRule="exact"/>
              <w:rPr>
                <w:sz w:val="20"/>
                <w:szCs w:val="20"/>
                <w:color w:val="auto"/>
              </w:rPr>
            </w:pPr>
            <w:r>
              <w:rPr>
                <w:rFonts w:ascii="Times New Roman" w:cs="Times New Roman" w:eastAsia="Times New Roman" w:hAnsi="Times New Roman"/>
                <w:sz w:val="14"/>
                <w:szCs w:val="14"/>
                <w:color w:val="0000FF"/>
              </w:rPr>
              <w:t>Section 906 of the Sarbanes-Oxley Act of 2002.</w:t>
            </w:r>
          </w:p>
        </w:tc>
        <w:tc>
          <w:tcPr>
            <w:tcW w:w="440" w:type="dxa"/>
            <w:vAlign w:val="bottom"/>
            <w:gridSpan w:val="9"/>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w w:val="97"/>
              </w:rPr>
              <w:t>101.INS</w:t>
            </w:r>
          </w:p>
        </w:tc>
        <w:tc>
          <w:tcPr>
            <w:tcW w:w="27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1520" w:type="dxa"/>
            <w:vAlign w:val="bottom"/>
            <w:gridSpan w:val="10"/>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color w:val="auto"/>
              </w:rPr>
              <w:t>101.SCH</w:t>
            </w: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rPr>
              <w:t>101.CAL</w:t>
            </w: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w w:val="98"/>
              </w:rPr>
              <w:t>101.DEF</w:t>
            </w: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rPr>
              <w:t>101.LAB</w:t>
            </w: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4"/>
        </w:trPr>
        <w:tc>
          <w:tcPr>
            <w:tcW w:w="1040" w:type="dxa"/>
            <w:vAlign w:val="bottom"/>
            <w:gridSpan w:val="8"/>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101.PRE</w:t>
            </w:r>
          </w:p>
        </w:tc>
        <w:tc>
          <w:tcPr>
            <w:tcW w:w="42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bl>
    <w:p>
      <w:pPr>
        <w:ind w:left="1040" w:right="6520" w:hanging="674"/>
        <w:spacing w:after="0" w:line="237" w:lineRule="auto"/>
        <w:tabs>
          <w:tab w:leader="none" w:pos="10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 the cover page XBRL tags are embedded within the Inline Instance XBRL document</w:t>
      </w:r>
    </w:p>
    <w:p>
      <w:pPr>
        <w:spacing w:after="0" w:line="145" w:lineRule="exact"/>
        <w:rPr>
          <w:rFonts w:ascii="Times New Roman" w:cs="Times New Roman" w:eastAsia="Times New Roman" w:hAnsi="Times New Roman"/>
          <w:sz w:val="14"/>
          <w:szCs w:val="14"/>
          <w:color w:val="auto"/>
        </w:rPr>
      </w:pPr>
    </w:p>
    <w:p>
      <w:pPr>
        <w:ind w:left="1060" w:hanging="1020"/>
        <w:spacing w:after="0"/>
        <w:tabs>
          <w:tab w:leader="none" w:pos="10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w:t>
      </w:r>
    </w:p>
    <w:p>
      <w:pPr>
        <w:spacing w:after="0" w:line="62" w:lineRule="exact"/>
        <w:rPr>
          <w:sz w:val="20"/>
          <w:szCs w:val="20"/>
          <w:color w:val="auto"/>
        </w:rPr>
      </w:pPr>
    </w:p>
    <w:p>
      <w:pPr>
        <w:ind w:left="1060" w:right="180" w:hanging="1020"/>
        <w:spacing w:after="0" w:line="228" w:lineRule="auto"/>
        <w:tabs>
          <w:tab w:leader="none" w:pos="106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furnished in Exhibit 32.1 hereto are deemed to accompany this Quarterly Report on Form 10-Q and will not be deemed “filed” or purposes of Section 18 of the Securities Exchange Act of 1934, as amended, and are not to be incorporated by reference into any of CrowdStrike Holdings, Inc.’s filings under the Securities Act of 1933, as amended, irrespective of any general incorporation language contained in such filing.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SIGNATURES</w:t>
      </w:r>
    </w:p>
    <w:p>
      <w:pPr>
        <w:spacing w:after="0" w:line="179" w:lineRule="exact"/>
        <w:rPr>
          <w:sz w:val="20"/>
          <w:szCs w:val="20"/>
          <w:color w:val="auto"/>
        </w:rPr>
      </w:pPr>
    </w:p>
    <w:p>
      <w:pPr>
        <w:ind w:firstLine="255"/>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 on the day of November 26, 2024.</w:t>
      </w:r>
    </w:p>
    <w:p>
      <w:pPr>
        <w:spacing w:after="0" w:line="15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CROWDSTRIKE HOLDINGS, INC.</w:t>
      </w:r>
    </w:p>
    <w:p>
      <w:pPr>
        <w:spacing w:after="0" w:line="64" w:lineRule="exact"/>
        <w:rPr>
          <w:sz w:val="20"/>
          <w:szCs w:val="20"/>
          <w:color w:val="auto"/>
        </w:rPr>
      </w:pPr>
    </w:p>
    <w:p>
      <w:pPr>
        <w:ind w:left="548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336169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Burt W. Podbere</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i w:val="1"/>
          <w:iCs w:val="1"/>
          <w:color w:val="auto"/>
        </w:rPr>
        <w:t>Chief Financial Officer (Principal Financial Officer)</w:t>
      </w:r>
    </w:p>
    <w:p>
      <w:pPr>
        <w:spacing w:after="0" w:line="237" w:lineRule="exact"/>
        <w:rPr>
          <w:sz w:val="20"/>
          <w:szCs w:val="20"/>
          <w:color w:val="auto"/>
        </w:rPr>
      </w:pPr>
    </w:p>
    <w:p>
      <w:pPr>
        <w:ind w:left="548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Anurag Saha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3803015</wp:posOffset>
            </wp:positionH>
            <wp:positionV relativeFrom="paragraph">
              <wp:posOffset>14605</wp:posOffset>
            </wp:positionV>
            <wp:extent cx="336169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361690" cy="6985"/>
                    </a:xfrm>
                    <a:prstGeom prst="rect">
                      <a:avLst/>
                    </a:prstGeom>
                    <a:noFill/>
                  </pic:spPr>
                </pic:pic>
              </a:graphicData>
            </a:graphic>
          </wp:anchor>
        </w:drawing>
      </w:r>
    </w:p>
    <w:p>
      <w:pPr>
        <w:spacing w:after="0" w:line="10"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Anurag Saha</w:t>
      </w:r>
    </w:p>
    <w:p>
      <w:pPr>
        <w:spacing w:after="0" w:line="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i w:val="1"/>
          <w:iCs w:val="1"/>
          <w:color w:val="auto"/>
        </w:rPr>
        <w:t>Chief Accounting Officer (Principal Accounting Officer)</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85</w:t>
      </w:r>
    </w:p>
    <w:p>
      <w:pPr>
        <w:sectPr>
          <w:pgSz w:w="11900" w:h="16838" w:orient="portrait"/>
          <w:cols w:equalWidth="0" w:num="1">
            <w:col w:w="11260"/>
          </w:cols>
          <w:pgMar w:left="300" w:top="294" w:right="339" w:bottom="1440"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George Kurtz, certify that:</w:t>
      </w:r>
    </w:p>
    <w:p>
      <w:pPr>
        <w:spacing w:after="0" w:line="179" w:lineRule="exact"/>
        <w:rPr>
          <w:sz w:val="20"/>
          <w:szCs w:val="20"/>
          <w:color w:val="auto"/>
        </w:rPr>
      </w:pPr>
    </w:p>
    <w:p>
      <w:pPr>
        <w:ind w:left="500" w:hanging="240"/>
        <w:spacing w:after="0"/>
        <w:tabs>
          <w:tab w:leader="none" w:pos="5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CrowdStrike Holdings, Inc.;</w:t>
      </w:r>
    </w:p>
    <w:p>
      <w:pPr>
        <w:spacing w:after="0" w:line="178" w:lineRule="exact"/>
        <w:rPr>
          <w:rFonts w:ascii="Times New Roman" w:cs="Times New Roman" w:eastAsia="Times New Roman" w:hAnsi="Times New Roman"/>
          <w:sz w:val="14"/>
          <w:szCs w:val="14"/>
          <w:color w:val="auto"/>
        </w:rPr>
      </w:pPr>
    </w:p>
    <w:p>
      <w:pPr>
        <w:ind w:left="520" w:right="740" w:hanging="260"/>
        <w:spacing w:after="0" w:line="287" w:lineRule="auto"/>
        <w:tabs>
          <w:tab w:leader="none" w:pos="5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13"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60" w:hanging="260"/>
        <w:spacing w:after="0" w:line="287" w:lineRule="auto"/>
        <w:tabs>
          <w:tab w:leader="none" w:pos="51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5"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20" w:hanging="260"/>
        <w:spacing w:after="0" w:line="287" w:lineRule="auto"/>
        <w:tabs>
          <w:tab w:leader="none" w:pos="51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8"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897"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color w:val="auto"/>
        </w:rPr>
        <w:t>Date: November 26, 2024</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CROWDSTRIKE HOLDINGS, INC.</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167"/>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142"/>
        </w:trPr>
        <w:tc>
          <w:tcPr>
            <w:tcW w:w="8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104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840" w:type="dxa"/>
            <w:vAlign w:val="bottom"/>
          </w:tcPr>
          <w:p>
            <w:pPr>
              <w:spacing w:after="0"/>
              <w:rPr>
                <w:sz w:val="16"/>
                <w:szCs w:val="16"/>
                <w:color w:val="auto"/>
              </w:rPr>
            </w:pP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899" w:right="31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ind w:left="320" w:right="2800"/>
        <w:spacing w:after="0" w:line="271"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EXCHANGE ACT RULES 13a-14(a) AND 15d-14(a),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Burt W. Podbere, certify that:</w:t>
      </w:r>
    </w:p>
    <w:p>
      <w:pPr>
        <w:spacing w:after="0" w:line="179"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CrowdStrike Holdings, Inc.;</w:t>
      </w:r>
    </w:p>
    <w:p>
      <w:pPr>
        <w:spacing w:after="0" w:line="178"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right="24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60" w:right="240" w:hanging="246"/>
        <w:spacing w:after="0" w:line="287" w:lineRule="auto"/>
        <w:tabs>
          <w:tab w:leader="none" w:pos="75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60" w:right="440" w:hanging="246"/>
        <w:spacing w:after="0" w:line="287" w:lineRule="auto"/>
        <w:tabs>
          <w:tab w:leader="none" w:pos="75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right="400" w:hanging="260"/>
        <w:spacing w:after="0" w:line="287" w:lineRule="auto"/>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60" w:right="120" w:hanging="246"/>
        <w:spacing w:after="0" w:line="287" w:lineRule="auto"/>
        <w:tabs>
          <w:tab w:leader="none" w:pos="75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60" w:hanging="246"/>
        <w:spacing w:after="0"/>
        <w:tabs>
          <w:tab w:leader="none" w:pos="76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80"/>
          </w:cols>
          <w:pgMar w:left="300" w:top="759"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color w:val="auto"/>
        </w:rPr>
        <w:t>Date: November 26, 2024</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CROWDSTRIKE HOLDINGS, INC.</w:t>
      </w:r>
    </w:p>
    <w:p>
      <w:pPr>
        <w:spacing w:after="0" w:line="20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10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175"/>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198"/>
        </w:trPr>
        <w:tc>
          <w:tcPr>
            <w:tcW w:w="8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10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(Principal Financial Officer)</w:t>
            </w:r>
          </w:p>
        </w:tc>
      </w:tr>
    </w:tbl>
    <w:p>
      <w:pPr>
        <w:sectPr>
          <w:pgSz w:w="11900" w:h="16838" w:orient="portrait"/>
          <w:cols w:equalWidth="0" w:num="1">
            <w:col w:w="11280"/>
          </w:cols>
          <w:pgMar w:left="300" w:top="931" w:right="31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906 OF THE SARBANES-OXLEY ACT OF 2002</w:t>
      </w:r>
    </w:p>
    <w:p>
      <w:pPr>
        <w:spacing w:after="0" w:line="164" w:lineRule="exact"/>
        <w:rPr>
          <w:sz w:val="20"/>
          <w:szCs w:val="20"/>
          <w:color w:val="auto"/>
        </w:rPr>
      </w:pPr>
    </w:p>
    <w:p>
      <w:pPr>
        <w:ind w:right="100"/>
        <w:spacing w:after="0" w:line="264" w:lineRule="auto"/>
        <w:rPr>
          <w:sz w:val="20"/>
          <w:szCs w:val="20"/>
          <w:color w:val="auto"/>
        </w:rPr>
      </w:pPr>
      <w:r>
        <w:rPr>
          <w:rFonts w:ascii="Times New Roman" w:cs="Times New Roman" w:eastAsia="Times New Roman" w:hAnsi="Times New Roman"/>
          <w:sz w:val="14"/>
          <w:szCs w:val="14"/>
          <w:color w:val="auto"/>
        </w:rPr>
        <w:t>I, George Kurtz, the President and Chief Executive Officer of CrowdStrike Holdings, Inc., certify, pursuant to 18 U.S.C. Section 1350, as adopted pursuant to Section 906 of the Sarbanes-Oxley Act of 2002, that the Quarterly Report on Form 10-Q of CrowdStrike Holdings, Inc. for the fiscal quarter ended October 31, 2024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26, 2024</w:t>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George Kurtz</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George Kurtz</w:t>
            </w:r>
          </w:p>
        </w:tc>
      </w:tr>
      <w:tr>
        <w:trPr>
          <w:trHeight w:val="142"/>
        </w:trPr>
        <w:tc>
          <w:tcPr>
            <w:tcW w:w="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President, Chief Executive Officer, and Director</w:t>
            </w:r>
          </w:p>
        </w:tc>
      </w:tr>
      <w:tr>
        <w:trPr>
          <w:trHeight w:val="184"/>
        </w:trPr>
        <w:tc>
          <w:tcPr>
            <w:tcW w:w="760" w:type="dxa"/>
            <w:vAlign w:val="bottom"/>
          </w:tcPr>
          <w:p>
            <w:pPr>
              <w:spacing w:after="0"/>
              <w:rPr>
                <w:sz w:val="16"/>
                <w:szCs w:val="16"/>
                <w:color w:val="auto"/>
              </w:rPr>
            </w:pP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36"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4"/>
          <w:szCs w:val="14"/>
          <w:color w:val="auto"/>
        </w:rPr>
        <w:t>I, Burt W. Podbere, the Chief Financial Officer of CrowdStrike Holdings, Inc., certify, pursuant to 18 U.S.C. Section 1350, as adopted pursuant to Section 906 of the Sarbanes-Oxley Act of 2002, that the Quarterly Report on Form 10-Q of CrowdStrike Holdings, Inc. for the fiscal quarter ended October 31, 2024 fully complies with the requirements of Section 13(a) or 15(d) of the Securities Exchange Act of 1934 and that information contained in such Quarterly Report on Form 10-Q fairly presents, in all material respects, the financial condition and results of operations of CrowdStrike Holdings, Inc.</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Date: November 26, 2024</w:t>
      </w:r>
    </w:p>
    <w:p>
      <w:pPr>
        <w:spacing w:after="0" w:line="23" w:lineRule="exact"/>
        <w:rPr>
          <w:sz w:val="20"/>
          <w:szCs w:val="20"/>
          <w:color w:val="auto"/>
        </w:rPr>
      </w:pPr>
    </w:p>
    <w:tbl>
      <w:tblPr>
        <w:tblLayout w:type="fixed"/>
        <w:tblInd w:w="6760" w:type="dxa"/>
        <w:tblCellMar>
          <w:top w:w="0" w:type="dxa"/>
          <w:left w:w="0" w:type="dxa"/>
          <w:bottom w:w="0" w:type="dxa"/>
          <w:right w:w="0" w:type="dxa"/>
        </w:tblCellMar>
      </w:tblPr>
      <w:tr>
        <w:trPr>
          <w:trHeight w:val="18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Burt W. Podbere</w:t>
            </w:r>
          </w:p>
        </w:tc>
      </w:tr>
      <w:tr>
        <w:trPr>
          <w:trHeight w:val="167"/>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Name: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Burt W. Podbere</w:t>
            </w:r>
          </w:p>
        </w:tc>
      </w:tr>
      <w:tr>
        <w:trPr>
          <w:trHeight w:val="142"/>
        </w:trPr>
        <w:tc>
          <w:tcPr>
            <w:tcW w:w="760" w:type="dxa"/>
            <w:vAlign w:val="bottom"/>
          </w:tcPr>
          <w:p>
            <w:pPr>
              <w:spacing w:after="0"/>
              <w:rPr>
                <w:sz w:val="12"/>
                <w:szCs w:val="12"/>
                <w:color w:val="auto"/>
              </w:rPr>
            </w:pPr>
          </w:p>
        </w:tc>
        <w:tc>
          <w:tcPr>
            <w:tcW w:w="37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91"/>
        </w:trPr>
        <w:tc>
          <w:tcPr>
            <w:tcW w:w="7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3"/>
    </w:lvl>
  </w:abstractNum>
  <w:abstractNum w:abstractNumId="8">
    <w:nsid w:val="B03E0C6"/>
    <w:multiLevelType w:val="hybridMultilevel"/>
    <w:lvl w:ilvl="0">
      <w:lvlJc w:val="left"/>
      <w:lvlText w:val="%1."/>
      <w:numFmt w:val="decimal"/>
      <w:start w:val="6"/>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8"/>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9"/>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lvl w:ilvl="1">
      <w:lvlJc w:val="left"/>
      <w:lvlText w:val="%2"/>
      <w:numFmt w:val="decimal"/>
      <w:start w:val="104"/>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lvl w:ilvl="1">
      <w:lvlJc w:val="left"/>
      <w:lvlText w:val="(%2)"/>
      <w:numFmt w:val="lowerLetter"/>
      <w:start w:val="1"/>
    </w:lvl>
  </w:abstractNum>
  <w:abstractNum w:abstractNumId="42">
    <w:nsid w:val="2A487CB0"/>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03" Type="http://schemas.openxmlformats.org/officeDocument/2006/relationships/hyperlink" Target="https://www.sec.gov/Archives/edgar/data/1535527/000110465919035685/a19-11597_1ex3d1.htm" TargetMode="External"/><Relationship Id="rId104" Type="http://schemas.openxmlformats.org/officeDocument/2006/relationships/hyperlink" Target="https://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2024-11-27T05:20:37Z</dcterms:created>
  <dcterms:modified xsi:type="dcterms:W3CDTF">2024-11-27T05:20:37Z</dcterms:modified>
</cp:coreProperties>
</file>