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___________________________________________________________________________________________________</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___________________________________________________________________________________________________</w:t>
      </w:r>
    </w:p>
    <w:p>
      <w:pPr>
        <w:pStyle w:val="TextBody"/>
        <w:bidi w:val="0"/>
        <w:spacing w:lineRule="auto" w:line="288" w:before="100" w:after="283"/>
        <w:jc w:val="left"/>
        <w:rPr>
          <w:rFonts w:ascii="Times New Roman;serif" w:hAnsi="Times New Roman;serif"/>
          <w:b/>
          <w:color w:val="000000"/>
          <w:sz w:val="18"/>
        </w:rPr>
      </w:pPr>
      <w:r>
        <w:rPr>
          <w:rFonts w:ascii="Times New Roman;serif" w:hAnsi="Times New Roman;serif"/>
          <w:b/>
          <w:color w:val="000000"/>
          <w:sz w:val="18"/>
        </w:rPr>
        <w:t>(Mark One)</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0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July 31, 2026 </w:t>
      </w:r>
    </w:p>
    <w:p>
      <w:pPr>
        <w:pStyle w:val="TextBody"/>
        <w:bidi w:val="0"/>
        <w:spacing w:lineRule="auto" w:line="288" w:before="100" w:after="283"/>
        <w:jc w:val="center"/>
        <w:rPr>
          <w:rFonts w:ascii="Times New Roman;serif" w:hAnsi="Times New Roman;serif"/>
          <w:b/>
          <w:color w:val="000000"/>
          <w:sz w:val="18"/>
        </w:rPr>
      </w:pPr>
      <w:r>
        <w:rPr>
          <w:rFonts w:ascii="Times New Roman;serif" w:hAnsi="Times New Roman;serif"/>
          <w:b/>
          <w:color w:val="000000"/>
          <w:sz w:val="18"/>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to</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001-38933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___________________________________________________________________________________________________</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 xml:space="preserve">CROWDSTRIKE HOLDINGS,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___________________________________________________________________________________________________</w:t>
      </w:r>
    </w:p>
    <w:tbl>
      <w:tblPr>
        <w:tblW w:w="5635" w:type="dxa"/>
        <w:jc w:val="center"/>
        <w:tblInd w:w="0" w:type="dxa"/>
        <w:tblLayout w:type="fixed"/>
        <w:tblCellMar>
          <w:top w:w="28" w:type="dxa"/>
          <w:left w:w="28" w:type="dxa"/>
          <w:bottom w:w="28" w:type="dxa"/>
          <w:right w:w="28" w:type="dxa"/>
        </w:tblCellMar>
      </w:tblPr>
      <w:tblGrid>
        <w:gridCol w:w="411"/>
        <w:gridCol w:w="362"/>
        <w:gridCol w:w="362"/>
        <w:gridCol w:w="362"/>
        <w:gridCol w:w="362"/>
        <w:gridCol w:w="373"/>
        <w:gridCol w:w="109"/>
        <w:gridCol w:w="109"/>
        <w:gridCol w:w="109"/>
        <w:gridCol w:w="109"/>
        <w:gridCol w:w="109"/>
        <w:gridCol w:w="109"/>
        <w:gridCol w:w="109"/>
        <w:gridCol w:w="109"/>
        <w:gridCol w:w="109"/>
        <w:gridCol w:w="109"/>
        <w:gridCol w:w="109"/>
        <w:gridCol w:w="109"/>
        <w:gridCol w:w="109"/>
        <w:gridCol w:w="109"/>
        <w:gridCol w:w="109"/>
        <w:gridCol w:w="273"/>
        <w:gridCol w:w="273"/>
        <w:gridCol w:w="273"/>
        <w:gridCol w:w="273"/>
        <w:gridCol w:w="273"/>
        <w:gridCol w:w="403"/>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22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45-3788918</w:t>
            </w:r>
          </w:p>
        </w:tc>
      </w:tr>
      <w:tr>
        <w:trPr/>
        <w:tc>
          <w:tcPr>
            <w:tcW w:w="22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(I.R.S. Employer </w:t>
              <w:br/>
              <w:t>Identification Number)</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206 E. 9th Street, Suite 1400, Austin, Texas 78701</w:t>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(888) 512-8906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518" w:type="dxa"/>
        <w:jc w:val="center"/>
        <w:tblInd w:w="0" w:type="dxa"/>
        <w:tblLayout w:type="fixed"/>
        <w:tblCellMar>
          <w:top w:w="28" w:type="dxa"/>
          <w:left w:w="28" w:type="dxa"/>
          <w:bottom w:w="28" w:type="dxa"/>
          <w:right w:w="28" w:type="dxa"/>
        </w:tblCellMar>
      </w:tblPr>
      <w:tblGrid>
        <w:gridCol w:w="1380"/>
        <w:gridCol w:w="1213"/>
        <w:gridCol w:w="1232"/>
        <w:gridCol w:w="474"/>
        <w:gridCol w:w="474"/>
        <w:gridCol w:w="476"/>
        <w:gridCol w:w="956"/>
        <w:gridCol w:w="956"/>
        <w:gridCol w:w="1357"/>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 xml:space="preserve">Title of each class </w:t>
            </w:r>
          </w:p>
        </w:tc>
        <w:tc>
          <w:tcPr>
            <w:tcW w:w="142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326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3825"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$0.0005 per share</w:t>
            </w:r>
          </w:p>
        </w:tc>
        <w:tc>
          <w:tcPr>
            <w:tcW w:w="142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CRWD</w:t>
            </w:r>
          </w:p>
        </w:tc>
        <w:tc>
          <w:tcPr>
            <w:tcW w:w="326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The Nasdaq Stock Market LLC </w:t>
            </w:r>
          </w:p>
        </w:tc>
      </w:tr>
      <w:tr>
        <w:trPr/>
        <w:tc>
          <w:tcPr>
            <w:tcW w:w="3825"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142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before="0" w:after="0"/>
        <w:jc w:val="center"/>
        <w:rPr/>
      </w:pPr>
      <w:r>
        <w:rPr/>
      </w:r>
    </w:p>
    <w:p>
      <w:pPr>
        <w:pStyle w:val="TextBody"/>
        <w:bidi w:val="0"/>
        <w:spacing w:lineRule="auto" w:line="288" w:before="60" w:after="283"/>
        <w:ind w:left="0" w:right="0" w:firstLine="72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ind w:left="0" w:right="0" w:firstLine="72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ind w:left="0" w:right="0" w:firstLine="720"/>
        <w:jc w:val="left"/>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w:t>
      </w:r>
      <w:r>
        <w:rPr>
          <w:color w:val="000000"/>
        </w:rPr>
        <w:t>“</w:t>
      </w:r>
      <w:r>
        <w:rPr>
          <w:rFonts w:ascii="Times New Roman;serif" w:hAnsi="Times New Roman;serif"/>
          <w:b w:val="false"/>
          <w:color w:val="000000"/>
          <w:sz w:val="18"/>
        </w:rPr>
        <w:t>large accelerated filer,</w:t>
      </w:r>
      <w:r>
        <w:rPr>
          <w:color w:val="000000"/>
        </w:rPr>
        <w:t>” “</w:t>
      </w:r>
      <w:r>
        <w:rPr>
          <w:rFonts w:ascii="Times New Roman;serif" w:hAnsi="Times New Roman;serif"/>
          <w:b w:val="false"/>
          <w:color w:val="000000"/>
          <w:sz w:val="18"/>
        </w:rPr>
        <w:t>accelerated filer,</w:t>
      </w:r>
      <w:r>
        <w:rPr>
          <w:color w:val="000000"/>
        </w:rPr>
        <w:t>” “</w:t>
      </w:r>
      <w:r>
        <w:rPr>
          <w:rFonts w:ascii="Times New Roman;serif" w:hAnsi="Times New Roman;serif"/>
          <w:b w:val="false"/>
          <w:color w:val="000000"/>
          <w:sz w:val="18"/>
        </w:rPr>
        <w:t>smaller reporting company</w:t>
      </w:r>
      <w:r>
        <w:rPr>
          <w:color w:val="000000"/>
        </w:rPr>
        <w:t xml:space="preserve">” </w:t>
      </w:r>
      <w:r>
        <w:rPr>
          <w:rFonts w:ascii="Times New Roman;serif" w:hAnsi="Times New Roman;serif"/>
          <w:b w:val="false"/>
          <w:color w:val="000000"/>
          <w:sz w:val="18"/>
        </w:rPr>
        <w:t xml:space="preserve">and </w:t>
      </w:r>
      <w:r>
        <w:rPr>
          <w:color w:val="000000"/>
        </w:rPr>
        <w:t>“</w:t>
      </w:r>
      <w:r>
        <w:rPr>
          <w:rFonts w:ascii="Times New Roman;serif" w:hAnsi="Times New Roman;serif"/>
          <w:b w:val="false"/>
          <w:color w:val="000000"/>
          <w:sz w:val="18"/>
        </w:rPr>
        <w:t>emerging growth company</w:t>
      </w:r>
      <w:r>
        <w:rPr>
          <w:color w:val="000000"/>
        </w:rPr>
        <w:t xml:space="preserve">” </w:t>
      </w:r>
      <w:r>
        <w:rPr>
          <w:rFonts w:ascii="Times New Roman;serif" w:hAnsi="Times New Roman;serif"/>
          <w:b w:val="false"/>
          <w:color w:val="000000"/>
          <w:sz w:val="18"/>
        </w:rPr>
        <w:t>in Rule 12b-2 of the Exchange Act.</w:t>
      </w:r>
    </w:p>
    <w:tbl>
      <w:tblPr>
        <w:tblW w:w="4509"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679"/>
        <w:gridCol w:w="679"/>
        <w:gridCol w:w="682"/>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bl>
    <w:p>
      <w:pPr>
        <w:pStyle w:val="TextBody"/>
        <w:bidi w:val="0"/>
        <w:spacing w:lineRule="auto" w:line="288" w:before="100" w:after="283"/>
        <w:ind w:left="0" w:right="0" w:firstLine="72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00" w:after="283"/>
        <w:ind w:left="0" w:right="0" w:firstLine="72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As of August 20, 2026, the number of shares of the registrant’s common stock outstanding was 1,023,934,842.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3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93"/>
        <w:gridCol w:w="258"/>
        <w:gridCol w:w="260"/>
        <w:gridCol w:w="2896"/>
        <w:gridCol w:w="2896"/>
        <w:gridCol w:w="2903"/>
        <w:gridCol w:w="203"/>
        <w:gridCol w:w="203"/>
        <w:gridCol w:w="29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Page No.</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5e8f455f0c2c493ebb5fb836bdf89035_13">
              <w:r>
                <w:rPr>
                  <w:rStyle w:val="InternetLink"/>
                  <w:rFonts w:ascii="Times New Roman;serif" w:hAnsi="Times New Roman;serif"/>
                  <w:b w:val="false"/>
                  <w:color w:val="0000FF"/>
                  <w:sz w:val="20"/>
                  <w:u w:val="single"/>
                </w:rPr>
                <w:t>PART I. FINANCIAL INFORMATION</w:t>
              </w:r>
            </w:hyperlink>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16">
              <w:r>
                <w:rPr>
                  <w:rStyle w:val="InternetLink"/>
                  <w:rFonts w:ascii="Times New Roman;serif" w:hAnsi="Times New Roman;serif"/>
                  <w:b w:val="false"/>
                  <w:color w:val="0000FF"/>
                  <w:sz w:val="20"/>
                  <w:u w:val="single"/>
                </w:rPr>
                <w:t>Item 1.</w:t>
              </w:r>
            </w:hyperlink>
          </w:p>
        </w:tc>
        <w:tc>
          <w:tcPr>
            <w:tcW w:w="869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16">
              <w:r>
                <w:rPr>
                  <w:rStyle w:val="InternetLink"/>
                  <w:rFonts w:ascii="Times New Roman;serif" w:hAnsi="Times New Roman;serif"/>
                  <w:b w:val="false"/>
                  <w:color w:val="0000FF"/>
                  <w:sz w:val="20"/>
                  <w:u w:val="single"/>
                </w:rPr>
                <w:t>Financial Statements (unaudited)</w:t>
              </w:r>
            </w:hyperlink>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19">
              <w:r>
                <w:rPr>
                  <w:rStyle w:val="InternetLink"/>
                  <w:rFonts w:ascii="Times New Roman;serif" w:hAnsi="Times New Roman;serif"/>
                  <w:b w:val="false"/>
                  <w:color w:val="0000FF"/>
                  <w:sz w:val="20"/>
                  <w:u w:val="single"/>
                </w:rPr>
                <w:t>Condensed Consolidated Balance Sheets as of July 31, 2026 and January 31, 2026</w:t>
              </w:r>
            </w:hyperlink>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5e8f455f0c2c493ebb5fb836bdf89035_19">
              <w:r>
                <w:rPr>
                  <w:rStyle w:val="InternetLink"/>
                  <w:rFonts w:ascii="Times New Roman;serif" w:hAnsi="Times New Roman;serif"/>
                  <w:b w:val="false"/>
                  <w:strike w:val="false"/>
                  <w:dstrike w:val="false"/>
                  <w:color w:val="000000"/>
                  <w:sz w:val="20"/>
                  <w:u w:val="none"/>
                  <w:effect w:val="none"/>
                </w:rPr>
                <w:t>6</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22">
              <w:r>
                <w:rPr>
                  <w:rStyle w:val="InternetLink"/>
                  <w:rFonts w:ascii="Times New Roman;serif" w:hAnsi="Times New Roman;serif"/>
                  <w:b w:val="false"/>
                  <w:color w:val="0000FF"/>
                  <w:sz w:val="20"/>
                  <w:u w:val="single"/>
                </w:rPr>
                <w:t>Condensed Consolidated Statements of Operations for the Three and Six Months Ended July 31, 2026 and July 31, 2025</w:t>
              </w:r>
            </w:hyperlink>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5e8f455f0c2c493ebb5fb836bdf89035_22">
              <w:r>
                <w:rPr>
                  <w:rStyle w:val="InternetLink"/>
                  <w:rFonts w:ascii="Times New Roman;serif" w:hAnsi="Times New Roman;serif"/>
                  <w:b w:val="false"/>
                  <w:strike w:val="false"/>
                  <w:dstrike w:val="false"/>
                  <w:color w:val="000000"/>
                  <w:sz w:val="20"/>
                  <w:u w:val="none"/>
                  <w:effect w:val="none"/>
                </w:rPr>
                <w:t>7</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25">
              <w:r>
                <w:rPr>
                  <w:rStyle w:val="InternetLink"/>
                  <w:rFonts w:ascii="Times New Roman;serif" w:hAnsi="Times New Roman;serif"/>
                  <w:b w:val="false"/>
                  <w:color w:val="0000FF"/>
                  <w:sz w:val="20"/>
                  <w:u w:val="single"/>
                </w:rPr>
                <w:t>Condensed Consolidated Statements of Comprehensive Income (Loss) for the Three and Six Months Ended July 31, 2026 and July 31, 2025</w:t>
              </w:r>
            </w:hyperlink>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5e8f455f0c2c493ebb5fb836bdf89035_25">
              <w:r>
                <w:rPr>
                  <w:rStyle w:val="InternetLink"/>
                  <w:rFonts w:ascii="Times New Roman;serif" w:hAnsi="Times New Roman;serif"/>
                  <w:b w:val="false"/>
                  <w:strike w:val="false"/>
                  <w:dstrike w:val="false"/>
                  <w:color w:val="000000"/>
                  <w:sz w:val="20"/>
                  <w:u w:val="none"/>
                  <w:effect w:val="none"/>
                </w:rPr>
                <w:t>8</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8f455f0c2c493ebb5fb836bdf89035_28">
              <w:r>
                <w:rPr>
                  <w:rStyle w:val="InternetLink"/>
                  <w:rFonts w:ascii="Times New Roman;serif" w:hAnsi="Times New Roman;serif"/>
                  <w:b w:val="false"/>
                  <w:color w:val="0000FF"/>
                  <w:sz w:val="20"/>
                  <w:u w:val="single"/>
                </w:rPr>
                <w:t>Condensed Consolidated Statements of Stockholders’ Equity for the Three and Six Months Ended July 31, 2026 and July 31, 2025</w:t>
              </w:r>
            </w:hyperlink>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e8f455f0c2c493ebb5fb836bdf89035_28">
              <w:r>
                <w:rPr>
                  <w:rStyle w:val="InternetLink"/>
                  <w:rFonts w:ascii="Times New Roman;serif" w:hAnsi="Times New Roman;serif"/>
                  <w:b w:val="false"/>
                  <w:strike w:val="false"/>
                  <w:dstrike w:val="false"/>
                  <w:color w:val="000000"/>
                  <w:sz w:val="20"/>
                  <w:u w:val="none"/>
                  <w:effect w:val="none"/>
                </w:rPr>
                <w:t>9</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31">
              <w:r>
                <w:rPr>
                  <w:rStyle w:val="InternetLink"/>
                  <w:rFonts w:ascii="Times New Roman;serif" w:hAnsi="Times New Roman;serif"/>
                  <w:b w:val="false"/>
                  <w:color w:val="0000FF"/>
                  <w:sz w:val="20"/>
                  <w:u w:val="single"/>
                </w:rPr>
                <w:t>Condensed Consolidated Statements of Cash Flows for the Six Months Ended July 31, 2026 and July 31, 2025</w:t>
              </w:r>
            </w:hyperlink>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5e8f455f0c2c493ebb5fb836bdf89035_31">
              <w:r>
                <w:rPr>
                  <w:rStyle w:val="InternetLink"/>
                  <w:rFonts w:ascii="Times New Roman;serif" w:hAnsi="Times New Roman;serif"/>
                  <w:b w:val="false"/>
                  <w:strike w:val="false"/>
                  <w:dstrike w:val="false"/>
                  <w:color w:val="000000"/>
                  <w:sz w:val="20"/>
                  <w:u w:val="none"/>
                  <w:effect w:val="none"/>
                </w:rPr>
                <w:t>11</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34">
              <w:r>
                <w:rPr>
                  <w:rStyle w:val="InternetLink"/>
                  <w:rFonts w:ascii="Times New Roman;serif" w:hAnsi="Times New Roman;serif"/>
                  <w:b w:val="false"/>
                  <w:color w:val="0000FF"/>
                  <w:sz w:val="20"/>
                  <w:u w:val="single"/>
                </w:rPr>
                <w:t>Notes to Unaudited Condensed Consolidated Financial Statements</w:t>
              </w:r>
            </w:hyperlink>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5e8f455f0c2c493ebb5fb836bdf89035_34">
              <w:r>
                <w:rPr>
                  <w:rStyle w:val="InternetLink"/>
                  <w:rFonts w:ascii="Times New Roman;serif" w:hAnsi="Times New Roman;serif"/>
                  <w:b w:val="false"/>
                  <w:strike w:val="false"/>
                  <w:dstrike w:val="false"/>
                  <w:color w:val="000000"/>
                  <w:sz w:val="20"/>
                  <w:u w:val="none"/>
                  <w:effect w:val="none"/>
                </w:rPr>
                <w:t>12</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94">
              <w:r>
                <w:rPr>
                  <w:rStyle w:val="InternetLink"/>
                  <w:rFonts w:ascii="Times New Roman;serif" w:hAnsi="Times New Roman;serif"/>
                  <w:b w:val="false"/>
                  <w:color w:val="0000FF"/>
                  <w:sz w:val="20"/>
                  <w:u w:val="single"/>
                </w:rPr>
                <w:t>Item 2.</w:t>
              </w:r>
            </w:hyperlink>
          </w:p>
        </w:tc>
        <w:tc>
          <w:tcPr>
            <w:tcW w:w="869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5e8f455f0c2c493ebb5fb836bdf89035_94">
              <w:r>
                <w:rPr>
                  <w:rStyle w:val="InternetLink"/>
                  <w:rFonts w:ascii="Times New Roman;serif" w:hAnsi="Times New Roman;serif"/>
                  <w:b w:val="false"/>
                  <w:strike w:val="false"/>
                  <w:dstrike w:val="false"/>
                  <w:color w:val="000000"/>
                  <w:sz w:val="20"/>
                  <w:u w:val="none"/>
                  <w:effect w:val="none"/>
                </w:rPr>
                <w:t>37</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130">
              <w:r>
                <w:rPr>
                  <w:rStyle w:val="InternetLink"/>
                  <w:rFonts w:ascii="Times New Roman;serif" w:hAnsi="Times New Roman;serif"/>
                  <w:b w:val="false"/>
                  <w:color w:val="0000FF"/>
                  <w:sz w:val="20"/>
                  <w:u w:val="single"/>
                </w:rPr>
                <w:t>Item 3.</w:t>
              </w:r>
            </w:hyperlink>
          </w:p>
        </w:tc>
        <w:tc>
          <w:tcPr>
            <w:tcW w:w="869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130">
              <w:r>
                <w:rPr>
                  <w:rStyle w:val="InternetLink"/>
                  <w:rFonts w:ascii="Times New Roman;serif" w:hAnsi="Times New Roman;serif"/>
                  <w:b w:val="false"/>
                  <w:color w:val="0000FF"/>
                  <w:sz w:val="20"/>
                  <w:u w:val="single"/>
                </w:rPr>
                <w:t>Quantitative and Qualitative Disclosures about Market Risk</w:t>
              </w:r>
            </w:hyperlink>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5e8f455f0c2c493ebb5fb836bdf89035_130">
              <w:r>
                <w:rPr>
                  <w:rStyle w:val="InternetLink"/>
                  <w:rFonts w:ascii="Times New Roman;serif" w:hAnsi="Times New Roman;serif"/>
                  <w:b w:val="false"/>
                  <w:strike w:val="false"/>
                  <w:dstrike w:val="false"/>
                  <w:color w:val="000000"/>
                  <w:sz w:val="20"/>
                  <w:u w:val="none"/>
                  <w:effect w:val="none"/>
                </w:rPr>
                <w:t>54</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133">
              <w:r>
                <w:rPr>
                  <w:rStyle w:val="InternetLink"/>
                  <w:rFonts w:ascii="Times New Roman;serif" w:hAnsi="Times New Roman;serif"/>
                  <w:b w:val="false"/>
                  <w:color w:val="0000FF"/>
                  <w:sz w:val="20"/>
                  <w:u w:val="single"/>
                </w:rPr>
                <w:t>Item 4.</w:t>
              </w:r>
            </w:hyperlink>
          </w:p>
        </w:tc>
        <w:tc>
          <w:tcPr>
            <w:tcW w:w="869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133">
              <w:r>
                <w:rPr>
                  <w:rStyle w:val="InternetLink"/>
                  <w:rFonts w:ascii="Times New Roman;serif" w:hAnsi="Times New Roman;serif"/>
                  <w:b w:val="false"/>
                  <w:color w:val="0000FF"/>
                  <w:sz w:val="20"/>
                  <w:u w:val="single"/>
                </w:rPr>
                <w:t>Controls and Procedures</w:t>
              </w:r>
            </w:hyperlink>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5e8f455f0c2c493ebb5fb836bdf89035_133">
              <w:r>
                <w:rPr>
                  <w:rStyle w:val="InternetLink"/>
                  <w:rFonts w:ascii="Times New Roman;serif" w:hAnsi="Times New Roman;serif"/>
                  <w:b w:val="false"/>
                  <w:strike w:val="false"/>
                  <w:dstrike w:val="false"/>
                  <w:color w:val="000000"/>
                  <w:sz w:val="20"/>
                  <w:u w:val="none"/>
                  <w:effect w:val="none"/>
                </w:rPr>
                <w:t>54</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5e8f455f0c2c493ebb5fb836bdf89035_136">
              <w:r>
                <w:rPr>
                  <w:rStyle w:val="InternetLink"/>
                  <w:rFonts w:ascii="Times New Roman;serif" w:hAnsi="Times New Roman;serif"/>
                  <w:b w:val="false"/>
                  <w:color w:val="0000FF"/>
                  <w:sz w:val="20"/>
                  <w:u w:val="single"/>
                </w:rPr>
                <w:t>PART II. OTHER INFORMATION</w:t>
              </w:r>
            </w:hyperlink>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139">
              <w:r>
                <w:rPr>
                  <w:rStyle w:val="InternetLink"/>
                  <w:rFonts w:ascii="Times New Roman;serif" w:hAnsi="Times New Roman;serif"/>
                  <w:b w:val="false"/>
                  <w:color w:val="0000FF"/>
                  <w:sz w:val="20"/>
                  <w:u w:val="single"/>
                </w:rPr>
                <w:t>Item 1.</w:t>
              </w:r>
            </w:hyperlink>
          </w:p>
        </w:tc>
        <w:tc>
          <w:tcPr>
            <w:tcW w:w="869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139">
              <w:r>
                <w:rPr>
                  <w:rStyle w:val="InternetLink"/>
                  <w:rFonts w:ascii="Times New Roman;serif" w:hAnsi="Times New Roman;serif"/>
                  <w:b w:val="false"/>
                  <w:color w:val="0000FF"/>
                  <w:sz w:val="20"/>
                  <w:u w:val="single"/>
                </w:rPr>
                <w:t>Legal Proceedings</w:t>
              </w:r>
            </w:hyperlink>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5e8f455f0c2c493ebb5fb836bdf89035_139">
              <w:r>
                <w:rPr>
                  <w:rStyle w:val="InternetLink"/>
                  <w:rFonts w:ascii="Times New Roman;serif" w:hAnsi="Times New Roman;serif"/>
                  <w:b w:val="false"/>
                  <w:strike w:val="false"/>
                  <w:dstrike w:val="false"/>
                  <w:color w:val="000000"/>
                  <w:sz w:val="20"/>
                  <w:u w:val="none"/>
                  <w:effect w:val="none"/>
                </w:rPr>
                <w:t>55</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142">
              <w:r>
                <w:rPr>
                  <w:rStyle w:val="InternetLink"/>
                  <w:rFonts w:ascii="Times New Roman;serif" w:hAnsi="Times New Roman;serif"/>
                  <w:b w:val="false"/>
                  <w:color w:val="0000FF"/>
                  <w:sz w:val="20"/>
                  <w:u w:val="single"/>
                </w:rPr>
                <w:t>Item 1A.</w:t>
              </w:r>
            </w:hyperlink>
          </w:p>
        </w:tc>
        <w:tc>
          <w:tcPr>
            <w:tcW w:w="869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142">
              <w:r>
                <w:rPr>
                  <w:rStyle w:val="InternetLink"/>
                  <w:rFonts w:ascii="Times New Roman;serif" w:hAnsi="Times New Roman;serif"/>
                  <w:b w:val="false"/>
                  <w:color w:val="0000FF"/>
                  <w:sz w:val="20"/>
                  <w:u w:val="single"/>
                </w:rPr>
                <w:t>Risk Factors</w:t>
              </w:r>
            </w:hyperlink>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5e8f455f0c2c493ebb5fb836bdf89035_142">
              <w:r>
                <w:rPr>
                  <w:rStyle w:val="InternetLink"/>
                  <w:rFonts w:ascii="Times New Roman;serif" w:hAnsi="Times New Roman;serif"/>
                  <w:b w:val="false"/>
                  <w:strike w:val="false"/>
                  <w:dstrike w:val="false"/>
                  <w:color w:val="000000"/>
                  <w:sz w:val="20"/>
                  <w:u w:val="none"/>
                  <w:effect w:val="none"/>
                </w:rPr>
                <w:t>55</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145">
              <w:r>
                <w:rPr>
                  <w:rStyle w:val="InternetLink"/>
                  <w:rFonts w:ascii="Times New Roman;serif" w:hAnsi="Times New Roman;serif"/>
                  <w:b w:val="false"/>
                  <w:color w:val="0000FF"/>
                  <w:sz w:val="20"/>
                  <w:u w:val="single"/>
                </w:rPr>
                <w:t>Item 2.</w:t>
              </w:r>
            </w:hyperlink>
          </w:p>
        </w:tc>
        <w:tc>
          <w:tcPr>
            <w:tcW w:w="869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145">
              <w:r>
                <w:rPr>
                  <w:rStyle w:val="InternetLink"/>
                  <w:rFonts w:ascii="Times New Roman;serif" w:hAnsi="Times New Roman;serif"/>
                  <w:b w:val="false"/>
                  <w:color w:val="0000FF"/>
                  <w:sz w:val="20"/>
                  <w:u w:val="single"/>
                </w:rPr>
                <w:t>Unregistered Sales of Equity Securities and Use of Proceeds</w:t>
              </w:r>
            </w:hyperlink>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5e8f455f0c2c493ebb5fb836bdf89035_145">
              <w:r>
                <w:rPr>
                  <w:rStyle w:val="InternetLink"/>
                  <w:rFonts w:ascii="Times New Roman;serif" w:hAnsi="Times New Roman;serif"/>
                  <w:b w:val="false"/>
                  <w:strike w:val="false"/>
                  <w:dstrike w:val="false"/>
                  <w:color w:val="000000"/>
                  <w:sz w:val="20"/>
                  <w:u w:val="none"/>
                  <w:effect w:val="none"/>
                </w:rPr>
                <w:t>89</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148">
              <w:r>
                <w:rPr>
                  <w:rStyle w:val="InternetLink"/>
                  <w:rFonts w:ascii="Times New Roman;serif" w:hAnsi="Times New Roman;serif"/>
                  <w:b w:val="false"/>
                  <w:color w:val="0000FF"/>
                  <w:sz w:val="20"/>
                  <w:u w:val="single"/>
                </w:rPr>
                <w:t>Item 3.</w:t>
              </w:r>
            </w:hyperlink>
          </w:p>
        </w:tc>
        <w:tc>
          <w:tcPr>
            <w:tcW w:w="869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148">
              <w:r>
                <w:rPr>
                  <w:rStyle w:val="InternetLink"/>
                  <w:rFonts w:ascii="Times New Roman;serif" w:hAnsi="Times New Roman;serif"/>
                  <w:b w:val="false"/>
                  <w:color w:val="0000FF"/>
                  <w:sz w:val="20"/>
                  <w:u w:val="single"/>
                </w:rPr>
                <w:t>Defaults Upon Senior Securities</w:t>
              </w:r>
            </w:hyperlink>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5e8f455f0c2c493ebb5fb836bdf89035_148">
              <w:r>
                <w:rPr>
                  <w:rStyle w:val="InternetLink"/>
                  <w:rFonts w:ascii="Times New Roman;serif" w:hAnsi="Times New Roman;serif"/>
                  <w:b w:val="false"/>
                  <w:strike w:val="false"/>
                  <w:dstrike w:val="false"/>
                  <w:color w:val="000000"/>
                  <w:sz w:val="20"/>
                  <w:u w:val="none"/>
                  <w:effect w:val="none"/>
                </w:rPr>
                <w:t>89</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151">
              <w:r>
                <w:rPr>
                  <w:rStyle w:val="InternetLink"/>
                  <w:rFonts w:ascii="Times New Roman;serif" w:hAnsi="Times New Roman;serif"/>
                  <w:b w:val="false"/>
                  <w:color w:val="0000FF"/>
                  <w:sz w:val="20"/>
                  <w:u w:val="single"/>
                </w:rPr>
                <w:t>Item 4.</w:t>
              </w:r>
            </w:hyperlink>
          </w:p>
        </w:tc>
        <w:tc>
          <w:tcPr>
            <w:tcW w:w="869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151">
              <w:r>
                <w:rPr>
                  <w:rStyle w:val="InternetLink"/>
                  <w:rFonts w:ascii="Times New Roman;serif" w:hAnsi="Times New Roman;serif"/>
                  <w:b w:val="false"/>
                  <w:color w:val="0000FF"/>
                  <w:sz w:val="20"/>
                  <w:u w:val="single"/>
                </w:rPr>
                <w:t>Mine Safety Disclosures</w:t>
              </w:r>
            </w:hyperlink>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5e8f455f0c2c493ebb5fb836bdf89035_151">
              <w:r>
                <w:rPr>
                  <w:rStyle w:val="InternetLink"/>
                  <w:rFonts w:ascii="Times New Roman;serif" w:hAnsi="Times New Roman;serif"/>
                  <w:b w:val="false"/>
                  <w:strike w:val="false"/>
                  <w:dstrike w:val="false"/>
                  <w:color w:val="000000"/>
                  <w:sz w:val="20"/>
                  <w:u w:val="none"/>
                  <w:effect w:val="none"/>
                </w:rPr>
                <w:t>89</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154">
              <w:r>
                <w:rPr>
                  <w:rStyle w:val="InternetLink"/>
                  <w:rFonts w:ascii="Times New Roman;serif" w:hAnsi="Times New Roman;serif"/>
                  <w:b w:val="false"/>
                  <w:color w:val="0000FF"/>
                  <w:sz w:val="20"/>
                  <w:u w:val="single"/>
                </w:rPr>
                <w:t>Item 5.</w:t>
              </w:r>
            </w:hyperlink>
          </w:p>
        </w:tc>
        <w:tc>
          <w:tcPr>
            <w:tcW w:w="869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154">
              <w:r>
                <w:rPr>
                  <w:rStyle w:val="InternetLink"/>
                  <w:rFonts w:ascii="Times New Roman;serif" w:hAnsi="Times New Roman;serif"/>
                  <w:b w:val="false"/>
                  <w:color w:val="0000FF"/>
                  <w:sz w:val="20"/>
                  <w:u w:val="single"/>
                </w:rPr>
                <w:t>Other Information</w:t>
              </w:r>
            </w:hyperlink>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5e8f455f0c2c493ebb5fb836bdf89035_154">
              <w:r>
                <w:rPr>
                  <w:rStyle w:val="InternetLink"/>
                  <w:rFonts w:ascii="Times New Roman;serif" w:hAnsi="Times New Roman;serif"/>
                  <w:b w:val="false"/>
                  <w:strike w:val="false"/>
                  <w:dstrike w:val="false"/>
                  <w:color w:val="000000"/>
                  <w:sz w:val="20"/>
                  <w:u w:val="none"/>
                  <w:effect w:val="none"/>
                </w:rPr>
                <w:t>89</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160">
              <w:r>
                <w:rPr>
                  <w:rStyle w:val="InternetLink"/>
                  <w:rFonts w:ascii="Times New Roman;serif" w:hAnsi="Times New Roman;serif"/>
                  <w:b w:val="false"/>
                  <w:color w:val="0000FF"/>
                  <w:sz w:val="20"/>
                  <w:u w:val="single"/>
                </w:rPr>
                <w:t>Item 6.</w:t>
              </w:r>
            </w:hyperlink>
          </w:p>
        </w:tc>
        <w:tc>
          <w:tcPr>
            <w:tcW w:w="869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160">
              <w:r>
                <w:rPr>
                  <w:rStyle w:val="InternetLink"/>
                  <w:rFonts w:ascii="Times New Roman;serif" w:hAnsi="Times New Roman;serif"/>
                  <w:b w:val="false"/>
                  <w:color w:val="0000FF"/>
                  <w:sz w:val="20"/>
                  <w:u w:val="single"/>
                </w:rPr>
                <w:t>Exhibits</w:t>
              </w:r>
            </w:hyperlink>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5e8f455f0c2c493ebb5fb836bdf89035_160">
              <w:r>
                <w:rPr>
                  <w:rStyle w:val="InternetLink"/>
                  <w:rFonts w:ascii="Times New Roman;serif" w:hAnsi="Times New Roman;serif"/>
                  <w:b w:val="false"/>
                  <w:strike w:val="false"/>
                  <w:dstrike w:val="false"/>
                  <w:color w:val="000000"/>
                  <w:sz w:val="20"/>
                  <w:u w:val="none"/>
                  <w:effect w:val="none"/>
                </w:rPr>
                <w:t>89</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5e8f455f0c2c493ebb5fb836bdf89035_163">
              <w:r>
                <w:rPr>
                  <w:rStyle w:val="InternetLink"/>
                  <w:rFonts w:ascii="Times New Roman;serif" w:hAnsi="Times New Roman;serif"/>
                  <w:b w:val="false"/>
                  <w:color w:val="0000FF"/>
                  <w:sz w:val="20"/>
                  <w:u w:val="single"/>
                </w:rPr>
                <w:t>Signatures</w:t>
              </w:r>
            </w:hyperlink>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5e8f455f0c2c493ebb5fb836bdf89035_163">
              <w:r>
                <w:rPr>
                  <w:rStyle w:val="InternetLink"/>
                  <w:rFonts w:ascii="Times New Roman;serif" w:hAnsi="Times New Roman;serif"/>
                  <w:b w:val="false"/>
                  <w:strike w:val="false"/>
                  <w:dstrike w:val="false"/>
                  <w:color w:val="000000"/>
                  <w:sz w:val="20"/>
                  <w:u w:val="none"/>
                  <w:effect w:val="none"/>
                </w:rPr>
                <w:t>91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Securities Act of 1933, as amended (the “Securities Act”), the Securities Exchange Act of 1934, as amended (the “Exchange Act”), and the Private Securities Litigation Reform Act of 1995. All statements contained in this Quarterly Report on Form 10-Q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include, but are not limited to, statements concerning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market acceptance of our cloud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effects of increased competition in our markets and our ability to compete effectively;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maintain the security and availability of our cloud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maintain and expand our customer base, including by attracting new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develop new solutions, or enhancements to our existing solutions, and bring them to market in a timely manner;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anticipated trends, growth rates and challenges in our business and in the markets in which we operate;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business plan and our ability to effectively manage our growth and associated investments;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beliefs and objectives for future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relationships with third parties, including channel partners and technology alliance partners;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maintain, protect and enhance our intellectual property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defend litigation brought against us and respond to government investigations and inquiries;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expand in our existing markets and into new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sufficiency of cash and cash equivalents and cash flow from operations to meet cash needs for at least the next 12 months;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anticipated developments relating to our valuation allowances for our deferred tax assets;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expand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comply with laws and regulations that currently apply or become applicable to our business both in the United States and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develop, maintain, and improve our internal control over financial reporting;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macroeconomic factors, including inflation, changes in foreign currency exchanges rates and instability in the global credit and financial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ability to successfully close and integrate acquisitions to contribute to our growth objectives;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attraction and retention of qualified employees and key personnel;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July 19 Incident (as defined below), including potential or anticipated developments, our remediation and other efforts in connection with the incident, the outcome of lawsuits, claims and inquiries related to the incident, our customer commitment packages, and the effect on our customer and partner relationships and our business, results of operations and financial condition;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expected impacts of the Strategic Plan (as defined below).</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statements are based on our current plans, estimates and projections in light of information currently available to us. These forward-looking statements may be affected by risks, uncertainties and other factors discussed elsewhere in this Quarterly Report on Form 10-Q, including under “Risk Factors.” Furthermore, new risks and uncertainties emerge from time to time, and it is impossible for us to predict all risks and uncertainties or how they may affect us. If any of these risks or uncertainties materialize, our business, revenue and financial results could be harmed, and the trading price of our Class A common stock could decline. Forward-looking statements made in this Quarterly Report on Form 10-Q speak only as of the date on which such statements are made, and we undertake no obligation to update them in light of new information or future events, except as required by law.</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 </w:t>
      </w:r>
    </w:p>
    <w:p>
      <w:pPr>
        <w:pStyle w:val="TextBody"/>
        <w:bidi w:val="0"/>
        <w:spacing w:lineRule="auto" w:line="288" w:before="24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any one of which could materially adversely affect our business, results of operations, financial condition, and growth prospects. Below is a summary of some of these risks. This summary is not complete, and should be read together with the entire section titled “Risk Factors” in this Quarterly Report on Form 10-Q, as well as the other information in this Quarterly Report on Form 10-Q and the other filings that we make with the SEC.</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July 19 Incident has had, and is expected to continue to have, an adverse effect on our business, sales, customer and partner relations, reputation, results of operations and financial condition.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have experienced rapid growth in recent periods, and if we do not manage our future growth, our business and results of operations will be adversely affected.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have a history of losses, and while we have achieved profitability in certain periods, including the first and second quarters of fiscal 2027 and fiscal 2024, we may not be able to achieve or sustain profitability in the future.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organizations do not adopt cloud-based SaaS-delivered endpoint security solutions, our ability to grow our business and results of operations may be adversely affected.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are unable to attract new customers, our future results of operations could be harmed.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our customers do not renew their subscriptions for our products and add additional cloud modules to their subscriptions, our future results of operations could be harmed.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sales cycles can be long and unpredictable, and our sales efforts require considerable time and expense.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face intense competition and could lose market share to our competitors, which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our solutions fail or are perceived to fail to detect or prevent incidents or have or are perceived to have defects, errors, or vulnerabilities, our brand and reputation would be harmed, which would adversely affect our business and results of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As a cybersecurity provider, we have been, and expect to continue to be, a target of cyberattacks. If our or our service providers’ internal networks, systems, or data are or are perceived to have been compromised, our reputation may be damaged and our financial results may be negatively affected.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rely on our key technical, sales and management personnel to grow our business, and the loss of one or more key employees could harm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are unable to attract and retain qualified personnel, our business could be harmed.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results of operations may fluctuate significantly, which could make our future results difficult to predict and could cause our results of operations to fall below expectations.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are not able to maintain and enhance our CrowdStrike and Falcon brands and our reputation as a provider of high-efficacy security solutions, our business and results of operations may be adversely affected.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Claims by others that we infringe their proprietary technology or other intellectual property rights could result in significant costs and substantially harm our business, financial condition, results of operations, and prospects.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to comply with laws and regulations applicable to our business could subject us to fines and penalties and could also cause us to lose customers or negatively impact our ability to contract with customers, including those in the public sector.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are currently, and may in the future become, involved in litigation that may adversely affect us.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have in the past experienced, and may in the future experience, warranty claims, product returns, and claims related to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CrowdStrike Holdings,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p>
      <w:pPr>
        <w:pStyle w:val="TextBody"/>
        <w:bidi w:val="0"/>
        <w:spacing w:lineRule="auto" w:line="288" w:before="0" w:after="24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996"/>
        <w:gridCol w:w="2171"/>
        <w:gridCol w:w="2132"/>
        <w:gridCol w:w="196"/>
        <w:gridCol w:w="961"/>
        <w:gridCol w:w="109"/>
        <w:gridCol w:w="109"/>
        <w:gridCol w:w="109"/>
        <w:gridCol w:w="109"/>
        <w:gridCol w:w="196"/>
        <w:gridCol w:w="961"/>
        <w:gridCol w:w="156"/>
      </w:tblGrid>
      <w:tr>
        <w:trPr/>
        <w:tc>
          <w:tcPr>
            <w:tcW w:w="2996"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31,</w:t>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5,013,847 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5,230,125 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$3.3 million and $3.0 million as of July 31, 2026 and January 31, 2026, respectively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1,361,844 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acquisition costs, 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447,455 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379,695 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6,955,178 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7,419,119 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investments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976,331 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acquisition costs, noncurrent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655,658 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1,363,294 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388,888 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12,025,001 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11,086,684 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Liabilities and Stockholders’ Equity </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benefits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3,497,144 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3,421,051 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4,429,688 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4,184,192 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Long-term debt </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745,471 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 noncurrent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1,332,387 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noncurrent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noncurrent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295,655 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6,885,476 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6,614,079 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11)</w:t>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Stockholders’ Equity </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$0.0005 par value; 100,000 shares authorized as of July 31, 2026 and January 31, 2026; no shares issued and outstanding as of July 31, 2026 and January 31, 2026.</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A common stock, $0.0005 par value; 2,000,000 shares authorized as of July 31, 2026 and January 31, 2026; 1,023,845 shares and 1,013,453 shares issued and outstanding as of July 31, 2026 and January 31, 2026, respectively; Class B common stock, $0.0005 par value; 92,364 shares authorized as of July 31, 2026 and January 31, 2026; no shares issued and outstanding as of July 31, 2026 and January 31, 2026.</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5,694,169 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(1,283,042)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CrowdStrike Holdings, Inc. stockholders’ equity </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5,101,724 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4,428,390 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stockholders’ equity </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5,139,525 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4,472,605 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Total liabilities and stockholders’ equity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12,025,001 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11,086,684 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04"/>
        <w:gridCol w:w="1023"/>
        <w:gridCol w:w="103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155"/>
      </w:tblGrid>
      <w:tr>
        <w:trPr/>
        <w:tc>
          <w:tcPr>
            <w:tcW w:w="150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1,470,897 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1,168,952 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2,856,526 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2,272,386 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2,204,079 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bookmarkStart w:id="0" w:name="if3c8719b1327413cafebeb6e8469584b_29-0-1"/>
            <w:bookmarkEnd w:id="0"/>
            <w:r>
              <w:rPr>
                <w:rFonts w:ascii="Times New Roman;serif" w:hAnsi="Times New Roman;serif"/>
                <w:b w:val="false"/>
                <w:color w:val="000000"/>
                <w:sz w:val="20"/>
              </w:rPr>
              <w:t>Net income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attributable to CrowdStrike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CrowdStrike common stockholders: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(loss) per share attributable to CrowdStrike common stockholders: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1,044,469 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999,634 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1,038,033 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996,730 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19"/>
        <w:gridCol w:w="1390"/>
        <w:gridCol w:w="1320"/>
        <w:gridCol w:w="211"/>
        <w:gridCol w:w="769"/>
        <w:gridCol w:w="109"/>
        <w:gridCol w:w="109"/>
        <w:gridCol w:w="109"/>
        <w:gridCol w:w="109"/>
        <w:gridCol w:w="211"/>
        <w:gridCol w:w="769"/>
        <w:gridCol w:w="109"/>
        <w:gridCol w:w="109"/>
        <w:gridCol w:w="109"/>
        <w:gridCol w:w="109"/>
        <w:gridCol w:w="211"/>
        <w:gridCol w:w="721"/>
        <w:gridCol w:w="109"/>
        <w:gridCol w:w="109"/>
        <w:gridCol w:w="109"/>
        <w:gridCol w:w="109"/>
        <w:gridCol w:w="211"/>
        <w:gridCol w:w="874"/>
        <w:gridCol w:w="109"/>
        <w:gridCol w:w="109"/>
        <w:gridCol w:w="109"/>
        <w:gridCol w:w="109"/>
        <w:gridCol w:w="155"/>
      </w:tblGrid>
      <w:tr>
        <w:trPr/>
        <w:tc>
          <w:tcPr>
            <w:tcW w:w="1619"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 on cash equivalents and short-term investments, net of tax</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unrealized gains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net losses included in net income (loss)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change on cash flow hedges </w:t>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(loss) attributable to non-controlling interest</w:t>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 attributable to CrowdStrike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(158,824)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CrowdStrike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Stockholders’ Equity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July 31, 2026 and 2025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bl>
      <w:tblPr>
        <w:tblW w:w="10273" w:type="dxa"/>
        <w:jc w:val="center"/>
        <w:tblInd w:w="0" w:type="dxa"/>
        <w:tblLayout w:type="fixed"/>
        <w:tblCellMar>
          <w:top w:w="28" w:type="dxa"/>
          <w:left w:w="28" w:type="dxa"/>
          <w:bottom w:w="28" w:type="dxa"/>
          <w:right w:w="28" w:type="dxa"/>
        </w:tblCellMar>
      </w:tblPr>
      <w:tblGrid>
        <w:gridCol w:w="640"/>
        <w:gridCol w:w="220"/>
        <w:gridCol w:w="221"/>
        <w:gridCol w:w="109"/>
        <w:gridCol w:w="109"/>
        <w:gridCol w:w="109"/>
        <w:gridCol w:w="383"/>
        <w:gridCol w:w="383"/>
        <w:gridCol w:w="171"/>
        <w:gridCol w:w="109"/>
        <w:gridCol w:w="109"/>
        <w:gridCol w:w="109"/>
        <w:gridCol w:w="181"/>
        <w:gridCol w:w="376"/>
        <w:gridCol w:w="109"/>
        <w:gridCol w:w="109"/>
        <w:gridCol w:w="109"/>
        <w:gridCol w:w="109"/>
        <w:gridCol w:w="181"/>
        <w:gridCol w:w="766"/>
        <w:gridCol w:w="109"/>
        <w:gridCol w:w="109"/>
        <w:gridCol w:w="109"/>
        <w:gridCol w:w="109"/>
        <w:gridCol w:w="181"/>
        <w:gridCol w:w="766"/>
        <w:gridCol w:w="109"/>
        <w:gridCol w:w="109"/>
        <w:gridCol w:w="109"/>
        <w:gridCol w:w="109"/>
        <w:gridCol w:w="214"/>
        <w:gridCol w:w="677"/>
        <w:gridCol w:w="130"/>
        <w:gridCol w:w="109"/>
        <w:gridCol w:w="109"/>
        <w:gridCol w:w="109"/>
        <w:gridCol w:w="224"/>
        <w:gridCol w:w="706"/>
        <w:gridCol w:w="136"/>
        <w:gridCol w:w="109"/>
        <w:gridCol w:w="109"/>
        <w:gridCol w:w="109"/>
        <w:gridCol w:w="181"/>
        <w:gridCol w:w="76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at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1,018,149 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5,852,987 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(1,255,268)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35,649 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41,455 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4,675,332 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under RSU and PSU release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4,276 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for founders holdbacks related to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for payment of board of director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 expense, net of founder revest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372,291 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372,291 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Capitalized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(3,654)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(19,965)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(19,965)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at 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1,023,845 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6,335,490 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(1,249,962)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15,684 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37,801 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5,139,525 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73" w:type="dxa"/>
        <w:jc w:val="center"/>
        <w:tblInd w:w="0" w:type="dxa"/>
        <w:tblLayout w:type="fixed"/>
        <w:tblCellMar>
          <w:top w:w="28" w:type="dxa"/>
          <w:left w:w="28" w:type="dxa"/>
          <w:bottom w:w="28" w:type="dxa"/>
          <w:right w:w="28" w:type="dxa"/>
        </w:tblCellMar>
      </w:tblPr>
      <w:tblGrid>
        <w:gridCol w:w="640"/>
        <w:gridCol w:w="220"/>
        <w:gridCol w:w="221"/>
        <w:gridCol w:w="109"/>
        <w:gridCol w:w="109"/>
        <w:gridCol w:w="109"/>
        <w:gridCol w:w="383"/>
        <w:gridCol w:w="383"/>
        <w:gridCol w:w="171"/>
        <w:gridCol w:w="109"/>
        <w:gridCol w:w="109"/>
        <w:gridCol w:w="109"/>
        <w:gridCol w:w="181"/>
        <w:gridCol w:w="376"/>
        <w:gridCol w:w="109"/>
        <w:gridCol w:w="109"/>
        <w:gridCol w:w="109"/>
        <w:gridCol w:w="109"/>
        <w:gridCol w:w="181"/>
        <w:gridCol w:w="766"/>
        <w:gridCol w:w="109"/>
        <w:gridCol w:w="109"/>
        <w:gridCol w:w="109"/>
        <w:gridCol w:w="109"/>
        <w:gridCol w:w="181"/>
        <w:gridCol w:w="766"/>
        <w:gridCol w:w="109"/>
        <w:gridCol w:w="109"/>
        <w:gridCol w:w="109"/>
        <w:gridCol w:w="109"/>
        <w:gridCol w:w="235"/>
        <w:gridCol w:w="644"/>
        <w:gridCol w:w="142"/>
        <w:gridCol w:w="109"/>
        <w:gridCol w:w="109"/>
        <w:gridCol w:w="109"/>
        <w:gridCol w:w="224"/>
        <w:gridCol w:w="706"/>
        <w:gridCol w:w="136"/>
        <w:gridCol w:w="109"/>
        <w:gridCol w:w="109"/>
        <w:gridCol w:w="109"/>
        <w:gridCol w:w="181"/>
        <w:gridCol w:w="76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at April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996,297 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4,669,328 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(1,224,804)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5,855 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40,137 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3,491,014 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under RSU and PSU release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5,095 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for founders holdbacks related to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for payment of board of director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 expense, net of founder revest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278,104 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278,104 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Capitalized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(2,156)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at July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1,003,308 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5,045,135 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(1,294,957)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6,000 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38,011 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3,794,691 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300"/>
        <w:jc w:val="center"/>
        <w:rPr>
          <w:rFonts w:ascii="Times New Roman;serif" w:hAnsi="Times New Roman;serif"/>
          <w:b w:val="false"/>
          <w:color w:val="000000"/>
          <w:sz w:val="15"/>
        </w:rPr>
      </w:pPr>
      <w:r>
        <w:rPr>
          <w:rFonts w:ascii="Times New Roman;serif" w:hAnsi="Times New Roman;serif"/>
          <w:b w:val="false"/>
          <w:color w:val="000000"/>
          <w:sz w:val="15"/>
        </w:rPr>
        <w:t>The accompanying notes are an integral part of these condensed consolidated financial statements.</w:t>
      </w:r>
    </w:p>
    <w:p>
      <w:pPr>
        <w:pStyle w:val="TextBody"/>
        <w:bidi w:val="0"/>
        <w:spacing w:before="240" w:after="30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CrowdStrike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Stockholders’ Equity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Six Months Ended July 31, 2026 and 2025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bl>
      <w:tblPr>
        <w:tblW w:w="10273" w:type="dxa"/>
        <w:jc w:val="center"/>
        <w:tblInd w:w="0" w:type="dxa"/>
        <w:tblLayout w:type="fixed"/>
        <w:tblCellMar>
          <w:top w:w="28" w:type="dxa"/>
          <w:left w:w="28" w:type="dxa"/>
          <w:bottom w:w="28" w:type="dxa"/>
          <w:right w:w="28" w:type="dxa"/>
        </w:tblCellMar>
      </w:tblPr>
      <w:tblGrid>
        <w:gridCol w:w="640"/>
        <w:gridCol w:w="220"/>
        <w:gridCol w:w="221"/>
        <w:gridCol w:w="109"/>
        <w:gridCol w:w="109"/>
        <w:gridCol w:w="109"/>
        <w:gridCol w:w="383"/>
        <w:gridCol w:w="383"/>
        <w:gridCol w:w="171"/>
        <w:gridCol w:w="109"/>
        <w:gridCol w:w="109"/>
        <w:gridCol w:w="109"/>
        <w:gridCol w:w="181"/>
        <w:gridCol w:w="376"/>
        <w:gridCol w:w="109"/>
        <w:gridCol w:w="109"/>
        <w:gridCol w:w="109"/>
        <w:gridCol w:w="109"/>
        <w:gridCol w:w="181"/>
        <w:gridCol w:w="766"/>
        <w:gridCol w:w="109"/>
        <w:gridCol w:w="109"/>
        <w:gridCol w:w="109"/>
        <w:gridCol w:w="109"/>
        <w:gridCol w:w="181"/>
        <w:gridCol w:w="766"/>
        <w:gridCol w:w="109"/>
        <w:gridCol w:w="109"/>
        <w:gridCol w:w="109"/>
        <w:gridCol w:w="109"/>
        <w:gridCol w:w="214"/>
        <w:gridCol w:w="677"/>
        <w:gridCol w:w="130"/>
        <w:gridCol w:w="109"/>
        <w:gridCol w:w="109"/>
        <w:gridCol w:w="109"/>
        <w:gridCol w:w="224"/>
        <w:gridCol w:w="706"/>
        <w:gridCol w:w="136"/>
        <w:gridCol w:w="109"/>
        <w:gridCol w:w="109"/>
        <w:gridCol w:w="109"/>
        <w:gridCol w:w="181"/>
        <w:gridCol w:w="76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at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1,013,453 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5,694,169 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(1,283,042)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16,756 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44,215 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4,472,605 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under RSU and PSU release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9,376 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(1,920)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(175,622)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for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for founders holdbacks related to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for payment of board of director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 expense, net of founder revest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665,522 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665,522 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Capitalized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Fair value of replacement equity awards attributable to pre-acquisition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18,192 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(24,606)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(24,606)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(1,072)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at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1,023,845 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6,335,490 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(1,249,962)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15,684 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37,801 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5,139,525 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73" w:type="dxa"/>
        <w:jc w:val="center"/>
        <w:tblInd w:w="0" w:type="dxa"/>
        <w:tblLayout w:type="fixed"/>
        <w:tblCellMar>
          <w:top w:w="28" w:type="dxa"/>
          <w:left w:w="28" w:type="dxa"/>
          <w:bottom w:w="28" w:type="dxa"/>
          <w:right w:w="28" w:type="dxa"/>
        </w:tblCellMar>
      </w:tblPr>
      <w:tblGrid>
        <w:gridCol w:w="640"/>
        <w:gridCol w:w="220"/>
        <w:gridCol w:w="221"/>
        <w:gridCol w:w="109"/>
        <w:gridCol w:w="109"/>
        <w:gridCol w:w="109"/>
        <w:gridCol w:w="383"/>
        <w:gridCol w:w="383"/>
        <w:gridCol w:w="171"/>
        <w:gridCol w:w="109"/>
        <w:gridCol w:w="109"/>
        <w:gridCol w:w="109"/>
        <w:gridCol w:w="181"/>
        <w:gridCol w:w="376"/>
        <w:gridCol w:w="109"/>
        <w:gridCol w:w="109"/>
        <w:gridCol w:w="109"/>
        <w:gridCol w:w="109"/>
        <w:gridCol w:w="181"/>
        <w:gridCol w:w="766"/>
        <w:gridCol w:w="109"/>
        <w:gridCol w:w="109"/>
        <w:gridCol w:w="109"/>
        <w:gridCol w:w="109"/>
        <w:gridCol w:w="181"/>
        <w:gridCol w:w="766"/>
        <w:gridCol w:w="109"/>
        <w:gridCol w:w="109"/>
        <w:gridCol w:w="109"/>
        <w:gridCol w:w="109"/>
        <w:gridCol w:w="235"/>
        <w:gridCol w:w="644"/>
        <w:gridCol w:w="142"/>
        <w:gridCol w:w="109"/>
        <w:gridCol w:w="109"/>
        <w:gridCol w:w="109"/>
        <w:gridCol w:w="224"/>
        <w:gridCol w:w="706"/>
        <w:gridCol w:w="136"/>
        <w:gridCol w:w="109"/>
        <w:gridCol w:w="109"/>
        <w:gridCol w:w="109"/>
        <w:gridCol w:w="181"/>
        <w:gridCol w:w="76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at 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991,488 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4,409,131 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(1,120,540)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(9,593)</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39,423 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3,318,917 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under RSU and PSU release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for founders holdbacks related to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for payment of board of director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 expense, net of founder revest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524,290 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Capitalized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(174,417)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(175,173)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15,593 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at July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1,003,308 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5,045,135 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(1,294,957)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6,000 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38,011 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3,794,691 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300"/>
        <w:jc w:val="center"/>
        <w:rPr>
          <w:rFonts w:ascii="Times New Roman;serif" w:hAnsi="Times New Roman;serif"/>
          <w:b w:val="false"/>
          <w:color w:val="000000"/>
          <w:sz w:val="15"/>
        </w:rPr>
      </w:pPr>
      <w:r>
        <w:rPr>
          <w:rFonts w:ascii="Times New Roman;serif" w:hAnsi="Times New Roman;serif"/>
          <w:b w:val="false"/>
          <w:color w:val="000000"/>
          <w:sz w:val="15"/>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before="240" w:after="3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CrowdStrike Holdings, Inc.</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Cash Flows</w:t>
      </w:r>
    </w:p>
    <w:p>
      <w:pPr>
        <w:pStyle w:val="TextBody"/>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p>
      <w:pPr>
        <w:pStyle w:val="TextBody"/>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bl>
      <w:tblPr>
        <w:tblW w:w="8829" w:type="dxa"/>
        <w:jc w:val="center"/>
        <w:tblInd w:w="0" w:type="dxa"/>
        <w:tblLayout w:type="fixed"/>
        <w:tblCellMar>
          <w:top w:w="28" w:type="dxa"/>
          <w:left w:w="28" w:type="dxa"/>
          <w:bottom w:w="28" w:type="dxa"/>
          <w:right w:w="28" w:type="dxa"/>
        </w:tblCellMar>
      </w:tblPr>
      <w:tblGrid>
        <w:gridCol w:w="2327"/>
        <w:gridCol w:w="2044"/>
        <w:gridCol w:w="2064"/>
        <w:gridCol w:w="181"/>
        <w:gridCol w:w="721"/>
        <w:gridCol w:w="109"/>
        <w:gridCol w:w="109"/>
        <w:gridCol w:w="109"/>
        <w:gridCol w:w="109"/>
        <w:gridCol w:w="181"/>
        <w:gridCol w:w="721"/>
        <w:gridCol w:w="154"/>
      </w:tblGrid>
      <w:tr>
        <w:trPr/>
        <w:tc>
          <w:tcPr>
            <w:tcW w:w="2327"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July 31,</w:t>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Operating activities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(175,173)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 to reconcile net income (loss) to net cash provided by operating activities: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intangible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deferred contract acquisition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Non-cash operating lease cost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674,617 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527,292 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income taxes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Realized gains on strategic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Non-cash interest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fair value of strategic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operating assets and liabilities, net of impact of acquisitions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324,183 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242,008 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contract acquisition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(251,622)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(50,411)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expenses and other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payroll and benefits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revenue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operating activities</w:t>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1,121,205 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716,939 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Investing activities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property and equipment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(116,248)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Capitalized internal-use software and website development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(34,726)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strategic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sales of strategic investments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Business acquisitions, net of cash and restricted cash acquired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(881,376)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intangible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deferred compensation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the sale of deferred compensation investments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investing activities</w:t>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(1,145,607)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(150,609)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Financing activities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common stock upon exercise of stock options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Proceeds from issuance of common stock under the employee stock purchase plan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 holders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Capital contributions from non-controlling interest holders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Repurchases of common stock</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(175,622)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(used in) financing activities</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(111,935)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76,321 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Effect of foreign exchange rates on cash, cash equivalents and restricted cash</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increase (decrease) in cash, cash equivalents and restricted cash</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(137,953)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649,246 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cash equivalents and restricted cash at beginning of period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5,314,617 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4,324,666 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Cash, cash equivalents, and restricted cash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5,176,664 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4,973,912 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cash equivalents and restricted cash at the end of period:</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5,013,847 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4,972,436 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cash included in prepaid expenses and other current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cash included in other long-term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cash, cash equivalents and restricted cash shown in the condensed consolidated statements of cash flows</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5,176,664 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4,973,912 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Supplemental disclosure of cash flow information:</w:t>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paid</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taxes paid, net of refunds received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Supplemental disclosure of non-cash investing and financing activities: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increase in property and equipment included in accounts payable and accrued expenses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consideration for acquisitions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Operating lease liabilities arising from obtaining operating right-of-use assets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sales of strategic investments not yet received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included in capitalized software development costs and fixed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Non-cash consideration for the purchase of strategic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cash held in escrow for purchase consideration for business combinations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pPr>
      <w:r>
        <w:rPr>
          <w:rFonts w:ascii="Times New Roman;serif" w:hAnsi="Times New Roman;serif"/>
          <w:b w:val="false"/>
          <w:color w:val="000000"/>
          <w:sz w:val="16"/>
        </w:rPr>
        <w:t>The accompanying notes are an integral part of these condensed consolidated 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 Description of Business and Significant Accounting Policies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CrowdStrike Holdings, Inc. (and/or its subsidiaries, as applicable, the “Company”) was formed on November 7, 2011. The Company is a global cybersecurity leader that delivers an AI-native platform designed for the agentic era and is purpose-built to stop breaches. The Company’s unified, cloud-delivered platform provides protection across endpoints, cloud workloads, identity, and data through a software as a service (“SaaS”) subscription-based model, spanning multiple large and strategic markets, including endpoint protection, security and IT operations, managed detection and response, Next-Gen SIEM, cloud and identity security, threat intelligence, data protection, exposure management, and AI security capabilities. The Company conducts its business in the United States and internationally, including Australia, Canada, Germany, India, Israel, Japan, Romania, Spain, and the United Kingdom.</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have been prepared in conformity with U.S. generally accepted accounting principles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January 31, 2026, and related disclosures, have been derived from the audited consolidated financial statements at that date but do not include all of the information required by U.S. GAAP for complete consolidated financial statements. These unaudited condensed consolidated financial statements have been prepared on the same basis as the Company’s annual consolidated financial statements and, in the opinion of management, reflect all normal recurring adjustments that are necessary for the fair statement of the Company’s condensed consolidated financial information. The results of operations for the three and six months ended July 31, 2026 are not necessarily indicative of the results to be expected for the year ending January 31, 2027 or for any other interim period or for any other future year.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accompanying interim unaudited condensed consolidated financial statements and related financial information should be read in conjunction with Item 8, “Financial Statements and Supplementary Data” included in the Company’s Annual Report on Form 10-K for the fiscal year ended January 31, 2026, filed with the SEC on March 5, 2026.</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Stock Split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3, 2026, the Company announced a four-for-one split of the Company’s outstanding shares of Class A common stock in the form of a stock dividend (the “Stock Split”). Each stockholder of record at the close of business on June 25, 2026 (the “Record Date”) received, after the close of business on July 1, 2026, three additional shares for every share held on the Record Date. References made to all share, equity award, and per share amounts and related stockholders’ equity balances related to the Company’s outstanding common stock have been retroactively adjusted on the accompanying condensed consolidated financial statements and applicable disclosures to reflect the effects of the Stock Split.</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the Company and its wholly owned subsidiaries. All intercompany balances and transactions have been eliminated in consolidation.</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On a regular basis, management evaluates these estimates and assumptions. Actual results may differ from these estimates and such differences could be material to the Company’s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Estimates and assumptions used by management include, but are not limited to, revenue recognition, the allowance for credit losses, the useful lives of long-lived assets, the fair values of strategic investments, the period of benefit for deferred contract acquisition costs, the discount rate used for operating leases, the recognition and disclosure of contingent liabilities, income taxes, stock-based compensation, and the fair value of assets acquired and liabilities assumed in business combinations.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2026, the Company completed an assessment of the estimated period of benefit of commissions earned upon the initial acquisition of a contract, or subsequent upsell, and determined that it should increase from four to five years. This change in estimate was effective beginning in fiscal 2027. Based on the carrying value of the related deferred contract acquisition costs as of January 31, 2026, the effect of this change in estimate for the three and six months ended July 31, 2026 was a reduction in sales commission expense of $25.5 million and $53.4 million, respectively.</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Concentration of Credit Risk and Geographic Information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concentrations of credit risk consist of cash, cash equivalents, derivative contracts, accounts receivable, financing receivables, and strategic investments.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cash is placed with high-credit-quality financial institutions and issuers, and at times exceeds federally insured limits.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Derivative transactions expose the Company to credit risk to the extent that the counterparties are unable to meet the terms of the arrangements. The Company mitigates this exposure by transacting with highly-rated counterparties under master netting arrangements that permit net settlement. The Company is not required to pledge, nor does it receive collateral in connection with these instruments.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not experienced any credit loss relating to its cash, cash equivalents, or strategic investments. The Company performs periodic credit evaluations of its customers and generally does not require collateral on accounts or financing receivables.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channel partners or direct customers who represented 10% or more of the Company’s accounts receivable as of July 31, 2026 or January 31, 2026.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channel partners or direct customers who represented 10% or more of the Company’s total revenue for each of the three and six months ended July 31, 2026 or July 31, 2025.</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July 31, 2026, one end user represented 12% of the Company’s financing receivables. As of January 31, 2026, two end users represented 10% or more of the Company’s financing receivables, and in aggregate represented 27% of the Company’s financing receivables.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significant accounting policies are described in the Company’s Annual Report on Form 10-K for the year ended January 31, 2026. With the exception of the accounting policy described below, there have been no material changes to the Company’s significant accounting policies during the three and six months ended July 31, 2026.</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 xml:space="preserve">Derivative Contracts: </w:t>
      </w:r>
      <w:r>
        <w:rPr>
          <w:rFonts w:ascii="Times New Roman;serif" w:hAnsi="Times New Roman;serif"/>
          <w:b w:val="false"/>
          <w:color w:val="000000"/>
          <w:sz w:val="20"/>
        </w:rPr>
        <w:t>The Company records derivative contracts at fair value as either assets or liabilities on its condensed consolidated balance sheets. For derivative contracts entered into in order to hedge a portion of the Company’s forecasted foreign currency denominated cash flow, which are designated as cash flow hedges, the unrealized gain or loss on the derivative instrument is reported as a component of accumulated other comprehensive income (loss) and reclassified into the financial statement line item associated with the underlying hedged transaction on the Company’s condensed consolidated statements of operations when the underlying hedged transaction is recognized in earnings. Cash flows from these hedges are classified on the condensed consolidated statements of cash flows in the same manner as the underlying transaction, which is within cash flows from operating activities.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formally documents all relationships between hedging instruments and hedged items, as well as its risk management objective and strategy for undertaking various hedge transactions. The Company also formally assesses, both at the inception of the hedge, and on an ongoing basis, whether each derivative is highly effective in offsetting changes in cash flows of the hedged item. If the Company determines that a derivative is not highly effective as a hedge, or that a derivative has ceased to be a highly effective hedge, the Company will discontinue hedge accounting prospectively for the affected derivative.</w:t>
      </w:r>
    </w:p>
    <w:p>
      <w:pPr>
        <w:pStyle w:val="TextBody"/>
        <w:bidi w:val="0"/>
        <w:spacing w:lineRule="auto" w:line="288" w:before="24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Revision of Prior Period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previously disclosed in the Fiscal 2026 Annual Report on Form 10-K, in connection with the preparation of its fiscal 2026 financial statements, the Company identified an immaterial error related to the timing of recognition of stock-based compensation expense associated with certain awards granted in the fiscal years ended January 31, 2022 and 2023. Further information regarding the error and related revisions is included in Note 17, “Revision of Prior Period Financial Statements.”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Recently Adopted Accounting Pronouncements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Measurement of Credit Losses for Accounts Receivable and Contract Assets. The standard amends ASC 326-20 to provide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 The standard should be applied prospectively, and is effective for annual periods, including interim reporting periods, beginning after December 15, 2025, with early adoption permitted. The Company adopted ASU 2025-05 on February 1, 2026 and the adoption of this standard did not have a material impact on the Company’s condensed consolidated financial statements.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Recently Issued Accounting Pronouncements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2025, FASB issued ASU 2025-09, Derivatives and Hedging (Topic 815): Hedge Accounting Improvements. The standard expands and clarifies existing hedge accounting requirements to improve the alignment of financial reporting with risk management strategies. ASU 2025-09 is effective for fiscal years beginning after December 15, 2026, including interim periods within those fiscal years, with early adoption permitted on a prospective basis. The Company is currently evaluating the impact of this guidance on its consolidated financial statements and related disclosures.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The standard intends to modernize the recognition and capitalization framework by removing the previous “development stage” model and introducing a more judgment-based approach. The standard can be applied prospectively, using a modified transition method based on the status of the project and whether software costs were capitalized prior to the date of adoption, or retrospectively, and is effective for annual periods beginning after December 15, 2027, and interim periods within those annual reporting periods. Early adoption is permitted as of the beginning of an annual reporting period. The Company is currently evaluating the impact of this guidance on its consolidated financial statements and related disclosures.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with a subsequent clarification of its effective date through ASU 2025-01, Income Statement—Reporting Comprehensive Income—Expense Disaggregation Disclosures (Subtopic 220-40): Clarifying the Effective Date in January 2025, requiring additional disclosure on specific expense categories included in the expense captions presented on the statements of operations. The new standard can be applied either prospectively or retrospectively, and is effective for annual periods beginning after December 15, 2026 and interim reporting periods within annual reporting periods beginning after December 15, 2027. Early adoption is permitted. The Company is currently evaluating the impact of this new guidance on its disclosures within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 Investments and Fair Value Measurements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The Company follows ASC 820</w:t>
      </w:r>
      <w:r>
        <w:rPr>
          <w:rFonts w:ascii="Times New Roman;serif" w:hAnsi="Times New Roman;serif"/>
          <w:b w:val="false"/>
          <w:i/>
          <w:color w:val="000000"/>
          <w:sz w:val="20"/>
        </w:rPr>
        <w:t>, Fair Value Measurements</w:t>
      </w:r>
      <w:r>
        <w:rPr>
          <w:rFonts w:ascii="Times New Roman;serif" w:hAnsi="Times New Roman;serif"/>
          <w:b w:val="false"/>
          <w:color w:val="000000"/>
          <w:sz w:val="20"/>
        </w:rPr>
        <w:t>, with respect to cash equivalents, deferred compensation investments, and derivative contracts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the Company. Unobservable inputs are inputs that reflect the Company’s assumptions about the factors market participants would use in valuing the asset or liability based upon the best information available in the circumstances.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hierarchy is broken down into three levels as follows:</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Level 1    Assets and liabilities whose values are based on unadjusted quoted market prices for identical assets and liabilities in active markets</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Level 2    Assets and liabilities whose values are based on quoted prices in markets that are not active or inputs that are observable for substantially the full term of the asset or liability</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Level 3    Assets and liabilities whose values are based on prices or valuation techniques that require inputs that are both unobservable and significant to the overall fair value measurement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Categorization within the valuation hierarchy is based upon the lowest level of input that is significant to the fair value measurement.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fair value hierarchy for its financial assets and liabilities that are measured at fair value on a recurring basis as of July 31, 2026 and January 31, 2026 is as follows (in thousands):</w:t>
      </w:r>
    </w:p>
    <w:tbl>
      <w:tblPr>
        <w:tblW w:w="11773" w:type="dxa"/>
        <w:jc w:val="left"/>
        <w:tblInd w:w="0" w:type="dxa"/>
        <w:tblLayout w:type="fixed"/>
        <w:tblCellMar>
          <w:top w:w="28" w:type="dxa"/>
          <w:left w:w="28" w:type="dxa"/>
          <w:bottom w:w="28" w:type="dxa"/>
          <w:right w:w="28" w:type="dxa"/>
        </w:tblCellMar>
      </w:tblPr>
      <w:tblGrid>
        <w:gridCol w:w="406"/>
        <w:gridCol w:w="343"/>
        <w:gridCol w:w="347"/>
        <w:gridCol w:w="196"/>
        <w:gridCol w:w="871"/>
        <w:gridCol w:w="109"/>
        <w:gridCol w:w="109"/>
        <w:gridCol w:w="109"/>
        <w:gridCol w:w="109"/>
        <w:gridCol w:w="196"/>
        <w:gridCol w:w="871"/>
        <w:gridCol w:w="109"/>
        <w:gridCol w:w="109"/>
        <w:gridCol w:w="109"/>
        <w:gridCol w:w="109"/>
        <w:gridCol w:w="196"/>
        <w:gridCol w:w="406"/>
        <w:gridCol w:w="109"/>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406"/>
        <w:gridCol w:w="109"/>
        <w:gridCol w:w="109"/>
        <w:gridCol w:w="109"/>
        <w:gridCol w:w="109"/>
        <w:gridCol w:w="196"/>
        <w:gridCol w:w="871"/>
        <w:gridCol w:w="154"/>
      </w:tblGrid>
      <w:tr>
        <w:trPr/>
        <w:tc>
          <w:tcPr>
            <w:tcW w:w="40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31, 2026</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Cash equivalents</w:t>
            </w:r>
            <w:r>
              <w:rPr>
                <w:color w:val="000000"/>
              </w:rPr>
              <w:t> </w:t>
            </w:r>
            <w:r>
              <w:rPr>
                <w:rFonts w:ascii="Times New Roman;serif" w:hAnsi="Times New Roman;serif"/>
                <w:b w:val="false"/>
                <w:color w:val="000000"/>
                <w:sz w:val="12"/>
              </w:rPr>
              <w:t>(1)</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598,398 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598,398 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1,067,046 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1,193,202 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2,005,460 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prepaid expenses and other current assets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investments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1,084,955 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1,193,699 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2,278,654 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1,419,772 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598,398 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2,018,170 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(1)Cash equivalents exclude $1.2 billion of time deposits, which are carried at cost and approximate fair value as of July 31, 2026.</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transfers between the levels of the fair value hierarchy during the periods presented.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July 31, 2026 and January 31, 2026, the Company’s U.S. Treasury securities are carried at fair value and there were no material realized or unrealized gains or losses, either individually or in aggregate. All foreign currency forward contracts are measured based on market observable inputs, including foreign currency spot and forward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total estimated fair value of the Company’s financing receivables approximates their carrying amounts as of July 31, 2026 and January 31, 2026. The fair value of the Company’s financing receivables is considered to be a Level 3 measurement as unobservable inputs are used in determining discounted cash flows to estimate fair value.</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Strategic Investments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investments of privately held securities as of July 31, 2026, consisted of the following (in thousands):</w:t>
      </w:r>
    </w:p>
    <w:tbl>
      <w:tblPr>
        <w:tblW w:w="5865" w:type="dxa"/>
        <w:jc w:val="left"/>
        <w:tblInd w:w="0" w:type="dxa"/>
        <w:tblLayout w:type="fixed"/>
        <w:tblCellMar>
          <w:top w:w="28" w:type="dxa"/>
          <w:left w:w="28" w:type="dxa"/>
          <w:bottom w:w="28" w:type="dxa"/>
          <w:right w:w="28" w:type="dxa"/>
        </w:tblCellMar>
      </w:tblPr>
      <w:tblGrid>
        <w:gridCol w:w="966"/>
        <w:gridCol w:w="849"/>
        <w:gridCol w:w="854"/>
        <w:gridCol w:w="550"/>
        <w:gridCol w:w="1881"/>
        <w:gridCol w:w="284"/>
        <w:gridCol w:w="109"/>
        <w:gridCol w:w="109"/>
        <w:gridCol w:w="109"/>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Privately held 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total cost</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67,438 </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net gains</w:t>
            </w:r>
          </w:p>
        </w:tc>
        <w:tc>
          <w:tcPr>
            <w:tcW w:w="24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 end of period</w:t>
            </w:r>
          </w:p>
        </w:tc>
        <w:tc>
          <w:tcPr>
            <w:tcW w:w="5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69,263 </w:t>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investments of privately held securities as of January 31, 2026, consisted of the following (in thousands):</w:t>
      </w:r>
    </w:p>
    <w:tbl>
      <w:tblPr>
        <w:tblW w:w="5865" w:type="dxa"/>
        <w:jc w:val="left"/>
        <w:tblInd w:w="0" w:type="dxa"/>
        <w:tblLayout w:type="fixed"/>
        <w:tblCellMar>
          <w:top w:w="28" w:type="dxa"/>
          <w:left w:w="28" w:type="dxa"/>
          <w:bottom w:w="28" w:type="dxa"/>
          <w:right w:w="28" w:type="dxa"/>
        </w:tblCellMar>
      </w:tblPr>
      <w:tblGrid>
        <w:gridCol w:w="966"/>
        <w:gridCol w:w="849"/>
        <w:gridCol w:w="854"/>
        <w:gridCol w:w="550"/>
        <w:gridCol w:w="1881"/>
        <w:gridCol w:w="284"/>
        <w:gridCol w:w="109"/>
        <w:gridCol w:w="109"/>
        <w:gridCol w:w="109"/>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Privately held 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total cost</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75,007 </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net gains</w:t>
            </w:r>
          </w:p>
        </w:tc>
        <w:tc>
          <w:tcPr>
            <w:tcW w:w="24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 end of period</w:t>
            </w:r>
          </w:p>
        </w:tc>
        <w:tc>
          <w:tcPr>
            <w:tcW w:w="5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76,832 </w:t>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July 31, 2026 and January 31, 2026, the cumulative net gains of $1.8 million are comprised of upward adjustments of $7.3 million, less downward adjustments and impairment of $5.5 million.</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Gains and Losses on Strategic Investments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gains and losses on strategic investments were as follows (in thousands):</w:t>
      </w:r>
    </w:p>
    <w:tbl>
      <w:tblPr>
        <w:tblW w:w="10205" w:type="dxa"/>
        <w:jc w:val="left"/>
        <w:tblInd w:w="0" w:type="dxa"/>
        <w:tblLayout w:type="fixed"/>
        <w:tblCellMar>
          <w:top w:w="28" w:type="dxa"/>
          <w:left w:w="28" w:type="dxa"/>
          <w:bottom w:w="28" w:type="dxa"/>
          <w:right w:w="28" w:type="dxa"/>
        </w:tblCellMar>
      </w:tblPr>
      <w:tblGrid>
        <w:gridCol w:w="1818"/>
        <w:gridCol w:w="1548"/>
        <w:gridCol w:w="1557"/>
        <w:gridCol w:w="252"/>
        <w:gridCol w:w="485"/>
        <w:gridCol w:w="130"/>
        <w:gridCol w:w="130"/>
        <w:gridCol w:w="130"/>
        <w:gridCol w:w="130"/>
        <w:gridCol w:w="252"/>
        <w:gridCol w:w="485"/>
        <w:gridCol w:w="130"/>
        <w:gridCol w:w="109"/>
        <w:gridCol w:w="109"/>
        <w:gridCol w:w="109"/>
        <w:gridCol w:w="211"/>
        <w:gridCol w:w="721"/>
        <w:gridCol w:w="109"/>
        <w:gridCol w:w="109"/>
        <w:gridCol w:w="109"/>
        <w:gridCol w:w="109"/>
        <w:gridCol w:w="211"/>
        <w:gridCol w:w="656"/>
        <w:gridCol w:w="109"/>
        <w:gridCol w:w="109"/>
        <w:gridCol w:w="109"/>
        <w:gridCol w:w="109"/>
        <w:gridCol w:w="160"/>
      </w:tblGrid>
      <w:tr>
        <w:trPr/>
        <w:tc>
          <w:tcPr>
            <w:tcW w:w="181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23"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recognized on privately held equity securities, including impairment</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w:t>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 recognized on sales of privately held equity securities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23"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on strategic investments, net</w:t>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recognized during the reporting period on privately held equity securities still held at the reporting date</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Unrealized gains recognized on privately held equity securities include upward adjustments from equity securities accounted for under the measurement alternative while unrealized losses recognized on privately held equity securities include downward adjustments and impairment.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Realized gains and losses recognized on sales of privately held equity securities reflect the difference between the sale proceeds and the carrying value of the security at the beginning of the period or the purchase date, if later.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3. Financing Receivables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short-term and long-term financing receivables were as follows (in thousands):</w:t>
      </w:r>
    </w:p>
    <w:tbl>
      <w:tblPr>
        <w:tblW w:w="6475" w:type="dxa"/>
        <w:jc w:val="left"/>
        <w:tblInd w:w="0" w:type="dxa"/>
        <w:tblLayout w:type="fixed"/>
        <w:tblCellMar>
          <w:top w:w="28" w:type="dxa"/>
          <w:left w:w="28" w:type="dxa"/>
          <w:bottom w:w="28" w:type="dxa"/>
          <w:right w:w="28" w:type="dxa"/>
        </w:tblCellMar>
      </w:tblPr>
      <w:tblGrid>
        <w:gridCol w:w="1183"/>
        <w:gridCol w:w="1040"/>
        <w:gridCol w:w="1046"/>
        <w:gridCol w:w="229"/>
        <w:gridCol w:w="898"/>
        <w:gridCol w:w="118"/>
        <w:gridCol w:w="109"/>
        <w:gridCol w:w="109"/>
        <w:gridCol w:w="109"/>
        <w:gridCol w:w="289"/>
        <w:gridCol w:w="1134"/>
        <w:gridCol w:w="211"/>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financing receivables, gross</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124,332 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81,723 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income</w:t>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(16,152)</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financing receivables, net</w:t>
            </w:r>
          </w:p>
        </w:tc>
        <w:tc>
          <w:tcPr>
            <w:tcW w:w="2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105,297 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67,485 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financing receivables, gross</w:t>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239,525 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income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financing receivables, net</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219,572 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194,106 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amortized cost basis of financing receivables categorized by internal risk rating and year of origination was as follows (in thousands):</w:t>
      </w:r>
    </w:p>
    <w:tbl>
      <w:tblPr>
        <w:tblW w:w="10750" w:type="dxa"/>
        <w:jc w:val="left"/>
        <w:tblInd w:w="0" w:type="dxa"/>
        <w:tblLayout w:type="fixed"/>
        <w:tblCellMar>
          <w:top w:w="28" w:type="dxa"/>
          <w:left w:w="28" w:type="dxa"/>
          <w:bottom w:w="28" w:type="dxa"/>
          <w:right w:w="28" w:type="dxa"/>
        </w:tblCellMar>
      </w:tblPr>
      <w:tblGrid>
        <w:gridCol w:w="557"/>
        <w:gridCol w:w="239"/>
        <w:gridCol w:w="240"/>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55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21"/>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of Origination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of Origination</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Internal Risk Rating</w:t>
            </w:r>
            <w:r>
              <w:rPr>
                <w:rFonts w:ascii="Times New Roman;serif" w:hAnsi="Times New Roman;serif"/>
                <w:b w:val="false"/>
                <w:color w:val="000000"/>
                <w:sz w:val="13"/>
              </w:rPr>
              <w:t>(1)</w:t>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to 4</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 to 6</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 to 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Amortized cost basis of financing receivables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98,230 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190,211 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330,438 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223,148 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264,241 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(1)Internal risk ratings are determined based on the end-user’s financial condition and are categorized as 1 through 9, with the lowest rating representing the highest quality. Credit quality indicators are generally updated at least annually, or more frequently to the extent required by economic conditions.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was no significant activity in allowance for credit losses during the three and six months ended July 31, 2026 and July 31, 2025. As of July 31, 2026, there were no past due amounts on financing receivables. Past due amounts on financing receivables as of January 31, 2026 were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4. Derivative Contracts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fiscal 2027, the Company entered into foreign currency forward contracts to hedge a portion of its forecasted foreign currency denominated cash flow, with a maximum maturity of 3 months. These foreign currency forward contracts are recorded at fair value. As of July 31, 2026, the notional amount of the Company’s outstanding foreign currency forward contracts designated as cash flow hedges was $57.9 million.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31, 2026, there were $0.5 million of unrealized gains in accumulated other comprehensive income (loss) related to the Company’s cash flow hedges, all of which are expected to be recognized into earnings within the next 12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Losses related to the Company’s cash flow hedges reclassified from accumulated other comprehensive income (loss) into the condensed consolidated statements of operations consisted of the following (in thousands):</w:t>
      </w:r>
    </w:p>
    <w:p>
      <w:pPr>
        <w:pStyle w:val="TextBody"/>
        <w:bidi w:val="0"/>
        <w:spacing w:before="0" w:after="0"/>
        <w:ind w:left="0" w:right="0" w:firstLine="360"/>
        <w:jc w:val="left"/>
        <w:rPr/>
      </w:pPr>
      <w:r>
        <w:rPr/>
      </w:r>
    </w:p>
    <w:tbl>
      <w:tblPr>
        <w:tblW w:w="9533" w:type="dxa"/>
        <w:jc w:val="left"/>
        <w:tblInd w:w="0" w:type="dxa"/>
        <w:tblLayout w:type="fixed"/>
        <w:tblCellMar>
          <w:top w:w="28" w:type="dxa"/>
          <w:left w:w="28" w:type="dxa"/>
          <w:bottom w:w="28" w:type="dxa"/>
          <w:right w:w="28" w:type="dxa"/>
        </w:tblCellMar>
      </w:tblPr>
      <w:tblGrid>
        <w:gridCol w:w="1115"/>
        <w:gridCol w:w="978"/>
        <w:gridCol w:w="981"/>
        <w:gridCol w:w="109"/>
        <w:gridCol w:w="109"/>
        <w:gridCol w:w="109"/>
        <w:gridCol w:w="805"/>
        <w:gridCol w:w="1779"/>
        <w:gridCol w:w="416"/>
        <w:gridCol w:w="109"/>
        <w:gridCol w:w="109"/>
        <w:gridCol w:w="109"/>
        <w:gridCol w:w="712"/>
        <w:gridCol w:w="1573"/>
        <w:gridCol w:w="520"/>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 2026</w:t>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4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5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was no ineffectiveness in the Company’s cash flow hedging program for the three months ended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5. Balance Sheet Components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Prepaid expenses were $257.0 million and $250.9 million as of July 31, 2026 and January 31, 2026, respectively. Other current assets were $256.7 million and $128.8 million as of July 31, 2026 and January 31, 2026, respectively.</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8446" w:type="dxa"/>
        <w:jc w:val="left"/>
        <w:tblInd w:w="0" w:type="dxa"/>
        <w:tblLayout w:type="fixed"/>
        <w:tblCellMar>
          <w:top w:w="28" w:type="dxa"/>
          <w:left w:w="28" w:type="dxa"/>
          <w:bottom w:w="28" w:type="dxa"/>
          <w:right w:w="28" w:type="dxa"/>
        </w:tblCellMar>
      </w:tblPr>
      <w:tblGrid>
        <w:gridCol w:w="1939"/>
        <w:gridCol w:w="1702"/>
        <w:gridCol w:w="1713"/>
        <w:gridCol w:w="211"/>
        <w:gridCol w:w="976"/>
        <w:gridCol w:w="109"/>
        <w:gridCol w:w="109"/>
        <w:gridCol w:w="109"/>
        <w:gridCol w:w="109"/>
        <w:gridCol w:w="231"/>
        <w:gridCol w:w="1070"/>
        <w:gridCol w:w="168"/>
      </w:tblGrid>
      <w:tr>
        <w:trPr/>
        <w:tc>
          <w:tcPr>
            <w:tcW w:w="1939"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31, 2026</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center and other computer equipment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1,199,171 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1,058,690 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and website development costs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383,119 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2,094,993 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1,747,003 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(920,142)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976,331 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Construction in progress primarily includes data center equipment purchased that has not yet been placed in service. Data center equipment that was purchased but not yet been placed into service was $273.7 million as of July 31, 2026.</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of property and equipment was $82.1 million and $60.4 million during the three months ended July 31, 2026 and July 31, 2025, respectively, and $157.6 million and $116.8 million during the six months ended July 31, 2026 and July 31, 2025, respectively.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impairment of property and equipment during the three and six months ended July 31, 2026 and July 31, 2025. The Company capitalized $45.4 million and $31.0 million in internal-use software and website development costs during the three months ended July 31, 2026 and July 31, 2025, respectively, and $81.5 million and $60.6 million during the six months ended July 31, 2026 and July 31, 2025, respectively. Amortization expense associated with internal-use software and website development costs totaled $25.7 million and $19.6 million during the three months ended July 31, 2026 and July 31, 2025, respectively, and $50.1 million and $37.1 million during the six months ended July 31, 2026 and July 31, 2025, respectively. The net book value of capitalized internal-use software and website development costs was $216.1 million and $184.7 million as of July 31, 2026 and January 31, 2026,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intangible assets, net consisted of the following (dollars in thousands):</w:t>
      </w:r>
    </w:p>
    <w:tbl>
      <w:tblPr>
        <w:tblW w:w="10205" w:type="dxa"/>
        <w:jc w:val="left"/>
        <w:tblInd w:w="0" w:type="dxa"/>
        <w:tblLayout w:type="fixed"/>
        <w:tblCellMar>
          <w:top w:w="28" w:type="dxa"/>
          <w:left w:w="28" w:type="dxa"/>
          <w:bottom w:w="28" w:type="dxa"/>
          <w:right w:w="28" w:type="dxa"/>
        </w:tblCellMar>
      </w:tblPr>
      <w:tblGrid>
        <w:gridCol w:w="1223"/>
        <w:gridCol w:w="1029"/>
        <w:gridCol w:w="1036"/>
        <w:gridCol w:w="290"/>
        <w:gridCol w:w="1138"/>
        <w:gridCol w:w="149"/>
        <w:gridCol w:w="109"/>
        <w:gridCol w:w="109"/>
        <w:gridCol w:w="109"/>
        <w:gridCol w:w="311"/>
        <w:gridCol w:w="1221"/>
        <w:gridCol w:w="160"/>
        <w:gridCol w:w="109"/>
        <w:gridCol w:w="109"/>
        <w:gridCol w:w="109"/>
        <w:gridCol w:w="211"/>
        <w:gridCol w:w="826"/>
        <w:gridCol w:w="109"/>
        <w:gridCol w:w="109"/>
        <w:gridCol w:w="109"/>
        <w:gridCol w:w="109"/>
        <w:gridCol w:w="444"/>
        <w:gridCol w:w="444"/>
        <w:gridCol w:w="633"/>
      </w:tblGrid>
      <w:tr>
        <w:trPr/>
        <w:tc>
          <w:tcPr>
            <w:tcW w:w="12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Remaining </w:t>
              <w:br/>
              <w:t>Useful</w:t>
              <w:br/>
              <w:t>Life</w:t>
            </w:r>
          </w:p>
        </w:tc>
      </w:tr>
      <w:tr>
        <w:trPr/>
        <w:tc>
          <w:tcPr>
            <w:tcW w:w="3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months)</w:t>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361,696 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25,364 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and other acquired intangible assets</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405,887 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132,652 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23"/>
        <w:gridCol w:w="1029"/>
        <w:gridCol w:w="1036"/>
        <w:gridCol w:w="290"/>
        <w:gridCol w:w="1138"/>
        <w:gridCol w:w="149"/>
        <w:gridCol w:w="109"/>
        <w:gridCol w:w="109"/>
        <w:gridCol w:w="109"/>
        <w:gridCol w:w="311"/>
        <w:gridCol w:w="1221"/>
        <w:gridCol w:w="160"/>
        <w:gridCol w:w="109"/>
        <w:gridCol w:w="109"/>
        <w:gridCol w:w="109"/>
        <w:gridCol w:w="211"/>
        <w:gridCol w:w="826"/>
        <w:gridCol w:w="109"/>
        <w:gridCol w:w="109"/>
        <w:gridCol w:w="109"/>
        <w:gridCol w:w="109"/>
        <w:gridCol w:w="444"/>
        <w:gridCol w:w="444"/>
        <w:gridCol w:w="633"/>
      </w:tblGrid>
      <w:tr>
        <w:trPr/>
        <w:tc>
          <w:tcPr>
            <w:tcW w:w="12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Remaining </w:t>
              <w:br/>
              <w:t>Useful</w:t>
              <w:br/>
              <w:t>Life</w:t>
            </w:r>
          </w:p>
        </w:tc>
      </w:tr>
      <w:tr>
        <w:trPr/>
        <w:tc>
          <w:tcPr>
            <w:tcW w:w="3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months)</w:t>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202,561 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90,199 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25,383 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and other acquired intangible assets</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243,798 </w:t>
            </w:r>
          </w:p>
        </w:tc>
        <w:tc>
          <w:tcPr>
            <w:tcW w:w="1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107,096 </w:t>
            </w:r>
          </w:p>
        </w:tc>
        <w:tc>
          <w:tcPr>
            <w:tcW w:w="1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136,702 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Amortization expense of intangible assets was $13.3 million and $7.6 million during the three months ended July 31, 2026 and July 31, 2025, respectively, and $25.7 million and $15.3 million during the six months ended July 31, 2026 and July 31, 2025, respectively.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estimated aggregate future amortization expense of intangible assets as of July 31, 2026 was as follows (in thousands):</w:t>
      </w:r>
    </w:p>
    <w:tbl>
      <w:tblPr>
        <w:tblW w:w="4221" w:type="dxa"/>
        <w:jc w:val="left"/>
        <w:tblInd w:w="0" w:type="dxa"/>
        <w:tblLayout w:type="fixed"/>
        <w:tblCellMar>
          <w:top w:w="28" w:type="dxa"/>
          <w:left w:w="28" w:type="dxa"/>
          <w:bottom w:w="28" w:type="dxa"/>
          <w:right w:w="28" w:type="dxa"/>
        </w:tblCellMar>
      </w:tblPr>
      <w:tblGrid>
        <w:gridCol w:w="1096"/>
        <w:gridCol w:w="964"/>
        <w:gridCol w:w="970"/>
        <w:gridCol w:w="211"/>
        <w:gridCol w:w="826"/>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Fiscal 2027 (remaining six months)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amortization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273,235 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Developed technology, customer relationships, intellectual property and other acquired intangible assets are amortized over their estimated useful lives, generally on a straight-line basis, for periods ranging from 2 to 20 years. </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change in goodwill during the six months ended July 31, 2026 consisted of the following (in thousands):</w:t>
      </w:r>
    </w:p>
    <w:tbl>
      <w:tblPr>
        <w:tblW w:w="4085" w:type="dxa"/>
        <w:jc w:val="left"/>
        <w:tblInd w:w="0" w:type="dxa"/>
        <w:tblLayout w:type="fixed"/>
        <w:tblCellMar>
          <w:top w:w="28" w:type="dxa"/>
          <w:left w:w="28" w:type="dxa"/>
          <w:bottom w:w="28" w:type="dxa"/>
          <w:right w:w="28" w:type="dxa"/>
        </w:tblCellMar>
      </w:tblPr>
      <w:tblGrid>
        <w:gridCol w:w="995"/>
        <w:gridCol w:w="872"/>
        <w:gridCol w:w="877"/>
        <w:gridCol w:w="211"/>
        <w:gridCol w:w="976"/>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Amounts</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as of January 31,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1,363,294 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Goodwill acquired</w:t>
            </w:r>
            <w:r>
              <w:rPr>
                <w:rFonts w:ascii="Times New Roman;serif" w:hAnsi="Times New Roman;serif"/>
                <w:b w:val="false"/>
                <w:color w:val="000000"/>
                <w:sz w:val="13"/>
              </w:rPr>
              <w:t>(1)</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886,587 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as of July 31, 2026</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2,251,426 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(1)Goodwill acquired resulted from the acquisitions of SGNL.AI, Inc. (“SGNL”), and Seraphic Algorithms Ltd. (“Seraphic”). Refer to Note 12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Accrued Payroll and Benefits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 consisted of the following (in thousands):</w:t>
      </w:r>
    </w:p>
    <w:tbl>
      <w:tblPr>
        <w:tblW w:w="6092" w:type="dxa"/>
        <w:jc w:val="left"/>
        <w:tblInd w:w="0" w:type="dxa"/>
        <w:tblLayout w:type="fixed"/>
        <w:tblCellMar>
          <w:top w:w="28" w:type="dxa"/>
          <w:left w:w="28" w:type="dxa"/>
          <w:bottom w:w="28" w:type="dxa"/>
          <w:right w:w="28" w:type="dxa"/>
        </w:tblCellMar>
      </w:tblPr>
      <w:tblGrid>
        <w:gridCol w:w="1140"/>
        <w:gridCol w:w="1004"/>
        <w:gridCol w:w="1005"/>
        <w:gridCol w:w="211"/>
        <w:gridCol w:w="826"/>
        <w:gridCol w:w="109"/>
        <w:gridCol w:w="109"/>
        <w:gridCol w:w="109"/>
        <w:gridCol w:w="109"/>
        <w:gridCol w:w="260"/>
        <w:gridCol w:w="1020"/>
        <w:gridCol w:w="190"/>
      </w:tblGrid>
      <w:tr>
        <w:trPr/>
        <w:tc>
          <w:tcPr>
            <w:tcW w:w="114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31, 2026</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commissions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207,378 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389,690 </w:t>
            </w:r>
          </w:p>
        </w:tc>
        <w:tc>
          <w:tcPr>
            <w:tcW w:w="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6. Debt</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January 20, 2021, the Company issued $750.0 million in aggregate principal amount of 3.00% Senior Notes maturing in February 2029 (the “Senior Notes”). The Senior Notes are guaranteed by the Company’s subsidiaries, CrowdStrike, Inc. and CrowdStrike Financial Services, Inc., and will be guaranteed by each of the Company’s existing and future domestic subsidiaries that becomes a borrower or guarantor under any credit agreement the Company may enter into in the future that replaces the Amended A&amp;R Credit Agreement. The Senior Notes were issued at par and bear interest at a rate of 3.00% per annum. Interest payments are payable semiannually on February 15 and August 15 of each year, commencing on August 15, 2021. The Company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exceed 40% of the original aggregate principal amount of the Senior Notes; 2) at any time on or after February 15, 2024 at a prepayment price equal to 101.50% of the principal amount; 3) 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net proceeds from the debt offering were $738.0 million after deducting the underwriting commissions of $9.4 million and $2.6 million of issuance costs. The debt issuance costs are being amortized to interest expense using the effective interest method over the term of the Senior Notes. Interest expense related to contractual interest expense, amortization of debt issuance costs, and accretion of debt discount was $6.0 million during the three months ended July 31, 2026 and 2025, and $12.0 million during the six months ended July 31, 2026 and 2025.</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certain circumstances involving a change of control event, the Company will be required to make an offer to repurchase all or, at the holder’s option, any part, of each holder’s notes of that series at 101% of the aggregate principal amount thereof, plus accrued and unpaid interest, if any, to, but excluding, the repurchase date.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indenture governing the Senior Notes (the “Indenture”) contains covenants limiting the Company’s ability and the ability of its subsidiaries to create liens on certain assets to secure debt; grant a subsidiary guarantee of certain debt without also providing a guarantee of the Senior Notes; declare dividends; and consolidate or merge with or into, or sell or otherwise dispose of all or substantially all of its assets to, another person. These covenants are subject to a number of limitations and exceptions. Certain of these covenants will not apply during any period in which the Senior Notes are rated investment grade by Fitch Ratings, Inc. (“Fitch”), Moody’s Investors Service, Inc. (“Moody’s”), and Standard &amp; Poor’s Ratings Services (“S&amp;P”).</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July 31, 2026, the Company was in compliance with all of its financial covenants under the Indenture associated with the Senior Notes.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the trading prices of the Senior Notes, the fair value of the Senior Notes was approximately $712.5 million and $718.2 million as of July 31, 2026 and January 31, 2026, respectively. While the Senior Notes are recorded at cost, the fair value of the Senior Notes was determined based on quoted prices in markets that are not active; accordingly, the Senior Notes are categorized as Level 2 for purposes of the fair value measurement hierarchy.</w:t>
      </w:r>
    </w:p>
    <w:p>
      <w:pPr>
        <w:pStyle w:val="TextBody"/>
        <w:bidi w:val="0"/>
        <w:spacing w:before="24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7. Income Taxes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recognized income tax expense (benefit) of $(1.4) million and $6.0 million for the three months ended July 31, 2026 and July 31, 2025, respectively, and $(8.3) million and $27.1 million during the six months ended July 31, 2026 and July 31, 2025, respectively. The tax benefit for the three months ended July 31, 2026, based on the application of interim period tax accounting methodology, was primarily attributable to excess tax benefits related to stock-based awards, partially offset by income taxes on earnings in jurisdictions in which the Company conducts business. The tax benefit for the six months ended July 31, 2026, based on the application of interim period tax accounting methodology, was primarily attributable to income tax benefit recognized in the current period resulting from the realization of deferred tax assets in connection with recent acquisitions and excess tax benefits related to stock-based awards, partially offset by income taxes on earnings in jurisdictions in which the Company conducts business. The tax expense for the three months ended July 31, 2025 was primarily attributable to tax impacts from the enactment of the One Big Beautiful Bill Act (“OBBBA”), partially offset by valuation allowance in the U.S. and certain foreign jurisdictions where the Company does not benefit from losses and tax credits. The tax expense for the six months ended July 31, 2025 was primarily attributable to income taxes in foreign jurisdictions and withholding taxes related to customer payments in certain foreign jurisdictions in which the Company conducts business.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effective tax rates were (34.9)% and (9.3)% for the three months ended July 31, 2026 and July 31, 2025, respectively and (19.2)% and (18.3)% during the six months ended July 31, 2026 and July 31, 2025, respectively. The difference in the effective tax rate for the three months ended July 31, 2026 from the U.S. statutory tax rate is primarily due to excess tax benefits related to stock-based awards, partially offset by income taxes on earnings in jurisdictions in which the Company conducts business. The difference in the effective tax rate for the six months ended July 31, 2026 from the U.S. statutory tax rate is primarily due to income tax benefits recognized in the current period resulting from the realization of deferred tax assets in connection with recent acquisitions and excess tax benefits related to stock-based awards, partially offset by income taxes on earnings in jurisdictions in which the Company conducts business. The effective tax rate for the three and six months ended July 31, 2025, differ from the U.S. statutory tax rate primarily due to income taxes in foreign jurisdictions, withholding taxes related to customer payments in certain foreign jurisdictions in which the Company conducts business, and tax impacts from the enactment of the OBBBA, partially offset by valuation allowance in the U.S. and certain foreign jurisdictions where the Company does not benefit from losses and tax credits.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gross unrecognized tax benefits were $140.9 million and $137.8 million as of July 31, 2026 and January 31, 2026, respectively, which are primarily attributable to research and development credits. As of July 31, 2026 and January 31, 2026, there were approximately $45.3 million and $41.0 million, respectively, of unrecognized tax benefits, which, if recognized, would affect the Company’s effective tax rate due to the full valuation allowance. The Company’s policy is to classify interest and penalties related to unrecognized tax benefits as part of the income tax provision in the condensed consolidated statements of operations. The Company incurred $8.8 million and $6.6 million of interest and penalties related to unrecognized tax benefits as of July 31, 2026 and January 31, 2026, respectively.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accordance with the guidance on the accounting for uncertainty in income taxes, for all U.S. and other tax jurisdictions, the Company recognizes potential liabilities for anticipated tax audit issues based on the Company’s estimate of whether, and the extent to which, additional taxes and interest will be due. The Company files income tax returns in the U.S. federal, and various state jurisdictions, as well as various foreign jurisdictions. Tax years 2011 and onwards remain subject to examination by taxing authorities. If the Company’s estimate of income tax liabilities proves to be less than the ultimate assessment, a further charge to expense would be required. If events occur and the payment of these amounts ultimately proves to be unnecessary, the reversal of the liabilities would result in tax benefits being recognized in the period when the Company determines the liabilities are no longer necessary. The Company includes interest and penalties related to unrecognized tax benefits within the provision for income taxes in the condensed consolidated statements of operations. Accrued interest and penalties are included within other liabilities, noncurrent on the condensed consolidated balance sheets.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maintains a full valuation allowance on U.S. federal and state and certain foreign deferred tax assets, including net operating loss carryforwards and tax credits, which the Company has determined are not realizable on a more-likely-than-not basis. The Company evaluates the need for a valuation allowance on a quarterly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8. Leases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non-cancelable operating lease agreements with various expiration dates through fiscal 2039. Certain lease agreements include options to renew or terminate the lease, which are not reasonably certain to be exercised and therefore are not factored into the determination of lease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maturities of the Company’s non-cancelable operating lease liabilities are as follows (in thousands):</w:t>
      </w:r>
    </w:p>
    <w:tbl>
      <w:tblPr>
        <w:tblW w:w="4595" w:type="dxa"/>
        <w:jc w:val="left"/>
        <w:tblInd w:w="0" w:type="dxa"/>
        <w:tblLayout w:type="fixed"/>
        <w:tblCellMar>
          <w:top w:w="28" w:type="dxa"/>
          <w:left w:w="28" w:type="dxa"/>
          <w:bottom w:w="28" w:type="dxa"/>
          <w:right w:w="28" w:type="dxa"/>
        </w:tblCellMar>
      </w:tblPr>
      <w:tblGrid>
        <w:gridCol w:w="1269"/>
        <w:gridCol w:w="1117"/>
        <w:gridCol w:w="1123"/>
        <w:gridCol w:w="211"/>
        <w:gridCol w:w="721"/>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Fiscal 2027 (remaining six months)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payments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operating lease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73,963 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July 31, 2026, the Company has entered into four non-cancelable operating leases, with lease terms greater than 12 months that have not yet commenced, with undiscounted future minimum payments of $117.5 million, which have been excluded from the table above. The operating leases are expected to commence between October 2026 and August 2027, with lease terms between 5.0 and 11.3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9. Stock-Based Compensation</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Stock Incentive Plan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(“RSUs”), performance-based stock units (“PSUs”), and the Special PSU Awards (as defined below). A total of 35,000,000 shares of Class A common stock (after giving effect to the Stock Split)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 of outstanding shares of the Company’s capital stock as of the last day of the immediately preceding fiscal year or (ii) such other amount as the Company’s board of directors may determine.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2011 Plan was terminated on June 10, 2019, which was the business day prior to the effectiveness of the Company’s registration statement on Form S-1 used in connection with the Company’s initial public offering (“IPO”), and stock-based awards are no longer granted under the 2011 Plan. Any shares underlying stock options that expire, terminate, or are forfeited or repurchased under the 2011 Plan will be automatically transferred to the 2019 Plan.</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records compensation expense for employee stock options based on the estimated fair value of the options on the date of grant using the Black-Scholes option-pricing model.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 options granted during the six months ended July 31, 2026 were immaterial. There were no stock options granted during the six months ended July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stock option activity for the six months ended July 31, 2026:</w:t>
      </w:r>
    </w:p>
    <w:tbl>
      <w:tblPr>
        <w:tblW w:w="7437" w:type="dxa"/>
        <w:jc w:val="left"/>
        <w:tblInd w:w="0" w:type="dxa"/>
        <w:tblLayout w:type="fixed"/>
        <w:tblCellMar>
          <w:top w:w="28" w:type="dxa"/>
          <w:left w:w="28" w:type="dxa"/>
          <w:bottom w:w="28" w:type="dxa"/>
          <w:right w:w="28" w:type="dxa"/>
        </w:tblCellMar>
      </w:tblPr>
      <w:tblGrid>
        <w:gridCol w:w="1617"/>
        <w:gridCol w:w="1424"/>
        <w:gridCol w:w="1428"/>
        <w:gridCol w:w="374"/>
        <w:gridCol w:w="374"/>
        <w:gridCol w:w="377"/>
        <w:gridCol w:w="109"/>
        <w:gridCol w:w="109"/>
        <w:gridCol w:w="109"/>
        <w:gridCol w:w="365"/>
        <w:gridCol w:w="884"/>
        <w:gridCol w:w="267"/>
      </w:tblGrid>
      <w:tr>
        <w:trPr/>
        <w:tc>
          <w:tcPr>
            <w:tcW w:w="161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 Price</w:t>
              <w:br/>
              <w:t>Per Share</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outstanding at January 31, 2026</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outstanding at July 31, 2026</w:t>
            </w:r>
          </w:p>
        </w:tc>
        <w:tc>
          <w:tcPr>
            <w:tcW w:w="7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3,447 </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vested and expected to vest at July 31, 2026</w:t>
            </w:r>
          </w:p>
        </w:tc>
        <w:tc>
          <w:tcPr>
            <w:tcW w:w="74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3,447 </w:t>
            </w:r>
          </w:p>
        </w:tc>
        <w:tc>
          <w:tcPr>
            <w:tcW w:w="37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exercisable at July 31, 2026</w:t>
            </w:r>
          </w:p>
        </w:tc>
        <w:tc>
          <w:tcPr>
            <w:tcW w:w="74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3,052 </w:t>
            </w:r>
          </w:p>
        </w:tc>
        <w:tc>
          <w:tcPr>
            <w:tcW w:w="37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options that were unvested and exercisable as of July 31, 2026.</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of options vested and exercisable was $573.5 million and $381.0 million as of July 31, 2026 and January 31, 2026, respectively. The weighted-average remaining contractual term of options vested and exercisable was 2.4 years and 2.6 years as of July 31, 2026 and January 31, 2026, respectively.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per share weighted-average grant date fair value of all options granted was $95.50 during the six months ended July 31, 2026 and none during the six months ended July 31, 2025. The total intrinsic value of all options exercised was $65.7 million and $91.3 million during the three months ended July 31, 2026 and July 31, 2025, respectively, and $91.7 million and $118.0 million during the six months ended July 31, 2026 and July 31, 2025, respectively.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of stock options outstanding as of July 31, 2026 and January 31, 2026 was $646.3 million and $399.9 million, respectively, which represents the excess of the fair value of the Company’s common stock over the exercise price of the options multiplied by the number of options outstanding. The weighted-average remaining contractual term of stock options outstanding was 3.1 years and 2.9 years as of July 31, 2026 and January 31, 2026, respectively.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unrecognized stock-based compensation expense related to unvested options was $36.1 million as of July 31, 2026. This expense is expected to be amortized over a weighted-average vesting period of 2.3 years.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RSUs granted under the 2019 Plan are generally subject to only a service-based vesting condition. The service-based vesting condition is generally satisfied based on one of the following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or (ii) vesting in sixteen equal quarterly installments, subject to continued service. The valuation of these RSUs is based solely on the fair value of the Company’s stock on the date of grant.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unrecognized stock-based compensation expense related to unvested RSUs was $2.3 billion as of July 31, 2026. This expense is expected to be amortized over a weighted-average vesting period of 2.5 years.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Performance-based Stock Units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PSUs granted under the 2019 Plan are generally subject to both a service-based vesting condition and a performance-based vesting condition. PSUs will vest upon the achievement of specified performance targets and subject to continued service through the applicable vesting dates. The stock-based compensation expense relating to PSUs is recognized using the accelerated attribution method over the requisite service period when it is probable that the performance condition will be satisfied.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unrecognized stock-based compensation expense related to unvested PSUs was $309.5 million as of July 31, 2026, which reflects the Company’s updated assessment of the likelihood of satisfying the performance conditions. This expense is expected to be amortized over a weighted-average vesting period of 1.3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Special PSU Awards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fiscal 2026 and 2027, the Company’s board of directors approved performance-based equity awards (the “2026 Special PSU Award” and “2027 Special PSU Awards,” respectively) under the Company’s 2019 Plan, consisting of PSUs with targets of 1,200,000 and 700,000 PSUs, respectively, that can result in as few as zero shares of the Company’s Class A common stock being issued if the Company’s stock price performance is below the 25th percentile of the companies in the S&amp;P 500 over a three-year period beginning on December 22, 2025 and ending on December 22, 2028, and up to 2,400,000 and 1,400,000 shares, respectively, being issued if the Company’s stock price performance meets or exceeds the 90th percentile of the companies in the S&amp;P 500. The 2027 Special PSU Awards are subject to an additional service condition following the performance period, which will be satisfied in four equal quarterly installments on March 20, June 20, September 20, and December 20, 2029, subject to the grantees’ continued employment with the Company through each applicable vesting date.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measured the fair value of each award on the respective grant date using a Monte Carlo simulation valuation model. The risk-free interest rates used were 3.50% and 3.73%, respectively, based on the term-matched zero-coupon-risk-free interest rate derived from the Treasury Constant Maturities yield curve for a period commensurate with the expected term of the award on the grant date. The expected volatilities used were 44.83% and 45.95%, respectively, calculated based on the daily stock price returns for the Company over a lookback period commensurate with the expected term of the award on the grant date.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fiscal 2022 the Company’s board of directors granted 2,620,000 PSUs (the “2022 Special PSU Awards” and, together with the 2026 Special PSU Award and 2027 Special PSU Awards, the “Special PSU Awards”). The 2022 Special PSU Awards vest upon the satisfaction of the Company’s achievement of specified stock price hurdles, which are based on the average of the closing stock price per share of the Company’s Class A common stock during any 45 consecutive trading day period during the applicable performance period, and a service-based vesting condition. The service condition applicable to each tranche of the 2022 Special PSU Awards will be satisfied in installments as follows, subject to continued employment with the Company through each applicable vesting date: (i) 50% of the 2022 Special PSU Awards underlying the applicable tranche will service vest on the first anniversary of the vesting commencement date applicable to such tranche of the 2022 Special PSU Awards (i.e., February 1, 2022, February 1, 2023, February 1, 2024, and February 1, 2025) and (ii) the remaining PSUs with respect to such tranche will thereafter service vest in four equal quarterly installments of 12.5%.</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measured the fair value of the 2022 Special PSU Awards on the respective grant dates using a Monte Carlo simulation valuation model. The risk-free interest rates used were 0.85% - 1.51%, which were based on the zero-coupon-risk-free interest rate derived from the Treasury Constant Maturities yield curve for a period commensurate with the expected term of the award on the grant date. The expected volatilities used were 54.89% - 55.36%, which were calculated based on an equal blend of the Company’s historical volatility calculated from daily stock price returns over a 2.21 - 2.58 year lookback from the grant date and the Company’s implied volatility as of the grant date.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Total unrecognized stock-based compensation expense related to the unvested portion of the Special PSU Awards was $234.5 million as of July 31, 2026. This expense is expected to be amortized over a weighted-average vesting period of 2.4 years.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RSUs, PSUs and the Special PSU Awards activities for the six months ended July 31, 2026:</w:t>
      </w:r>
    </w:p>
    <w:tbl>
      <w:tblPr>
        <w:tblW w:w="7151" w:type="dxa"/>
        <w:jc w:val="left"/>
        <w:tblInd w:w="0" w:type="dxa"/>
        <w:tblLayout w:type="fixed"/>
        <w:tblCellMar>
          <w:top w:w="28" w:type="dxa"/>
          <w:left w:w="28" w:type="dxa"/>
          <w:bottom w:w="28" w:type="dxa"/>
          <w:right w:w="28" w:type="dxa"/>
        </w:tblCellMar>
      </w:tblPr>
      <w:tblGrid>
        <w:gridCol w:w="1585"/>
        <w:gridCol w:w="1395"/>
        <w:gridCol w:w="1399"/>
        <w:gridCol w:w="374"/>
        <w:gridCol w:w="374"/>
        <w:gridCol w:w="377"/>
        <w:gridCol w:w="109"/>
        <w:gridCol w:w="109"/>
        <w:gridCol w:w="109"/>
        <w:gridCol w:w="256"/>
        <w:gridCol w:w="877"/>
        <w:gridCol w:w="187"/>
      </w:tblGrid>
      <w:tr>
        <w:trPr/>
        <w:tc>
          <w:tcPr>
            <w:tcW w:w="158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 Value</w:t>
              <w:br/>
              <w:t>Per Share</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RSUs and PSUs outstanding at January 31, 2026</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31,410 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12,323 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Performance adjustment</w:t>
            </w:r>
            <w:r>
              <w:rPr>
                <w:color w:val="000000"/>
              </w:rPr>
              <w:t> </w:t>
            </w:r>
            <w:r>
              <w:rPr>
                <w:rFonts w:ascii="Times New Roman;serif" w:hAnsi="Times New Roman;serif"/>
                <w:b w:val="false"/>
                <w:color w:val="000000"/>
                <w:sz w:val="13"/>
              </w:rPr>
              <w:t>(1)</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RSUs and PSUs outstanding at July 31, 2026</w:t>
            </w:r>
          </w:p>
        </w:tc>
        <w:tc>
          <w:tcPr>
            <w:tcW w:w="7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34,483 </w:t>
            </w:r>
          </w:p>
        </w:tc>
        <w:tc>
          <w:tcPr>
            <w:tcW w:w="3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RSUs and PSUs expected to vest at July 31, 2026 </w:t>
            </w:r>
            <w:r>
              <w:rPr>
                <w:rFonts w:ascii="Times New Roman;serif" w:hAnsi="Times New Roman;serif"/>
                <w:b/>
                <w:color w:val="000000"/>
                <w:sz w:val="13"/>
              </w:rPr>
              <w:t>(2)</w:t>
            </w:r>
          </w:p>
        </w:tc>
        <w:tc>
          <w:tcPr>
            <w:tcW w:w="74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33,126 </w:t>
            </w:r>
          </w:p>
        </w:tc>
        <w:tc>
          <w:tcPr>
            <w:tcW w:w="37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(1)The performance adjustment represents adjustments in shares outstanding due to the actual achievement of performance-based awards, the achievement of which was based upon pre-defined financial performance targets.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(2)Excludes in progress PSUs where pre-defined targets have not yet been achieved.</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14,000,000 shares of Class A common stock (after giving effect to the Stock Split)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the outstanding shares of the Company’s capital stock as of the last day of the immediately preceding fiscal year or (ii) such other amount as its board of directors may determine. In May 2021, the Company’s compensation committee adopted an amendment and restatement of the ESPP, which was approved by the Company’s stockholders in June 2021. The amended and restated ESPP clarified the original intent that the annual increase will in no event exceed 20,000,000 shares of the Company’s Class A common stock (after giving effect to the Stock Split) in any year.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ESPP provides for consecutive offering periods that will typically have a duration of approximately 24 months in length and are comprised of four purchase periods of approximately six months in length. The offering periods are scheduled to start on the first trading day on or after June 11 and December 11 of each year. The first offering period commenced on June 11, 2019 and ended on June 10, 2021.</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ESPP provides eligible employees with an opportunity to purchase shares of the Company’s Class A common stock through payroll deductions of up to 15% of their eligible compensation. A participant may purchase a maximum of 10,000 shares of common stock (after giving effect to the Stock Split) during a purchase period. Amounts deducted and accumulated by the participant are used to purchase shares of common stock at the end of each six-month purchase period. The purchase price of the shares is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ESPP also offers a two-year look-back feature, as well as a rollover feature that provides for an offering period to be rolled over to a new lower-priced offering if the offering price of the new offering period is less than that of the current offering period. Contribution modifications during the three and six months ended July 31, 2026 were $2.8 million, which are recognized over the remaining offering periods.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Employee payroll contributions ultimately used to purchase shares are reclassified to stockholders’ equity on the purchase date. ESPP employee payroll contributions accrued as of July 31, 2026 and January 31, 2026 totaled $25.4 million and $36.2 million, respectively, and are included within accrued payroll and benefits in the condensed consolidated balance sheets.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assumptions used in the Black-Scholes option-pricing model to determine the fair value of employee stock purchase rights granted under the Company’s ESPP:</w:t>
      </w:r>
    </w:p>
    <w:tbl>
      <w:tblPr>
        <w:tblW w:w="5994" w:type="dxa"/>
        <w:jc w:val="left"/>
        <w:tblInd w:w="0" w:type="dxa"/>
        <w:tblLayout w:type="fixed"/>
        <w:tblCellMar>
          <w:top w:w="28" w:type="dxa"/>
          <w:left w:w="28" w:type="dxa"/>
          <w:bottom w:w="28" w:type="dxa"/>
          <w:right w:w="28" w:type="dxa"/>
        </w:tblCellMar>
      </w:tblPr>
      <w:tblGrid>
        <w:gridCol w:w="951"/>
        <w:gridCol w:w="835"/>
        <w:gridCol w:w="839"/>
        <w:gridCol w:w="300"/>
        <w:gridCol w:w="300"/>
        <w:gridCol w:w="750"/>
        <w:gridCol w:w="193"/>
        <w:gridCol w:w="193"/>
        <w:gridCol w:w="193"/>
        <w:gridCol w:w="293"/>
        <w:gridCol w:w="293"/>
        <w:gridCol w:w="854"/>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3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0.5 – 2.0</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0.5 – 2.0</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3.5% – 4.7%</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3.9% – 5.3%</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41.0% – 54.4%</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44.5% – 59.8% </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included in the condensed consolidated statements of operations is as follows (in thousands):</w:t>
      </w:r>
    </w:p>
    <w:tbl>
      <w:tblPr>
        <w:tblW w:w="9495" w:type="dxa"/>
        <w:jc w:val="left"/>
        <w:tblInd w:w="0" w:type="dxa"/>
        <w:tblLayout w:type="fixed"/>
        <w:tblCellMar>
          <w:top w:w="28" w:type="dxa"/>
          <w:left w:w="28" w:type="dxa"/>
          <w:bottom w:w="28" w:type="dxa"/>
          <w:right w:w="28" w:type="dxa"/>
        </w:tblCellMar>
      </w:tblPr>
      <w:tblGrid>
        <w:gridCol w:w="1251"/>
        <w:gridCol w:w="1097"/>
        <w:gridCol w:w="110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cost of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cost of revenue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376,914 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279,631 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674,617 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527,292 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10. Revenue, Deferred Revenue and Remaining Performance Obligations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revenue by region based on the shipping address of customers who have contracted to use the Company’s platform or service (in thousands, except percentages):</w:t>
      </w:r>
    </w:p>
    <w:tbl>
      <w:tblPr>
        <w:tblW w:w="12550" w:type="dxa"/>
        <w:jc w:val="left"/>
        <w:tblInd w:w="0" w:type="dxa"/>
        <w:tblLayout w:type="fixed"/>
        <w:tblCellMar>
          <w:top w:w="28" w:type="dxa"/>
          <w:left w:w="28" w:type="dxa"/>
          <w:bottom w:w="28" w:type="dxa"/>
          <w:right w:w="28" w:type="dxa"/>
        </w:tblCellMar>
      </w:tblPr>
      <w:tblGrid>
        <w:gridCol w:w="292"/>
        <w:gridCol w:w="191"/>
        <w:gridCol w:w="193"/>
        <w:gridCol w:w="196"/>
        <w:gridCol w:w="871"/>
        <w:gridCol w:w="109"/>
        <w:gridCol w:w="109"/>
        <w:gridCol w:w="109"/>
        <w:gridCol w:w="109"/>
        <w:gridCol w:w="227"/>
        <w:gridCol w:w="227"/>
        <w:gridCol w:w="537"/>
        <w:gridCol w:w="109"/>
        <w:gridCol w:w="109"/>
        <w:gridCol w:w="109"/>
        <w:gridCol w:w="196"/>
        <w:gridCol w:w="871"/>
        <w:gridCol w:w="109"/>
        <w:gridCol w:w="109"/>
        <w:gridCol w:w="109"/>
        <w:gridCol w:w="109"/>
        <w:gridCol w:w="227"/>
        <w:gridCol w:w="227"/>
        <w:gridCol w:w="537"/>
        <w:gridCol w:w="109"/>
        <w:gridCol w:w="109"/>
        <w:gridCol w:w="109"/>
        <w:gridCol w:w="196"/>
        <w:gridCol w:w="871"/>
        <w:gridCol w:w="109"/>
        <w:gridCol w:w="109"/>
        <w:gridCol w:w="109"/>
        <w:gridCol w:w="109"/>
        <w:gridCol w:w="227"/>
        <w:gridCol w:w="227"/>
        <w:gridCol w:w="537"/>
        <w:gridCol w:w="109"/>
        <w:gridCol w:w="109"/>
        <w:gridCol w:w="109"/>
        <w:gridCol w:w="196"/>
        <w:gridCol w:w="871"/>
        <w:gridCol w:w="109"/>
        <w:gridCol w:w="109"/>
        <w:gridCol w:w="109"/>
        <w:gridCol w:w="109"/>
        <w:gridCol w:w="227"/>
        <w:gridCol w:w="227"/>
        <w:gridCol w:w="537"/>
        <w:gridCol w:w="109"/>
        <w:gridCol w:w="109"/>
        <w:gridCol w:w="109"/>
        <w:gridCol w:w="109"/>
        <w:gridCol w:w="109"/>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954,464 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784,675 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1,526,527 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Middle East, and Africa</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263,698 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499,037 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364,865 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1,470,897 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1,168,952 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2,856,526 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2,272,386 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single country other than the United States represented 10% or more of the Company’s total revenue during the three and six months ended July 31, 2026 and July 31, 2025.</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Contract liabilities consist of deferred revenue and include payments received in advance of performance under the contract. Such amounts are recognized as revenue over the contractual period. The Company recognized revenue of $1.3 billion and $1.0 billion for the three months ended July 31, 2026 and July 31, 2025, respectively, and $2.2 billion and $1.7 billion during the six months ended July 31, 2026 and July 31, 2025, respectively, which was included in the corresponding contract liability balance at the beginning of the period.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deferred revenue were as follows (in thousands):</w:t>
      </w:r>
    </w:p>
    <w:tbl>
      <w:tblPr>
        <w:tblW w:w="9390" w:type="dxa"/>
        <w:jc w:val="left"/>
        <w:tblInd w:w="0" w:type="dxa"/>
        <w:tblLayout w:type="fixed"/>
        <w:tblCellMar>
          <w:top w:w="28" w:type="dxa"/>
          <w:left w:w="28" w:type="dxa"/>
          <w:bottom w:w="28" w:type="dxa"/>
          <w:right w:w="28" w:type="dxa"/>
        </w:tblCellMar>
      </w:tblPr>
      <w:tblGrid>
        <w:gridCol w:w="994"/>
        <w:gridCol w:w="873"/>
        <w:gridCol w:w="877"/>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481" w:type="dxa"/>
            <w:gridSpan w:val="4"/>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4,722,193 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3,771,395 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deferred revenue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1,590,914 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1,232,414 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2,378,566 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4,842,210 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3,834,857 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4,842,210 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3,834,857 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The Company’s subscription contracts with its customers have a typical term of one to three years and most subscription contracts are non-cancelable. Customers generally have the right to terminate their contracts for cause as a result of the Company’s failure to perform. As of July 31, 2026, the aggregate </w:t>
      </w:r>
      <w:r>
        <w:rPr>
          <w:rFonts w:ascii="Times New Roman;serif" w:hAnsi="Times New Roman;serif"/>
          <w:b w:val="false"/>
          <w:color w:val="000000"/>
          <w:sz w:val="20"/>
          <w:shd w:fill="FFFFFF" w:val="clear"/>
        </w:rPr>
        <w:t xml:space="preserve">amount of the transaction price allocated to remaining performance obligations was $10.7 billion. The Company expects to recognize approximately 46% of the remaining performance obligations in the 12 months following </w:t>
      </w:r>
      <w:r>
        <w:rPr>
          <w:rFonts w:ascii="Times New Roman;serif" w:hAnsi="Times New Roman;serif"/>
          <w:b w:val="false"/>
          <w:color w:val="000000"/>
          <w:sz w:val="20"/>
        </w:rPr>
        <w:t>July 31, 2026. The majority of the non-current remaining performance obligations are expected to be recognized over the next 13 to 36 months.</w:t>
      </w:r>
      <w:r>
        <w:rPr>
          <w:color w:val="000000"/>
          <w:shd w:fill="FFFFFF" w:val="clear"/>
        </w:rPr>
        <w:t xml:space="preserve"> </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Costs to Obtain and Fulfill a Contract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capitalizes referral fees paid to partners and sales commissions and associated payroll taxes paid to internal sales personnel, contractors or sales agents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condensed consolidated balance sheets.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five years, while commissions earned for renewal contracts are amortized over the contractual term of the renewals. Sales commissions associated with professional service contracts are amortized ratably over an estimated period of benefit of less than one year. Commissions are included in sales and marketing expense in the condensed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three and six months ended July 31, 2026 or July 31, 2025.</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deferred contract acquisition costs (in thousands):</w:t>
      </w:r>
    </w:p>
    <w:tbl>
      <w:tblPr>
        <w:tblW w:w="10205" w:type="dxa"/>
        <w:jc w:val="left"/>
        <w:tblInd w:w="0" w:type="dxa"/>
        <w:tblLayout w:type="fixed"/>
        <w:tblCellMar>
          <w:top w:w="28" w:type="dxa"/>
          <w:left w:w="28" w:type="dxa"/>
          <w:bottom w:w="28" w:type="dxa"/>
          <w:right w:w="28" w:type="dxa"/>
        </w:tblCellMar>
      </w:tblPr>
      <w:tblGrid>
        <w:gridCol w:w="1415"/>
        <w:gridCol w:w="1221"/>
        <w:gridCol w:w="1221"/>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156"/>
      </w:tblGrid>
      <w:tr>
        <w:trPr/>
        <w:tc>
          <w:tcPr>
            <w:tcW w:w="1415"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483" w:type="dxa"/>
            <w:gridSpan w:val="4"/>
            <w:tcBorders/>
          </w:tcPr>
          <w:p>
            <w:pPr>
              <w:pStyle w:val="TableContents"/>
              <w:bidi w:val="0"/>
              <w:spacing w:before="0" w:after="283"/>
              <w:jc w:val="left"/>
              <w:rPr>
                <w:sz w:val="4"/>
                <w:szCs w:val="4"/>
              </w:rPr>
            </w:pPr>
            <w:r>
              <w:rPr>
                <w:sz w:val="4"/>
                <w:szCs w:val="4"/>
              </w:rPr>
            </w:r>
          </w:p>
        </w:tc>
      </w:tr>
      <w:tr>
        <w:trPr/>
        <w:tc>
          <w:tcPr>
            <w:tcW w:w="3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1,097,069 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847,850 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1,103,113 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847,950 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contract acquisition costs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contract acquisition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1,194,607 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889,631 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1,194,607 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889,631 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current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contract acquisition costs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1,194,607 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889,631 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1,194,607 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889,631 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11. Commitments and Contingencies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July 19 Incident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19, 2024, the Company released a content configuration update for its Falcon sensor that resulted in system crashes for certain Windows systems (the “July 19 Incident”). The Company is subject to a number of legal proceedings in connection with the July 19 Incident,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On August 5, 2024, a putative class action was filed against CrowdStrike, Inc. in the Western District of Texas in relation to passenger airline flight disruptions allegedly caused by the July 19 Incident. On August 19, 2024, a second putative class action was filed against the Company and CrowdStrike, Inc. in the Western District of Texas, making similar allegations in relation to passenger airline flight disruptions. On November 6, 2024,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two lawsuits were consolidated, and interim class counsel was appointed. On December 6, 2024, a consolidated class action complaint was filed, which, among other things, asserts causes of action for negligence and public nuisance, and seeks certification of a nationwide class, as well as several state sub-classes of citizens of California, Ohio, Pennsylvania, Iowa, and Nevada. The putative classes are comprised of individuals who allegedly had a flight delayed or canceled as a result of the July 19 Incident. The consolidated complaint seeks unspecified monetary damages, certain injunctive relief, costs, and attorneys’ fees. On February 4, 2025, the Company and CrowdStrike, Inc. filed a motion to dismiss the consolidated complaint. On June 18, 2025, the district court granted the Company and CrowdStrike, Inc.’s motion to dismiss the consolidated complaint and entered a final judgment. On June 25, 2025, the plaintiffs filed a notice of appeal to the United States Court of Appeals for the Fifth Circuit (the “Fifth Circuit”). On May 20, 2026, the Fifth Circuit affirmed the district court’s dismissal. On June 15, 2026, the Fifth Circuit denied the plaintiffs’ petition for panel or en banc rehearing.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On September 4, September 11, and September 20, 2024, three derivative lawsuits were filed against certain of the Company’s officers and directors, and against the Company as nominal defendant, in federal court in the Western District of Texas alleging various claims, including breach of fiduciary duty, unjust enrichment, and violations of federal securities laws. On November 21, 2024, all three cases were consolidated and stayed pending resolution of the putative securities class action described above. On April 16, 2026, the court ordered the consolidated lawsuits dismissed. On April 10, 2025, two additional derivative lawsuits were filed against certain of the Company’s officers and directors, and against the Company as nominal defendant, in federal court in the Western District of Texas, asserting similar claims and seeking similar relief as the previously filed derivative lawsuits. On May 23, 2025, these lawsuits were consolidated with each other. On July 18, 2025, these consolidated lawsuits were stayed pending resolution of the putative securities class action described above. On April 7, 2026, the court ordered the consolidated lawsuits dismissed. On July 3 and July 17, 2025, two additional derivative lawsuits were filed against certain of the Company’s officers and directors, and against the Company as a nominal defendant, in the Delaware Court of Chancery, asserting similar claims and seeking similar relief as the previously filed derivative lawsuits. On August 18, 2025, these two lawsuits were consolidated and stayed pending resolution of the putative securities class action described above. On March 18, 2026, the court ordered the consolidated lawsuits dismissed.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On October 25, 2024, Delta Airlines, Inc. (“Delta”) filed a complaint against CrowdStrike, Inc. in the Superior Court for Fulton County, Georgia, alleging, among other things, computer trespass, trespass to personalty, breach of contract, intentional misrepresentation/fraud by omission, strict-liability product defect, gross negligence, and deceptive and unfair business practices. Delta is seeking unspecified monetary damages, attorneys’ fees and unspecified punitive damages. The matter has been transferred to the Metro Atlanta Business Case Division. On December 16, 2024, CrowdStrike, Inc. filed a motion to dismiss. On May 16, 2025, CrowdStrike, Inc.’s motion to dismiss was granted in part and denied in part. Discovery is ongoing.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received requests for information from the U.S. Department of Justice and the U.S. Securities and Exchange Commission relating to the Company’s recognition of revenue and reporting of ARR for transactions with certain customers, the July 19 Incident and related matters. The Company is cooperating and providing information in response to these requests.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some customers and third parties have asserted claims against the Company. The Company has also received inquiries from other governmental authorities and third parties related to the July 19 Incident. The Company has cooperated and provided information in connection with these inquiries.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any claims and legal proceedings for which the Company believes a liability is both probable and reasonably estimable, the Company records a liability in the period for which it makes this determination. For claims and legal proceedings where a loss may be reasonably possible, but not probable, or is probable but not reasonably estimable, no accrual is established. While the Company believes it is reasonably possible that it could incur losses associated with the claims, proceedings and inquiries described above, it is not possible to estimate the amount of any loss or range of possible loss that might result from adverse judgments, settlements, penalties or other resolutions of these claims, proceedings and inquiries based on their current stage, and the lack of resolution on significant factual and legal issues. Because the final outcome of any of these matters cannot be predicted with certainty, unfavorable or unexpected developments or outcomes could result in a material impact to the Company’s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expects to incur significant legal and professional services and other expenses associated with the July 19 Incident and related matters in future periods. These expenses will be recognized as incurred. Certain costs may be recoverable under the Company’s insurance policies in effect at the date of the July 19 Incident. Any amounts recoverable under such policies will be reflected in future periods in which recovery is considered probable.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Amounts accrued and expenses incurred, net of insurance receivable recorded, associated with the July 19 Incident and related matters during the six months ended July 31, 2026 were as follows (in thousands):</w:t>
      </w:r>
    </w:p>
    <w:tbl>
      <w:tblPr>
        <w:tblW w:w="5916" w:type="dxa"/>
        <w:jc w:val="left"/>
        <w:tblInd w:w="0" w:type="dxa"/>
        <w:tblLayout w:type="fixed"/>
        <w:tblCellMar>
          <w:top w:w="28" w:type="dxa"/>
          <w:left w:w="28" w:type="dxa"/>
          <w:bottom w:w="28" w:type="dxa"/>
          <w:right w:w="28" w:type="dxa"/>
        </w:tblCellMar>
      </w:tblPr>
      <w:tblGrid>
        <w:gridCol w:w="1750"/>
        <w:gridCol w:w="1534"/>
        <w:gridCol w:w="1546"/>
        <w:gridCol w:w="211"/>
        <w:gridCol w:w="721"/>
        <w:gridCol w:w="154"/>
      </w:tblGrid>
      <w:tr>
        <w:trPr/>
        <w:tc>
          <w:tcPr>
            <w:tcW w:w="175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Amounts</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31,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Expenses incurred, net of insurance receivable recorded </w:t>
            </w:r>
            <w:r>
              <w:rPr>
                <w:rFonts w:ascii="Times New Roman;serif" w:hAnsi="Times New Roman;serif"/>
                <w:b w:val="false"/>
                <w:color w:val="000000"/>
                <w:sz w:val="13"/>
              </w:rPr>
              <w:t>(1)</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made / cash received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July 31, 2026</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13,139 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    These expenses are included in the Company’s condensed consolidated statements of operations as sales and marketing expenses, research and development expenses, and general and administrative expenses. Accruals are recorded in accrued expenses in the Company’s condensed consolidated balance sheets. Insurance receivable is recorded in prepaid expenses and other current assets in the Company’s condensed consolidated balance sheets.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customer commitment packages, the Company has made an immaterial amount of settlement offers to certain customers in response to the July 19 Incident. These amounts are, or will be, entirely offset by recoveries under the Company’s insurance policies. Accordingly, there is no impact on the Company’s condensed consolidated statement of operations during the three and six months ended July 31, 2026. The customer payables and insurance receivables were recorded as accrued expenses and as prepaid expenses and other current assets in the Company’s condensed consolidated balance sheet as of July 31, 2026, respectively.</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Other Legal Proceedings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other legal proceedings and subject to claims that arise in the ordinary course of business. For any claims for which the Company believes a liability is both probable and reasonably estimable, the Company records a liability in the period for which it makes this determination. Other than as discussed above, there is no pending or threatened legal proceeding to which the Company is a party that, in the Company’s opinion, is reasonably possible to have a material effect on its condensed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costs of litigation and the timing of these costs from period to period are difficult to estimate, subject to change and could adversely affect the Company’s condensed consolidated financial statements.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Purchase Obligations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non-cancelable purchase commitments with various parties to purchase products and services such as data center capacity, advertising, technology, equipment, office renovations, corporate events, and consulting services. A summary of non-cancelable purchase obligations in excess of one year as of July 31, 2026, with expected date of payment is as follows (in thousands):</w:t>
      </w:r>
    </w:p>
    <w:tbl>
      <w:tblPr>
        <w:tblW w:w="4325" w:type="dxa"/>
        <w:jc w:val="left"/>
        <w:tblInd w:w="0" w:type="dxa"/>
        <w:tblLayout w:type="fixed"/>
        <w:tblCellMar>
          <w:top w:w="28" w:type="dxa"/>
          <w:left w:w="28" w:type="dxa"/>
          <w:bottom w:w="28" w:type="dxa"/>
          <w:right w:w="28" w:type="dxa"/>
        </w:tblCellMar>
      </w:tblPr>
      <w:tblGrid>
        <w:gridCol w:w="1080"/>
        <w:gridCol w:w="949"/>
        <w:gridCol w:w="955"/>
        <w:gridCol w:w="211"/>
        <w:gridCol w:w="976"/>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Commitments</w:t>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 (remaining six months)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843,076 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1,238,703 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commitments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4,141,527 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2026, the Company signed a definitive agreement to acquire the technology assets of XM Cyber Ltd., a Schwarz Digits company recognized for its advanced attack path visualization and offensive simulation technologies. At closing, the Company expects to pay consideration of $145.0 million in a combination of cash and shares of the Company’s Class A common stock, plus additional shares of the Company’s Class A common stock in an amount to be determined on the closing date. The transaction is expected to close in the second half of fiscal 2027, subject to customary closing conditions and regulatory requirements.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Subsequent to July 31, 2026, the Company has committed to an additional $2.9 billion of non-cancelable purchase obligations from fiscal 2027 to fiscal 2034. These commitments are excluded from the table above and will be included in the table in subsequent periods.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Unfunded Loan Commitments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financing arrangements for certain qualified end-users to purchase its products and services. When the Company enters into these financing arrangements with the end-users, the funds provided by the Company for the sales transactions do not always occur immediately upon signing, depending on the terms of the arrangements. The Company estimates an allowance for credit losses on these off-balance sheet credit exposures at each reporting period on the contractual period over which the Company is exposed to credit risk via a contractual obligation to extend credit, unless that obligation is unconditionally cancelable by the Company. As of July 31, 2026, the Company had non-cancelable unfunded commitments totaling approximately $69.7 million. </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Warranties and Indemnification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cloud computing services are typically warranted to perform in a manner consistent with general industry standards that are reasonably applicable and materially in accordance with the Company’s online help documentation under normal use and circumstances. In addition, for its Falcon Complete customers, the Company offers a limited warranty, subject to certain conditions, to cover certain costs incurred by the customer in case of a cybersecurity breach. The Company has entered into an insurance policy to reduce its potential liability arising from such limited warranty arrangements. The Company’s customer arrangements generally include certain provisions for indemnifying customers against losses suffered or incurred as a result of third-party claims that the Company’s products or services infringe a third party’s intellectual property rights. From time to time, the Company has also agreed to certain other indemnifications and warranties. The Company has not incurred any material costs because of such obligations and has not accrued any liabilities related to such obligations in the condensed consolidated financial statements as of July 31, 2026 or January 31, 2026.</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July 31, 2026 or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12. Acquisitions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SGNL.AI, Inc.</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20, 2026, the Company acquired 100% of the equity interest of SGNL.AI, Inc. (“SGNL”), a leader in continuous identity security.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acquisition has been accounted for as a business combination. The total consideration transferred consisted of $627.9 million in cash, net of $9.4 million of cash and restricted cash acquired, and $9.2 million representing the fair value of replacement equity awards attributable to pre-acquisition service, subject to customary net working capital and purchase price adjustments. The remaining fair value of these replacement awards attributed to post-combination service was excluded from the purchase price. The cash consideration included cash held back in an escrow fund for a partial security for post-closing true-up adjustments and post-closing indemnification claims. The purchase price was allocated on a preliminary basis, subject to working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capital adjustment and continuing management analysis, to developed technology of $87.9 million with a useful life of 96 months, net tangible liabilities of $11.9 million, and goodwill of $561.1 million, which was allocated to the Company’s one reporting unit and represents the excess of the purchase price over the fair value of net tangible and intangible assets acquired. The fair value of the developed technology was estimated using the relief-from-royalty method under the income approach. The goodwill was primarily attributable to the assembled workforce of SGNL, planned growth in new markets, and synergies expected to be achieved from the integration of SGNL. Goodwill is not deductible for income tax purposes.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Per the terms of the merger agreement with SGNL, certain unvested stock options held by SGNL employees were canceled and exchanged for replacement stock options under the 2019 Plan. Additionally, certain shares of SGNL stock held by SGNL employees were exchanged for the right to receive shares of the Company’s common stock, subject to service-based vesting conditions. Further, the Company granted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Acquisition costs incurred during the six months ended July 31, 2026 were immaterial.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acquisition have been included in the Company’s condensed consolidated financial statements from the date of acquisition. The acquisition of SGNL, individually or in the aggregate with other fiscal 2027 acquisitions, did not have a material impact on the Company’s condensed consolidated financial statements and therefore historical and pro forma disclosures have not been presented.</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Seraphic Algorithms Ltd.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3, 2026, the Company completed the acquisition of the remaining 90.6% of the equity interest in Seraphic Algorithms Ltd. (“Seraphic”), a leader in browser runtime security. Prior to the acquisition, the Falcon Funds held 9.4% of the outstanding equity interests of Seraphic, which was accounted for under the measurement alternative.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acquisition has been accounted for as a business combination. The total consideration transferred consisted of $327.5 million in cash, net of $1.1 million of cash and restricted cash acquired, and $13.7 million representing the fair value of replacement equity awards attributable to pre-acquisition service, subject to customary net working capital and purchase price adjustments. The remaining fair value of these replacement awards attributed to post-combination service was excluded from the purchase price. On the acquisition date, CrowdStrike remeasured its previously held equity interest in Seraphic to a fair value of $38.1 million, resulting in a realized gain of $15.5 million, net of non-controlling interest of $15.5 million. The purchase price was allocated on a preliminary basis, subject to working capital adjustment and continuing management analysis, to developed technology of $69.8 million with a useful life of 96 months, net tangible liabilities of $16.0 million, and goodwill of $325.5 million, which was allocated to the Company’s one reporting unit and represents the excess of the purchase price over the fair value of net tangible and intangible assets acquired. The fair value of the developed technology was estimated using the relief-from-royalty method under the income approach. The goodwill was primarily attributable to the assembled workforce of Seraphic, planned growth in new markets, and synergies expected to be achieved from the integration of Seraphic. Goodwill is not deductible for income tax purposes.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Per the terms of the merger agreement with Seraphic, certain unvested stock options held by Seraphic employees were canceled and exchanged for replacement stock options under the 2019 Plan. Additionally, certain shares of Seraphic stock held by Seraphic employees were exchanged for the right to receive shares of the Company’s common stock, subject to service-based vesting conditions. Further, the Company granted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Acquisition costs incurred during the six months ended July 31, 2026 were $1.6 million.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acquisition have been included in the Company’s condensed consolidated financial statements from the date of acquisition. The acquisition of Seraphic, individually or in the aggregate with other fiscal 2027 acquisitions, did not have a material impact on the Company’s condensed consolidated financial statements and therefore historical and pro forma disclosures have not been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Pangea Cyber Corporation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26, 2025, the Company acquired 100% of the equity interest of Pangea Cyber Corporation (“Pangea”), a company that offers AI detection and response solutions.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acquisition has been accounted for as a business combination. The total consideration transferred consisted of $212.1 million in cash, net of $9.4 million of cash and restricted cash acquired, and $0.3 million and $10.3 million representing the fair value of replacement equity and liability awards, respectively, attributable to pre-acquisition service. The remaining fair value of these replacement awards attributed to post-combination service was excluded from the purchase price. The cash consideration included (i) cash held back in an escrow fund for a partial security for post-closing true-up adjustments, which was released from escrow in January 2026, and (ii) cash held back in an escrow fund for a partial security for post-closing indemnification claims, which is expected to be released in fiscal 2028 and is reflected within restricted cash. The purchase price was allocated on a preliminary basis, subject to working capital adjustment and continuing management analysis, to developed technology of $13.2 million with a useful life of 72 months, net tangible liabilities of $0.4 million, and goodwill of $209.9 million, which was allocated to the Company’s one reporting unit and represents the excess of the purchase price over the fair value of net tangible and intangible assets acquired. The fair value of the developed technology was estimated using the relief-from-royalty method under the income approach. The goodwill was primarily attributable to the assembled workforce of Pangea, planned growth in new markets, and synergies expected to be achieved from the integration of Pangea. Goodwill is not deductible for income tax purposes.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Per the terms of the merger agreement with Pangea, certain unvested stock options held by Pangea employees were canceled and exchanged for replacement stock options under the 2019 Plan. Additionally, certain shares of Pangea stock held by Pangea employees were exchanged for the right to receive shares of the Company’s common stock, subject to service-based vesting conditions. Further, the Company granted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Acquisition costs incurred during the six months ended July 31, 2026 were immaterial.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acquisition have been included in the Company’s condensed consolidated financial statements from the date of acquisition. The acquisition of Pangea did not have a material impact on the Company’s condensed consolidated financial statements, and therefore historical and pro forma disclosures have not been presented.</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Onum Technology Inc.</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12, 2025, the Company acquired 100% of the equity interest of Onum Technology Inc. (“Onum”), a leader in real-time telemetry pipeline management.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acquisition has been accounted for as a business combination. The total consideration transferred consisted of $252.7 million in cash, net of $15.2 million of cash and restricted cash acquired, and $2.0 million representing the fair value of replacement equity awards attributable to pre-acquisition service. The remaining fair value of these replacement awards attributed to post-combination service was excluded from the purchase price. The cash consideration included cash held back in an escrow fund for a partial security for post-closing indemnification claims. Escrow amounts are reflected within restricted cash and are expected to be released in fiscal 2028. The purchase price was allocated on a preliminary basis, subject to working capital adjustment and continuing management analysis, to identifiable intangible assets, which include developed technology and customer relationships of $21.4 million, net tangible assets acquired of $0.2 million, and goodwill of $233.1 million, which was allocated to the Company’s one reporting unit and represents the excess of the purchase price over the fair value of net tangible and intangible assets acquired. The fair value of the developed technology was estimated using the relief-from-royalty method under the income approach. In addition, the fair value of customer relationships was estimated using the with-and-without method. The goodwill was primarily attributable to the assembled workforce of Onum, planned growth in new markets, and synergies expected to be achieved from the integration of Onum. Goodwill is not deductible for income tax purposes.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Per the terms of the merger agreement with Onum, certain unvested stock options held by Onum employees were canceled and exchanged for replacement stock options under the 2019 Plan. Additionally, certain shares of Onum stock held by Onum employees were exchanged for shares or the right to receive shares of the Company’s common stock, subject to service-based vesting conditions. Further, the Company granted RSUs and PSUs under the 2019 Plan to certain continuing employees. The awards that are subject to continued service are recognized ratably as stock-based compensation cost over the requisite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period. The awards that are subject to both continued service and specified performance targets are recognized over the requisite service period when it is probable that the performance condition will be satisfied.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identifiable intangible assets acquired and their estimated useful lives as of the date of acquisition (dollars in thousands):</w:t>
      </w:r>
    </w:p>
    <w:tbl>
      <w:tblPr>
        <w:tblW w:w="5201" w:type="dxa"/>
        <w:jc w:val="left"/>
        <w:tblInd w:w="0" w:type="dxa"/>
        <w:tblLayout w:type="fixed"/>
        <w:tblCellMar>
          <w:top w:w="28" w:type="dxa"/>
          <w:left w:w="28" w:type="dxa"/>
          <w:bottom w:w="28" w:type="dxa"/>
          <w:right w:w="28" w:type="dxa"/>
        </w:tblCellMar>
      </w:tblPr>
      <w:tblGrid>
        <w:gridCol w:w="978"/>
        <w:gridCol w:w="858"/>
        <w:gridCol w:w="863"/>
        <w:gridCol w:w="216"/>
        <w:gridCol w:w="738"/>
        <w:gridCol w:w="111"/>
        <w:gridCol w:w="109"/>
        <w:gridCol w:w="109"/>
        <w:gridCol w:w="109"/>
        <w:gridCol w:w="325"/>
        <w:gridCol w:w="325"/>
        <w:gridCol w:w="460"/>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Useful Life </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months)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acquired</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21,400 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Acquisition costs incurred during the six months ended July 31, 2026 were immaterial.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acquisition have been included in the Company’s condensed consolidated financial statements from the date of acquisition. The acquisition of Onum did not have a material impact on the Company’s condensed consolidated financial statements, and therefore historical and pro forma disclosures have not been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13. Net Income (Loss) Per Share Attributable to Common Stockholders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(loss) per share attributable to CrowdStrike’s common stockholders is computed in conformity with the two-class method required for participating securities. Basic net income (loss) per share attributable to CrowdStrike common stockholders is computed by dividing the net income (loss) attributable to CrowdStrike by the weighted-average number of shares of common stock outstanding during the period. Diluted net income per share attributable to CrowdStrike common stockholders is calculated by dividing net income by the combination of the weighted-average number of common shares outstanding and the effect of the weighted-average number of dilutive common share equivalents during the period. The dilutive potential shares of common stock are comprised of outstanding stock options, RSUs, PSUs, Special PSU Awards, ESPP obligations, and founders holdbacks, and are computed using the treasury stock method. The effects of the outstanding stock options, RSUs, PSUs, Special PSU Awards, ESPP obligations, and founders holdbacks are excluded from the computation of the diluted net income per share in periods in which the effect would be antidilutive. Diluted net loss per share is the same as basic net loss per share for the three and six months ended July 31, 2025, because the effects of potentially dilutive items were antidilutive given the Company’s net loss position during that period.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income (loss) per share attributable to CrowdStrike common stockholders (in thousands, except per share data):</w:t>
      </w:r>
    </w:p>
    <w:tbl>
      <w:tblPr>
        <w:tblW w:w="10205" w:type="dxa"/>
        <w:jc w:val="left"/>
        <w:tblInd w:w="0" w:type="dxa"/>
        <w:tblLayout w:type="fixed"/>
        <w:tblCellMar>
          <w:top w:w="28" w:type="dxa"/>
          <w:left w:w="28" w:type="dxa"/>
          <w:bottom w:w="28" w:type="dxa"/>
          <w:right w:w="28" w:type="dxa"/>
        </w:tblCellMar>
      </w:tblPr>
      <w:tblGrid>
        <w:gridCol w:w="1755"/>
        <w:gridCol w:w="1257"/>
        <w:gridCol w:w="1267"/>
        <w:gridCol w:w="249"/>
        <w:gridCol w:w="727"/>
        <w:gridCol w:w="111"/>
        <w:gridCol w:w="111"/>
        <w:gridCol w:w="111"/>
        <w:gridCol w:w="111"/>
        <w:gridCol w:w="216"/>
        <w:gridCol w:w="774"/>
        <w:gridCol w:w="111"/>
        <w:gridCol w:w="109"/>
        <w:gridCol w:w="109"/>
        <w:gridCol w:w="109"/>
        <w:gridCol w:w="220"/>
        <w:gridCol w:w="756"/>
        <w:gridCol w:w="109"/>
        <w:gridCol w:w="109"/>
        <w:gridCol w:w="109"/>
        <w:gridCol w:w="109"/>
        <w:gridCol w:w="211"/>
        <w:gridCol w:w="858"/>
        <w:gridCol w:w="109"/>
        <w:gridCol w:w="109"/>
        <w:gridCol w:w="109"/>
        <w:gridCol w:w="109"/>
        <w:gridCol w:w="161"/>
      </w:tblGrid>
      <w:tr>
        <w:trPr/>
        <w:tc>
          <w:tcPr>
            <w:tcW w:w="1755"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488" w:type="dxa"/>
            <w:gridSpan w:val="4"/>
            <w:tcBorders/>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CrowdStrike</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(70,153)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(loss) per share attributable to CrowdStrike common stockholders, basic</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1,019,448 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999,634 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common stock equivalents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(loss) per share attributable to CrowdStrike common stockholders, dilutive</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1,044,469 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999,634 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1,038,033 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996,730 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CrowdStrike common stockholders, basic</w:t>
            </w:r>
          </w:p>
        </w:tc>
        <w:tc>
          <w:tcPr>
            <w:tcW w:w="24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CrowdStrike common stockholders, diluted</w:t>
            </w:r>
          </w:p>
        </w:tc>
        <w:tc>
          <w:tcPr>
            <w:tcW w:w="24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potential shares of common stock that were excluded from the computation of diluted net income (loss) per share attributable to common stockholders for the periods presented because including them would have been antidilutive are as follows (in thousands):</w:t>
      </w:r>
    </w:p>
    <w:tbl>
      <w:tblPr>
        <w:tblW w:w="10205" w:type="dxa"/>
        <w:jc w:val="left"/>
        <w:tblInd w:w="0" w:type="dxa"/>
        <w:tblLayout w:type="fixed"/>
        <w:tblCellMar>
          <w:top w:w="28" w:type="dxa"/>
          <w:left w:w="28" w:type="dxa"/>
          <w:bottom w:w="28" w:type="dxa"/>
          <w:right w:w="28" w:type="dxa"/>
        </w:tblCellMar>
      </w:tblPr>
      <w:tblGrid>
        <w:gridCol w:w="1784"/>
        <w:gridCol w:w="1516"/>
        <w:gridCol w:w="1527"/>
        <w:gridCol w:w="288"/>
        <w:gridCol w:w="259"/>
        <w:gridCol w:w="241"/>
        <w:gridCol w:w="241"/>
        <w:gridCol w:w="241"/>
        <w:gridCol w:w="241"/>
        <w:gridCol w:w="497"/>
        <w:gridCol w:w="271"/>
        <w:gridCol w:w="241"/>
        <w:gridCol w:w="109"/>
        <w:gridCol w:w="109"/>
        <w:gridCol w:w="109"/>
        <w:gridCol w:w="376"/>
        <w:gridCol w:w="251"/>
        <w:gridCol w:w="217"/>
        <w:gridCol w:w="217"/>
        <w:gridCol w:w="217"/>
        <w:gridCol w:w="217"/>
        <w:gridCol w:w="440"/>
        <w:gridCol w:w="281"/>
        <w:gridCol w:w="315"/>
      </w:tblGrid>
      <w:tr>
        <w:trPr/>
        <w:tc>
          <w:tcPr>
            <w:tcW w:w="178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4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4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4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and PSUs subject to future vesting</w:t>
            </w:r>
          </w:p>
        </w:tc>
        <w:tc>
          <w:tcPr>
            <w:tcW w:w="5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35,672 </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common stock issuable from stock options</w:t>
            </w:r>
          </w:p>
        </w:tc>
        <w:tc>
          <w:tcPr>
            <w:tcW w:w="5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purchase rights under the Employee Stock Purchase Plan</w:t>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common shares excluded from diluted net income (loss) per share</w:t>
            </w:r>
          </w:p>
        </w:tc>
        <w:tc>
          <w:tcPr>
            <w:tcW w:w="547"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41,747 </w:t>
            </w:r>
          </w:p>
        </w:tc>
        <w:tc>
          <w:tcPr>
            <w:tcW w:w="2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2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41,747 </w:t>
            </w:r>
          </w:p>
        </w:tc>
        <w:tc>
          <w:tcPr>
            <w:tcW w:w="3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Founders holdbacks related to business combinations, where a variable number of shares will be issued upon vesting to settle a fixed monetary amount of $42.3 million, are contingent upon continued employment with the Company. The share price will be determined based on the Company’s average stock price or the volume weighted average stock price five days prior to each vesting date. During the three and six months ended July 31, 2026, 9,224 and 23,192 shares were issued to settle founders holdbacks at a weighted average price of $166.31 and $132.29 per share, respectively.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July 31, 2026, the above table excludes 1,357,459 outstanding shares of in progress PSUs where pre-defined targets have not yet been achieved.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14. Segment Information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CrowdStrike’s Chief Operating Decision Maker (“CODM”), the Chief Executive Officer, manages the Company’s business activities as a single operating and reportable segment at the consolidated level. Accordingly, the CODM uses consolidated net income (loss) to measure segment profit or loss, evaluate financial performance, and allocate resources. Consolidated net income (loss) is evaluated on a monthly basis by comparing actual results against budgeted or forecasted net income (loss), facilitating the analysis of the Company’s financial trends.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Significant expenses within net income (loss) include cost of revenue for subscription and professional services, sales and marketing expenses, research and development expenses, and general and administrative expenses. Other segment items within net income (loss) include interest expense, interest income, other income (expense), net, and provision for income taxes, which are each separately disclosed and presented in the condensed consolidated statements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property and equipment, net and operating lease right-of-use assets are summarized by geographic area as follows (in thousands):</w:t>
      </w:r>
    </w:p>
    <w:tbl>
      <w:tblPr>
        <w:tblW w:w="9106" w:type="dxa"/>
        <w:jc w:val="left"/>
        <w:tblInd w:w="0" w:type="dxa"/>
        <w:tblLayout w:type="fixed"/>
        <w:tblCellMar>
          <w:top w:w="28" w:type="dxa"/>
          <w:left w:w="28" w:type="dxa"/>
          <w:bottom w:w="28" w:type="dxa"/>
          <w:right w:w="28" w:type="dxa"/>
        </w:tblCellMar>
      </w:tblPr>
      <w:tblGrid>
        <w:gridCol w:w="2181"/>
        <w:gridCol w:w="1912"/>
        <w:gridCol w:w="1921"/>
        <w:gridCol w:w="211"/>
        <w:gridCol w:w="976"/>
        <w:gridCol w:w="109"/>
        <w:gridCol w:w="109"/>
        <w:gridCol w:w="109"/>
        <w:gridCol w:w="109"/>
        <w:gridCol w:w="231"/>
        <w:gridCol w:w="1070"/>
        <w:gridCol w:w="168"/>
      </w:tblGrid>
      <w:tr>
        <w:trPr/>
        <w:tc>
          <w:tcPr>
            <w:tcW w:w="2181"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31, 2026</w:t>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1,050,688 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855,312 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106,657 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 and operating lease right-of-use assets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1,243,240 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1,046,191 </w:t>
            </w:r>
          </w:p>
        </w:tc>
        <w:tc>
          <w:tcPr>
            <w:tcW w:w="16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10 for additional information about the Company’s revenue by geographic region.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15. Strategic Plan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6, 2025, the Company announced a strategic plan (the “Strategic Plan”) to evolve its operations to yield greater efficiencies as the Company continues to scale its business with focus and discipline to meet its goals. The Strategic Plan resulted in a reduction of roles representing approximately 500 positions, or 5%, of the Company’s global workforce.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actions associated with the Strategic Plan were completed as of July 31, 2026.</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charges related to the Strategic Plan during the three and six months ended July 31, 2026.</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Charges related to the Strategic Plan included in the condensed consolidated statements of operations during the three and six months ended July 31, 2025 were as follows (in thousands):</w:t>
      </w:r>
    </w:p>
    <w:tbl>
      <w:tblPr>
        <w:tblW w:w="9870" w:type="dxa"/>
        <w:jc w:val="left"/>
        <w:tblInd w:w="0" w:type="dxa"/>
        <w:tblLayout w:type="fixed"/>
        <w:tblCellMar>
          <w:top w:w="28" w:type="dxa"/>
          <w:left w:w="28" w:type="dxa"/>
          <w:bottom w:w="28" w:type="dxa"/>
          <w:right w:w="28" w:type="dxa"/>
        </w:tblCellMar>
      </w:tblPr>
      <w:tblGrid>
        <w:gridCol w:w="1115"/>
        <w:gridCol w:w="978"/>
        <w:gridCol w:w="981"/>
        <w:gridCol w:w="620"/>
        <w:gridCol w:w="2120"/>
        <w:gridCol w:w="320"/>
        <w:gridCol w:w="109"/>
        <w:gridCol w:w="109"/>
        <w:gridCol w:w="109"/>
        <w:gridCol w:w="571"/>
        <w:gridCol w:w="1953"/>
        <w:gridCol w:w="295"/>
        <w:gridCol w:w="109"/>
        <w:gridCol w:w="109"/>
        <w:gridCol w:w="109"/>
        <w:gridCol w:w="109"/>
        <w:gridCol w:w="154"/>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cost of revenue</w:t>
            </w:r>
          </w:p>
        </w:tc>
        <w:tc>
          <w:tcPr>
            <w:tcW w:w="6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cost of revenue</w:t>
            </w:r>
          </w:p>
        </w:tc>
        <w:tc>
          <w:tcPr>
            <w:tcW w:w="2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8,723 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16,696 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12,678 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2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2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38,384 </w:t>
            </w:r>
          </w:p>
        </w:tc>
        <w:tc>
          <w:tcPr>
            <w:tcW w:w="32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45,005 </w:t>
            </w:r>
          </w:p>
        </w:tc>
        <w:tc>
          <w:tcPr>
            <w:tcW w:w="29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activities related to the Strategic Plan for the six months ended July 31, 2026 and July 31, 2025 (in thousands):</w:t>
      </w:r>
    </w:p>
    <w:tbl>
      <w:tblPr>
        <w:tblW w:w="10205" w:type="dxa"/>
        <w:jc w:val="left"/>
        <w:tblInd w:w="0" w:type="dxa"/>
        <w:tblLayout w:type="fixed"/>
        <w:tblCellMar>
          <w:top w:w="28" w:type="dxa"/>
          <w:left w:w="28" w:type="dxa"/>
          <w:bottom w:w="28" w:type="dxa"/>
          <w:right w:w="28" w:type="dxa"/>
        </w:tblCellMar>
      </w:tblPr>
      <w:tblGrid>
        <w:gridCol w:w="458"/>
        <w:gridCol w:w="362"/>
        <w:gridCol w:w="363"/>
        <w:gridCol w:w="109"/>
        <w:gridCol w:w="109"/>
        <w:gridCol w:w="109"/>
        <w:gridCol w:w="109"/>
        <w:gridCol w:w="109"/>
        <w:gridCol w:w="109"/>
        <w:gridCol w:w="331"/>
        <w:gridCol w:w="686"/>
        <w:gridCol w:w="184"/>
        <w:gridCol w:w="109"/>
        <w:gridCol w:w="109"/>
        <w:gridCol w:w="109"/>
        <w:gridCol w:w="373"/>
        <w:gridCol w:w="773"/>
        <w:gridCol w:w="208"/>
        <w:gridCol w:w="109"/>
        <w:gridCol w:w="109"/>
        <w:gridCol w:w="109"/>
        <w:gridCol w:w="196"/>
        <w:gridCol w:w="406"/>
        <w:gridCol w:w="109"/>
        <w:gridCol w:w="109"/>
        <w:gridCol w:w="109"/>
        <w:gridCol w:w="109"/>
        <w:gridCol w:w="273"/>
        <w:gridCol w:w="776"/>
        <w:gridCol w:w="153"/>
        <w:gridCol w:w="109"/>
        <w:gridCol w:w="109"/>
        <w:gridCol w:w="109"/>
        <w:gridCol w:w="373"/>
        <w:gridCol w:w="773"/>
        <w:gridCol w:w="208"/>
        <w:gridCol w:w="109"/>
        <w:gridCol w:w="109"/>
        <w:gridCol w:w="109"/>
        <w:gridCol w:w="196"/>
        <w:gridCol w:w="556"/>
        <w:gridCol w:w="159"/>
      </w:tblGrid>
      <w:tr>
        <w:trPr/>
        <w:tc>
          <w:tcPr>
            <w:tcW w:w="45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2025</w:t>
            </w:r>
          </w:p>
        </w:tc>
        <w:tc>
          <w:tcPr>
            <w:tcW w:w="2919" w:type="dxa"/>
            <w:gridSpan w:val="12"/>
            <w:tcBorders/>
          </w:tcPr>
          <w:p>
            <w:pPr>
              <w:pStyle w:val="TableContents"/>
              <w:bidi w:val="0"/>
              <w:spacing w:before="0" w:after="283"/>
              <w:jc w:val="left"/>
              <w:rPr>
                <w:sz w:val="4"/>
                <w:szCs w:val="4"/>
              </w:rPr>
            </w:pPr>
            <w:r>
              <w:rPr>
                <w:sz w:val="4"/>
                <w:szCs w:val="4"/>
              </w:rPr>
            </w:r>
          </w:p>
        </w:tc>
      </w:tr>
      <w:tr>
        <w:trPr/>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Severance and 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Non-Employee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Severance and 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Non-Employee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Charges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37,983 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7,022 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(17,901)</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(17,901)</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was no liability associated with the Strategic Plan as of July 31, 2026. As of July 31, 2025, the liability associated with the Strategic Plan is included in accrued payroll and benefits and accounts payable on the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16. Share Repurchases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3, 2025, the Company announced that its board of directors approved a share repurchase program for the repurchase of up to $1.0 billion of the Company’s Class A common stock (the “Share Repurchase Program”). On April 6, 2026, the Company announced that its board of directors authorized the repurchase of up to an additional $500.0 million of the Company’s Class A common stock, bringing the total authorization under the Share Repurchase Program to $1.5 billion. The Share Repurchase Program does not have a fixed expiration date and does not obligate the Company to acquire any specific number of shares. The Company may repurchase shares of Class A common stock from time to time using a variety of methods, including through open market purchases, privately negotiated transactions, and other means, including through the use of trading plans intended to qualify under Rule 10b5-1 under the Exchange Act.</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timing, manner, price, and amount of any repurchases will be determined by the Company at its discretion and will depend on a variety of factors, including legal requirements, price, and economic and market conditions. No repurchases were made under the Share Repurchase Program during the three months ended July 31, 2026. As of July 31, 2026, $1.3 billion remained available for future share repurchases under the Share Repurchase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shares repurchased and subsequently retired (in thousands):</w:t>
      </w:r>
    </w:p>
    <w:tbl>
      <w:tblPr>
        <w:tblW w:w="8605" w:type="dxa"/>
        <w:jc w:val="left"/>
        <w:tblInd w:w="0" w:type="dxa"/>
        <w:tblLayout w:type="fixed"/>
        <w:tblCellMar>
          <w:top w:w="28" w:type="dxa"/>
          <w:left w:w="28" w:type="dxa"/>
          <w:bottom w:w="28" w:type="dxa"/>
          <w:right w:w="28" w:type="dxa"/>
        </w:tblCellMar>
      </w:tblPr>
      <w:tblGrid>
        <w:gridCol w:w="728"/>
        <w:gridCol w:w="639"/>
        <w:gridCol w:w="643"/>
        <w:gridCol w:w="241"/>
        <w:gridCol w:w="241"/>
        <w:gridCol w:w="241"/>
        <w:gridCol w:w="241"/>
        <w:gridCol w:w="241"/>
        <w:gridCol w:w="241"/>
        <w:gridCol w:w="468"/>
        <w:gridCol w:w="900"/>
        <w:gridCol w:w="241"/>
        <w:gridCol w:w="109"/>
        <w:gridCol w:w="109"/>
        <w:gridCol w:w="109"/>
        <w:gridCol w:w="308"/>
        <w:gridCol w:w="308"/>
        <w:gridCol w:w="241"/>
        <w:gridCol w:w="169"/>
        <w:gridCol w:w="169"/>
        <w:gridCol w:w="169"/>
        <w:gridCol w:w="327"/>
        <w:gridCol w:w="1283"/>
        <w:gridCol w:w="239"/>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 2026</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Shares </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Amount </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 repurchases </w:t>
            </w:r>
          </w:p>
        </w:tc>
        <w:tc>
          <w:tcPr>
            <w:tcW w:w="4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175,622 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 repurchases</w:t>
            </w:r>
          </w:p>
        </w:tc>
        <w:tc>
          <w:tcPr>
            <w:tcW w:w="482"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2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175,622 </w:t>
            </w:r>
          </w:p>
        </w:tc>
        <w:tc>
          <w:tcPr>
            <w:tcW w:w="23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17. Revision of Prior Period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discussed in Note 1, during the fourth quarter of the fiscal year ended January 31, 2026, the Company identified an immaterial error related to the timing of recognition of stock-based compensation expense in prior periods associated with certain awards granted in the fiscal years ended January 31, 2022 and 2023. To correct the immaterial error, the Company revised its previously issued unaudited Condensed Consolidated Financial Statements as of and for the three and six months ended July 31, 2025.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reflect the impacts of the revision to the previously filed financial statements for the three and six months ended July 31, 2025 (in thousands, except per share data):</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Consolidated Statements of Stockholders’ Equity </w:t>
      </w:r>
    </w:p>
    <w:tbl>
      <w:tblPr>
        <w:tblW w:w="9031" w:type="dxa"/>
        <w:jc w:val="left"/>
        <w:tblInd w:w="0" w:type="dxa"/>
        <w:tblLayout w:type="fixed"/>
        <w:tblCellMar>
          <w:top w:w="28" w:type="dxa"/>
          <w:left w:w="28" w:type="dxa"/>
          <w:bottom w:w="28" w:type="dxa"/>
          <w:right w:w="28" w:type="dxa"/>
        </w:tblCellMar>
      </w:tblPr>
      <w:tblGrid>
        <w:gridCol w:w="689"/>
        <w:gridCol w:w="606"/>
        <w:gridCol w:w="610"/>
        <w:gridCol w:w="637"/>
        <w:gridCol w:w="3074"/>
        <w:gridCol w:w="354"/>
        <w:gridCol w:w="109"/>
        <w:gridCol w:w="109"/>
        <w:gridCol w:w="109"/>
        <w:gridCol w:w="225"/>
        <w:gridCol w:w="760"/>
        <w:gridCol w:w="126"/>
        <w:gridCol w:w="109"/>
        <w:gridCol w:w="109"/>
        <w:gridCol w:w="109"/>
        <w:gridCol w:w="196"/>
        <w:gridCol w:w="94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July 31, 2025</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previously reported, adjusted for the Stock Split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revised</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5,016,167 </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5,045,135 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6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(1,265,989)</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(1,294,957)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Consolidated Statements of Operations</w:t>
      </w:r>
    </w:p>
    <w:tbl>
      <w:tblPr>
        <w:tblW w:w="10205" w:type="dxa"/>
        <w:jc w:val="left"/>
        <w:tblInd w:w="0" w:type="dxa"/>
        <w:tblLayout w:type="fixed"/>
        <w:tblCellMar>
          <w:top w:w="28" w:type="dxa"/>
          <w:left w:w="28" w:type="dxa"/>
          <w:bottom w:w="28" w:type="dxa"/>
          <w:right w:w="28" w:type="dxa"/>
        </w:tblCellMar>
      </w:tblPr>
      <w:tblGrid>
        <w:gridCol w:w="800"/>
        <w:gridCol w:w="637"/>
        <w:gridCol w:w="639"/>
        <w:gridCol w:w="217"/>
        <w:gridCol w:w="818"/>
        <w:gridCol w:w="121"/>
        <w:gridCol w:w="109"/>
        <w:gridCol w:w="109"/>
        <w:gridCol w:w="109"/>
        <w:gridCol w:w="225"/>
        <w:gridCol w:w="655"/>
        <w:gridCol w:w="126"/>
        <w:gridCol w:w="109"/>
        <w:gridCol w:w="109"/>
        <w:gridCol w:w="109"/>
        <w:gridCol w:w="196"/>
        <w:gridCol w:w="736"/>
        <w:gridCol w:w="109"/>
        <w:gridCol w:w="109"/>
        <w:gridCol w:w="109"/>
        <w:gridCol w:w="109"/>
        <w:gridCol w:w="214"/>
        <w:gridCol w:w="836"/>
        <w:gridCol w:w="119"/>
        <w:gridCol w:w="109"/>
        <w:gridCol w:w="109"/>
        <w:gridCol w:w="109"/>
        <w:gridCol w:w="207"/>
        <w:gridCol w:w="683"/>
        <w:gridCol w:w="116"/>
        <w:gridCol w:w="109"/>
        <w:gridCol w:w="109"/>
        <w:gridCol w:w="109"/>
        <w:gridCol w:w="196"/>
        <w:gridCol w:w="760"/>
        <w:gridCol w:w="160"/>
      </w:tblGrid>
      <w:tr>
        <w:trPr/>
        <w:tc>
          <w:tcPr>
            <w:tcW w:w="80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July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July 31, 2025</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previously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revised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previously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revised</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 cost of revenue</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253,640 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496,014 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493,811 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Professional services cost of services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56,643 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310,283 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599,426 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596,426 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858,669 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1,672,960 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1,675,960 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886,641 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885,791 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680,797 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673,459 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343,157 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340,880 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971,648 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1,910,595 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1,900,130 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(112,979)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(237,635)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(224,170)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provision for income taxes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(71,674)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(161,561)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(148,096)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(77,645)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(188,638)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(175,173)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CrowdStrike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(77,675)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(187,882)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CrowdStrike common stockholders, adjusted for the Stock Split:</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was no impact to the consolidated statements of cash flows from operating activities, investing activities, or financing activities for any period. The impact to the consolidated statements of comprehensive income (loss) is limited to the impact to net loss as detailed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the condensed consolidated financial statements and related notes thereto included elsewhere in this Quarterly Report on Form 10-Q and our Annual Report on Form 10-K for the year ended January 31, 2026, filed with the SEC.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described under the heading Special Note Regarding Forward-Looking Statements following the Table of Contents of this Quarterly Report on Form 10-Q. As discussed in Note 1 and Note 17 to the unaudited Condensed Consolidated Financial Statements included in this report, the Company revised its previously issued unaudited Condensed Consolidated Financial Statements as of and for the three and six months ended July 31, 2025 to correct for an immaterial error discovered during the fourth quarter of fiscal 2026. The revisions are intended to ensure comparability across all periods reflected herein. You should review the disclosure under Part II, Item 1A, “Risk Factors” in this Quarterly Report on Form 10-Q for a discussion of important factors that could cause actual results to differ materially from the results described in or implied by the forward-looking statements contained in the following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Founded in 2011, we reinvented cybersecurity for the cloud era and transformed the way cybersecurity is delivered and experienced by customers. When we started CrowdStrike, cyberattackers had an asymmetric advantage over legacy cybersecurity products that could not keep pace with the rapid changes in adversary tactics. We took a fundamentally different approach to solve this problem with the AI-native CrowdStrike Falcon platform – the first, true cloud-native unified platform built with artificial intelligence (“AI”) at the core, capable of harnessing vast amounts of security and enterprise data to deliver highly modular solutions through a single lightweight sensor.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our approach has defined a new category called the Security Cloud, which has transformed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DevOps, IT assets, and configurations) to create actionable data, identify shifts in adversary tactics, and automatically prevent threats in real-time across our customer base. The more data that is fed into our Falcon platform, the more intelligent our Security Cloud becomes, and the more our customers benefit, creating a powerful network effect that increases the overall value we provide.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Our Go-To-Market Strategy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sell our Falcon platform via a partner-first subscription model to organizations of all sizes across multiple industries globally, including financial services, healthcare, manufacturing, retail, federal government, state and local governments, and education. We sell through our sales team supported by a robust partner ecosystem including resellers, MSSPs, system integrators, distributors, and cloud marketplace partners.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a land-and-expand sales strategy where customers start with any number of modules and can easily add capabilities over time. Our AI security advantage begins with our platform breadth and single sensor visibility — delivering unified protection across endpoints, cloud workloads, identities, SaaS environments, browsers, and the prompt and agentic interaction layer. One sensor, one console, one platform covering attack surfaces.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key component of our enterprise strategy is Falcon Flex, our enterprise licensing model that enables customers to commit to a broader platform investment upfront and draw down that commitment across multiple products over time. Falcon Flex is tailored to the customer environment, delivering full financial visibility with low friction procurement and the flexibility to shift spend across security domains as priorities evolve.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subscriptions are priced based on the unit of measure most relevant to each product, including per-endpoint, per-identity, per-cloud sensor, per-user, per-device, and per-gigabyte of daily ingestion.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Certain Factors Affecting Our Performance</w:t>
      </w:r>
    </w:p>
    <w:p>
      <w:pPr>
        <w:pStyle w:val="TextBody"/>
        <w:bidi w:val="0"/>
        <w:spacing w:lineRule="auto" w:line="288" w:before="240" w:after="283"/>
        <w:ind w:left="0" w:right="0" w:firstLine="360"/>
        <w:jc w:val="left"/>
        <w:rPr/>
      </w:pPr>
      <w:r>
        <w:rPr>
          <w:rFonts w:ascii="Times New Roman;serif" w:hAnsi="Times New Roman;serif"/>
          <w:b/>
          <w:i/>
          <w:color w:val="000000"/>
          <w:sz w:val="20"/>
        </w:rPr>
        <w:t>Adoption of Our Solutions</w:t>
      </w:r>
      <w:r>
        <w:rPr>
          <w:rFonts w:ascii="Times New Roman;serif" w:hAnsi="Times New Roman;serif"/>
          <w:b w:val="false"/>
          <w:i/>
          <w:color w:val="000000"/>
          <w:sz w:val="20"/>
        </w:rPr>
        <w:t>.</w:t>
      </w:r>
      <w:r>
        <w:rPr>
          <w:color w:val="000000"/>
        </w:rPr>
        <w:t> </w:t>
      </w:r>
      <w:r>
        <w:rPr>
          <w:rFonts w:ascii="Times New Roman;serif" w:hAnsi="Times New Roman;serif"/>
          <w:b w:val="false"/>
          <w:color w:val="000000"/>
          <w:sz w:val="20"/>
        </w:rPr>
        <w:t>We believe our future success depends in large part on the growth in the market for cloud-based SaaS-delivered endpoint security solutions. Many organizations have not yet abandoned the on-premise legacy products in which they have invested substantial personnel and financial resources to design and maintain. As a result, it is difficult to predict customer adoption rates and demand for our cloud-based solutions.</w:t>
      </w:r>
    </w:p>
    <w:p>
      <w:pPr>
        <w:pStyle w:val="TextBody"/>
        <w:bidi w:val="0"/>
        <w:spacing w:lineRule="auto" w:line="288" w:before="240" w:after="283"/>
        <w:ind w:left="0" w:right="0" w:firstLine="360"/>
        <w:jc w:val="left"/>
        <w:rPr/>
      </w:pPr>
      <w:r>
        <w:rPr>
          <w:rFonts w:ascii="Times New Roman;serif" w:hAnsi="Times New Roman;serif"/>
          <w:b/>
          <w:i/>
          <w:color w:val="000000"/>
          <w:sz w:val="20"/>
        </w:rPr>
        <w:t>New Customer Acquisition</w:t>
      </w:r>
      <w:r>
        <w:rPr>
          <w:rFonts w:ascii="Times New Roman;serif" w:hAnsi="Times New Roman;serif"/>
          <w:b w:val="false"/>
          <w:i/>
          <w:color w:val="000000"/>
          <w:sz w:val="20"/>
        </w:rPr>
        <w:t>. </w:t>
      </w:r>
      <w:r>
        <w:rPr>
          <w:rFonts w:ascii="Times New Roman;serif" w:hAnsi="Times New Roman;serif"/>
          <w:b w:val="false"/>
          <w:color w:val="000000"/>
          <w:sz w:val="20"/>
        </w:rPr>
        <w:t>Our future growth depends in large part on our ability to acquire new customers. If our efforts to attract new customers are not successful, our revenue and rate of 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pStyle w:val="TextBody"/>
        <w:bidi w:val="0"/>
        <w:spacing w:lineRule="auto" w:line="288" w:before="240" w:after="283"/>
        <w:ind w:left="0" w:right="0" w:firstLine="360"/>
        <w:jc w:val="left"/>
        <w:rPr/>
      </w:pPr>
      <w:r>
        <w:rPr>
          <w:rFonts w:ascii="Times New Roman;serif" w:hAnsi="Times New Roman;serif"/>
          <w:b/>
          <w:i/>
          <w:color w:val="000000"/>
          <w:sz w:val="20"/>
        </w:rPr>
        <w:t>Maintain Customer Retention and Increase Sales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Our ability to increase revenue depends in large part on our ability to retain our existing customers and increase the size of their subscriptions. We focus on increasing sales to our existing customers by expanding their deployments to more endpoints and selling additional cloud modules for increased functionality. Over time we have transitioned our platform from a single offering into highly-integrated offerings of multiple cloud modules. </w:t>
      </w:r>
    </w:p>
    <w:p>
      <w:pPr>
        <w:pStyle w:val="TextBody"/>
        <w:bidi w:val="0"/>
        <w:spacing w:lineRule="auto" w:line="288" w:before="240" w:after="283"/>
        <w:ind w:left="0" w:right="0" w:firstLine="360"/>
        <w:jc w:val="left"/>
        <w:rPr/>
      </w:pPr>
      <w:r>
        <w:rPr>
          <w:rFonts w:ascii="Times New Roman;serif" w:hAnsi="Times New Roman;serif"/>
          <w:b/>
          <w:i/>
          <w:color w:val="000000"/>
          <w:sz w:val="20"/>
        </w:rPr>
        <w:t>Invest in Growth</w:t>
      </w:r>
      <w:r>
        <w:rPr>
          <w:rFonts w:ascii="Times New Roman;serif" w:hAnsi="Times New Roman;serif"/>
          <w:b w:val="false"/>
          <w:i/>
          <w:color w:val="000000"/>
          <w:sz w:val="20"/>
        </w:rPr>
        <w:t>.</w:t>
      </w:r>
      <w:r>
        <w:rPr>
          <w:color w:val="000000"/>
        </w:rPr>
        <w:t> </w:t>
      </w:r>
      <w:r>
        <w:rPr>
          <w:rFonts w:ascii="Times New Roman;serif" w:hAnsi="Times New Roman;serif"/>
          <w:b w:val="false"/>
          <w:color w:val="000000"/>
          <w:sz w:val="20"/>
        </w:rPr>
        <w:t>We believe that our market opportunity is large and requires us to continue to invest significantly in sales and marketing efforts to further grow our customer base, both 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w:t>
      </w:r>
    </w:p>
    <w:p>
      <w:pPr>
        <w:pStyle w:val="TextBody"/>
        <w:bidi w:val="0"/>
        <w:spacing w:lineRule="auto" w:line="288" w:before="240" w:after="283"/>
        <w:ind w:left="0" w:right="0" w:firstLine="360"/>
        <w:jc w:val="left"/>
        <w:rPr/>
      </w:pPr>
      <w:r>
        <w:rPr>
          <w:rFonts w:ascii="Times New Roman;serif" w:hAnsi="Times New Roman;serif"/>
          <w:b/>
          <w:i/>
          <w:color w:val="000000"/>
          <w:sz w:val="20"/>
        </w:rPr>
        <w:t>July 19 Incident</w:t>
      </w:r>
      <w:r>
        <w:rPr>
          <w:rFonts w:ascii="Times New Roman;serif" w:hAnsi="Times New Roman;serif"/>
          <w:b w:val="false"/>
          <w:color w:val="000000"/>
          <w:sz w:val="20"/>
        </w:rPr>
        <w:t>. On July 19, 2024, we released a content configuration update for our Falcon sensor that resulted in system crashes for certain Windows systems (the “July 19 Incident”). As a result of the July 19 Incident, we are subject to lawsuits, claims and inquiries as described in Note 11, “Commitments and Contingencies,” to our condensed consolidated financial statements in Part I, Item 1 of this Quarterly Report on Form 10-Q. We have incurred, and expect to continue to incur, significant legal and professional services and other general and administrative expenses associated with the July 19 Incident in future periods. It is not reasonably possible to quantify the precise impact of the July 19 Incident, but the incident has adversely affected our results of operations, and we currently expect a number of factors relating to the incident to adversely affect our key metrics and results of operations in future periods. While we have maintained high dollar-based gross retention rates following the incident, we have experienced delays in creating sales opportunities and longer sales cycles, including delays in customer purchasing decisions. Sales cycles may be elongated in future periods. In addition, because our customers typically sign contracts with terms over one year, customer churn and any corresponding impact to our key metrics and revenue may occur in future periods. Customer commitment packages introduced following the July 19 Incident have included discounting, additional modules, professional services, flexible payment terms or subscription period extensions. Our customer commitment packages have resulted, and are expected to continue to result, in increased contraction, due to elongated subscription terms, and decreased upsell dollar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Key Metrics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monitor the following key metrics to help us evaluate our business, identify trends affecting our business, formulate business plans, and make strategic decisions.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Annual Recurring Revenue (“ARR”)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organization for a new subscription or renewal, or until such organization notifies us that it is not renewing its subscription.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ARR as of the dates presented (dollars in thousands):</w:t>
      </w:r>
    </w:p>
    <w:tbl>
      <w:tblPr>
        <w:tblW w:w="5478" w:type="dxa"/>
        <w:jc w:val="left"/>
        <w:tblInd w:w="0" w:type="dxa"/>
        <w:tblLayout w:type="fixed"/>
        <w:tblCellMar>
          <w:top w:w="28" w:type="dxa"/>
          <w:left w:w="28" w:type="dxa"/>
          <w:bottom w:w="28" w:type="dxa"/>
          <w:right w:w="28" w:type="dxa"/>
        </w:tblCellMar>
      </w:tblPr>
      <w:tblGrid>
        <w:gridCol w:w="793"/>
        <w:gridCol w:w="696"/>
        <w:gridCol w:w="701"/>
        <w:gridCol w:w="211"/>
        <w:gridCol w:w="976"/>
        <w:gridCol w:w="271"/>
        <w:gridCol w:w="109"/>
        <w:gridCol w:w="109"/>
        <w:gridCol w:w="109"/>
        <w:gridCol w:w="211"/>
        <w:gridCol w:w="976"/>
        <w:gridCol w:w="316"/>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July 31,</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recurring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5,841,421 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4,656,682 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Year-over-year growth</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ARR grew to $5.8 billion as of July 31, 2026, of which $332.8 million and $588.6 million was net new ARR added for the three and six months ended July 31, 2026, respectively. ARR grew to $4.7 billion as of July 31, 2025, of which $221.1 million and $414.8 million was net new ARR added for the three and six months ended July 31, 2025, respectively. </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Dollar-Based Net Retention Rate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 For the purposes of calculating our dollar-based net retention rate, we define a subscription customer as a separate legal entity that has entered into a distinct subscription agreement for access to our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dollar-based net retention rate improved sequentially as of July 31, 2026. Our dollar-based net retention rate can fluctuate from period to period due to large customer contracts in a given period and incentives provided, which may reduce our dollar-based net retention rate in subsequent periods. In addition, if our customers are not able to fully utilize their product subscriptions (including in connection with our flexible subscription offering), we may experience increased contraction as such customers may elect to renew with shorter subscription periods, fewer cloud modules, fewer endpoints or smaller contract values, which may reduce our dollar-based net retention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 xml:space="preserve">Subscription Revenue. </w:t>
      </w:r>
      <w:r>
        <w:rPr>
          <w:rFonts w:ascii="Times New Roman;serif" w:hAnsi="Times New Roman;serif"/>
          <w:b w:val="false"/>
          <w:color w:val="000000"/>
          <w:sz w:val="20"/>
        </w:rPr>
        <w:t>Subscription revenue primarily consists of subscription fees for our Falcon platform and additional cloud modules that are supported by our cloud-based platform. 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We generally invoice our subscription customers at the beginning of the subscription term, or in some instances, such as in multi-year arrangements, in installments. Consequently, a substantial portion of the revenue that we report in each period is attributable to the recognition of deferred revenue relating to subscriptions that we entered into during previous periods.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 xml:space="preserve">Professional Services Revenue. </w:t>
      </w:r>
      <w:r>
        <w:rPr>
          <w:rFonts w:ascii="Times New Roman;serif" w:hAnsi="Times New Roman;serif"/>
          <w:b w:val="false"/>
          <w:color w:val="000000"/>
          <w:sz w:val="20"/>
        </w:rPr>
        <w:t>Professional services revenue includes incident response and proactive services, forensic and malware analysis, attribution analysis, operationalizing the Falcon Platform, residency program, and active defense services. Professional services are 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Fixed fee contracts account for an immaterial portion of our revenue.</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 xml:space="preserve">Subscription Cost of Revenue. </w:t>
      </w:r>
      <w:r>
        <w:rPr>
          <w:rFonts w:ascii="Times New Roman;serif" w:hAnsi="Times New Roman;serif"/>
          <w:b w:val="false"/>
          <w:color w:val="000000"/>
          <w:sz w:val="20"/>
        </w:rPr>
        <w:t>Subscription cost of revenue consists primarily of costs related to hosting our cloud-based Falcon platform in data centers, amortization of our capitalized internal-use software, employee-related 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Professional Services Cost of Revenue. </w:t>
      </w:r>
      <w:r>
        <w:rPr>
          <w:rFonts w:ascii="Times New Roman;serif" w:hAnsi="Times New Roman;serif"/>
          <w:b w:val="false"/>
          <w:color w:val="000000"/>
          <w:sz w:val="20"/>
        </w:rPr>
        <w:t>Professional services cost of revenue consists primarily of employee-related costs, such as salaries and bonuses, stock-based compensation expense, consulting expense, and an allocated portion of facilities and administrative costs.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as we grow our business,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 sales and marketing, research and development, and general and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other administrative functions.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pPr>
      <w:r>
        <w:rPr>
          <w:rFonts w:ascii="Times New Roman;serif" w:hAnsi="Times New Roman;serif"/>
          <w:b w:val="false"/>
          <w:i/>
          <w:color w:val="000000"/>
          <w:sz w:val="20"/>
        </w:rPr>
        <w:t>Sales and Marketing. </w:t>
      </w:r>
      <w:r>
        <w:rPr>
          <w:rFonts w:ascii="Times New Roman;serif" w:hAnsi="Times New Roman;serif"/>
          <w:b w:val="false"/>
          <w:color w:val="000000"/>
          <w:sz w:val="20"/>
        </w:rPr>
        <w:t>Sales and marketing expenses primarily consist of employee-related expenses such as salaries, commissions, and bonuses. Sales and marketing expenses also include stock-based compensation; expenses related to our marketing programs; and an allocated portion of facilities and administrative expenses. Sales and marketing expenses also include the amortization of deferred contract acquisition costs, which includes commissions and any other incremental payments made upon the initial acquisition of a subscription or upsells to existing customers, which are capitalized and amortized over the estimated customer life. We also capitalize and amortize any such expenses paid for the renewal of a subscription over the term of the renewal.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expenses to decrease as a percentage of our total revenue over time as we grow our business, although our sales and marketing expenses may fluctuate as a percentage of our total revenue from period to period depending on the timing of these expenses.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Research and Development. </w:t>
      </w:r>
      <w:r>
        <w:rPr>
          <w:rFonts w:ascii="Times New Roman;serif" w:hAnsi="Times New Roman;serif"/>
          <w:b w:val="false"/>
          <w:color w:val="000000"/>
          <w:sz w:val="20"/>
        </w:rPr>
        <w:t>Research and development expenses primarily consist of employee-related expenses such as salaries and bonuses; stock-based compensation; cloud hosting and related costs;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as we grow our business, although our research and development expenses may fluctuate as a percentage of our total revenue from period to period depending on the timing of these expenses.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General and Administrative. </w:t>
      </w:r>
      <w:r>
        <w:rPr>
          <w:rFonts w:ascii="Times New Roman;serif" w:hAnsi="Times New Roman;serif"/>
          <w:b w:val="false"/>
          <w:color w:val="000000"/>
          <w:sz w:val="20"/>
        </w:rPr>
        <w:t>General and administrative expenses consist of employee-related expenses such as salaries and bonuses; stock-based compensation; and related expenses for our executive, finance, human resources, and legal organizations. In addition, general and administrative expenses include outside legal, accounting, and other professional fees; and an allocated portion of facilities and administrative expenses.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general and administrative expenses to increase in dollar amount over time. We expect to incur significant legal and professional services and other expenses associated with the July 19 Incident and related matters in future periods. General and administrative expenses may fluctuate as a percentage of our total revenue from period to period depending on the timing of these expenses.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Interest Expense.</w:t>
      </w:r>
      <w:r>
        <w:rPr>
          <w:color w:val="000000"/>
        </w:rPr>
        <w:t xml:space="preserve"> </w:t>
      </w:r>
      <w:r>
        <w:rPr>
          <w:rFonts w:ascii="Times New Roman;serif" w:hAnsi="Times New Roman;serif"/>
          <w:b w:val="false"/>
          <w:color w:val="000000"/>
          <w:sz w:val="20"/>
        </w:rPr>
        <w:t>Interest expense consists primarily of amortization of debt issuance costs and contractual interest expense for our Senior Notes issued in January 2021.</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 xml:space="preserve">Interest Income. </w:t>
      </w:r>
      <w:r>
        <w:rPr>
          <w:rFonts w:ascii="Times New Roman;serif" w:hAnsi="Times New Roman;serif"/>
          <w:b w:val="false"/>
          <w:color w:val="000000"/>
          <w:sz w:val="20"/>
        </w:rPr>
        <w:t xml:space="preserve">Interest income consists primarily of income earned on our cash and cash equivalents. </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Other income (expense), net consists primarily of gains and losses on strategic investments and foreign currency transaction gains and losses.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Provision (Benefit) for Income Taxes. </w:t>
      </w:r>
      <w:r>
        <w:rPr>
          <w:rFonts w:ascii="Times New Roman;serif" w:hAnsi="Times New Roman;serif"/>
          <w:b w:val="false"/>
          <w:color w:val="000000"/>
          <w:sz w:val="20"/>
        </w:rPr>
        <w:t>Provision (benefit) for income taxes consists of income tax benefits recognized in the current period resulting from the realization of deferred tax assets in connection with recent acquisitions and excess tax benefits related to stock-based awards, partially offset by income taxes on earnings in jurisdictions in which we conduct business. We maintain a full valuation allowance on our U.S. federal and state and certain foreign deferred tax assets, including net operating loss carryforwards and tax credits, which we have determined are not realizable on a more-likely-than-not basis. We evaluate the need for a valuation allowance on a quarterly basis.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Net Income (Loss) Attributable to Non-controlling Interest</w:t>
      </w:r>
      <w:r>
        <w:rPr>
          <w:rFonts w:ascii="Times New Roman;serif" w:hAnsi="Times New Roman;serif"/>
          <w:b w:val="false"/>
          <w:color w:val="000000"/>
          <w:sz w:val="20"/>
        </w:rPr>
        <w:t>. Net income (loss) attributable to non-controlling interest consists of the Falcon Funds’ non-controlling interest share of gains and losses and interest income from our strategic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condensed consolidated statements of operations for each period presented (in thousands, except percentages):</w:t>
      </w:r>
    </w:p>
    <w:tbl>
      <w:tblPr>
        <w:tblW w:w="13088" w:type="dxa"/>
        <w:jc w:val="left"/>
        <w:tblInd w:w="0" w:type="dxa"/>
        <w:tblLayout w:type="fixed"/>
        <w:tblCellMar>
          <w:top w:w="28" w:type="dxa"/>
          <w:left w:w="28" w:type="dxa"/>
          <w:bottom w:w="28" w:type="dxa"/>
          <w:right w:w="28" w:type="dxa"/>
        </w:tblCellMar>
      </w:tblPr>
      <w:tblGrid>
        <w:gridCol w:w="564"/>
        <w:gridCol w:w="324"/>
        <w:gridCol w:w="328"/>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216"/>
        <w:gridCol w:w="220"/>
        <w:gridCol w:w="382"/>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282"/>
        <w:gridCol w:w="289"/>
        <w:gridCol w:w="382"/>
        <w:gridCol w:w="109"/>
        <w:gridCol w:w="109"/>
        <w:gridCol w:w="109"/>
        <w:gridCol w:w="109"/>
        <w:gridCol w:w="109"/>
        <w:gridCol w:w="109"/>
        <w:gridCol w:w="109"/>
        <w:gridCol w:w="109"/>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1,470,897 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1,168,952 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2,856,526 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2,272,386 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Subscription</w:t>
            </w:r>
            <w:r>
              <w:rPr>
                <w:color w:val="000000"/>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716,279 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596,426 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1,096,895 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860,401 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2,140,247 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1,675,960 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1,130,127 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965,858 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2,204,079 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1,900,130 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(2,506)</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CrowdStrike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(70,153)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(174,417)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our condensed consolidated statements of operations as a percentage of total revenue for the periods presented:</w:t>
      </w:r>
    </w:p>
    <w:tbl>
      <w:tblPr>
        <w:tblW w:w="10205" w:type="dxa"/>
        <w:jc w:val="left"/>
        <w:tblInd w:w="0" w:type="dxa"/>
        <w:tblLayout w:type="fixed"/>
        <w:tblCellMar>
          <w:top w:w="28" w:type="dxa"/>
          <w:left w:w="28" w:type="dxa"/>
          <w:bottom w:w="28" w:type="dxa"/>
          <w:right w:w="28" w:type="dxa"/>
        </w:tblCellMar>
      </w:tblPr>
      <w:tblGrid>
        <w:gridCol w:w="1646"/>
        <w:gridCol w:w="1443"/>
        <w:gridCol w:w="1455"/>
        <w:gridCol w:w="258"/>
        <w:gridCol w:w="208"/>
        <w:gridCol w:w="486"/>
        <w:gridCol w:w="195"/>
        <w:gridCol w:w="195"/>
        <w:gridCol w:w="195"/>
        <w:gridCol w:w="258"/>
        <w:gridCol w:w="208"/>
        <w:gridCol w:w="486"/>
        <w:gridCol w:w="109"/>
        <w:gridCol w:w="109"/>
        <w:gridCol w:w="109"/>
        <w:gridCol w:w="236"/>
        <w:gridCol w:w="230"/>
        <w:gridCol w:w="444"/>
        <w:gridCol w:w="179"/>
        <w:gridCol w:w="179"/>
        <w:gridCol w:w="179"/>
        <w:gridCol w:w="236"/>
        <w:gridCol w:w="230"/>
        <w:gridCol w:w="444"/>
        <w:gridCol w:w="109"/>
        <w:gridCol w:w="109"/>
        <w:gridCol w:w="109"/>
        <w:gridCol w:w="161"/>
      </w:tblGrid>
      <w:tr>
        <w:trPr/>
        <w:tc>
          <w:tcPr>
            <w:tcW w:w="1646"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CrowdStrike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Comparison of the Three Months Ended July 31, 2026 and 2025</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ind w:left="0" w:right="0" w:firstLine="360"/>
        <w:jc w:val="left"/>
        <w:rPr/>
      </w:pPr>
      <w:r>
        <w:rPr>
          <w:rFonts w:ascii="Times New Roman;serif" w:hAnsi="Times New Roman;serif"/>
          <w:b w:val="false"/>
          <w:color w:val="000000"/>
          <w:sz w:val="20"/>
        </w:rPr>
        <w:t>The following shows total revenue from subscriptions and professional services for the three months ended</w:t>
      </w:r>
      <w:r>
        <w:rPr>
          <w:color w:val="000000"/>
        </w:rPr>
        <w:t xml:space="preserve"> </w:t>
      </w:r>
      <w:r>
        <w:rPr>
          <w:rFonts w:ascii="Times New Roman;serif" w:hAnsi="Times New Roman;serif"/>
          <w:b w:val="false"/>
          <w:color w:val="000000"/>
          <w:sz w:val="20"/>
        </w:rPr>
        <w:t>July 31, 2026 as compared to the three months ended July 31, 2025 (in thousands, except percentages):</w:t>
      </w:r>
    </w:p>
    <w:tbl>
      <w:tblPr>
        <w:tblW w:w="7351" w:type="dxa"/>
        <w:jc w:val="left"/>
        <w:tblInd w:w="0" w:type="dxa"/>
        <w:tblLayout w:type="fixed"/>
        <w:tblCellMar>
          <w:top w:w="28" w:type="dxa"/>
          <w:left w:w="28" w:type="dxa"/>
          <w:bottom w:w="28" w:type="dxa"/>
          <w:right w:w="28" w:type="dxa"/>
        </w:tblCellMar>
      </w:tblPr>
      <w:tblGrid>
        <w:gridCol w:w="652"/>
        <w:gridCol w:w="573"/>
        <w:gridCol w:w="574"/>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80"/>
        <w:gridCol w:w="181"/>
        <w:gridCol w:w="472"/>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0" w:type="dxa"/>
            <w:gridSpan w:val="6"/>
            <w:tcBorders/>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1,102,945 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1,470,897 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1,168,952 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revenue increased by $301.9 million, or 26%, for the three months ended July 31, 2026 compared to the three months ended July 31, 2025. Subscription revenue accounted for 95% and 94% of total revenue for the three months ended July 31, 2026 and July 31, 2025, respectively. Professional services revenue accounted for 5% and 6% of our total revenue for the three months ended July 31, 2026 and July 31, 2025, respectively.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Subscription revenue increased by $297.3 million, or 27%, for the three months ended July 31, 2026 compared to the three months ended July 31, 2025, which was primarily driven by a combination of the addition of new customers and the sale of additional sensors and modules to existing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Professional services revenue increased by $4.6 million, or 7%, for the three months ended July 31, 2026, compared to the three months ended July 31, 2025, which was primarily attributable to an increase in the number of professional service hours.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 Gross Profit, and Gross Margin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cost of revenue related to subscriptions and professional services for the three months ended July 31, 2026 as compared to the three months ended July 31, 2025 (in thousands, except percentages):</w:t>
      </w:r>
    </w:p>
    <w:tbl>
      <w:tblPr>
        <w:tblW w:w="6977" w:type="dxa"/>
        <w:jc w:val="left"/>
        <w:tblInd w:w="0" w:type="dxa"/>
        <w:tblLayout w:type="fixed"/>
        <w:tblCellMar>
          <w:top w:w="28" w:type="dxa"/>
          <w:left w:w="28" w:type="dxa"/>
          <w:bottom w:w="28" w:type="dxa"/>
          <w:right w:w="28" w:type="dxa"/>
        </w:tblCellMar>
      </w:tblPr>
      <w:tblGrid>
        <w:gridCol w:w="663"/>
        <w:gridCol w:w="583"/>
        <w:gridCol w:w="58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472"/>
      </w:tblGrid>
      <w:tr>
        <w:trPr/>
        <w:tc>
          <w:tcPr>
            <w:tcW w:w="66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60" w:type="dxa"/>
            <w:gridSpan w:val="6"/>
            <w:tcBorders/>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cost of revenue increased by $65.5 million, or 21%, for the three months ended July 31, 2026 compared to the three months ended July 31, 2025. Subscription cost of revenue increased by $58.2 million, or 23%, for the three months ended July 31, 2026, compared to the three months ended July 31, 2025. The increase in subscription cost of revenue was primarily due to an increase in cloud hosting and related services costs of $13.9 million, an increase in depreciation of data center equipment of $10.4 million, an increase in employee-related expenses of $9.4 million driven by a 9% increase in average headcount, an increase in stock-based compensation expense of $6.9 million, an increase in allocated overhead costs of $5.6 million, an increase in employee benefits of $4.0 million, an increase in amortization of internal-use software of $3.8 million, and an increase in term-based software licenses of $1.6 million, partially offset by a decrease in charges related to the Strategic Plan of $3.6 million.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Professional services cost of revenue increased by $7.2 million, or 13%, for the three months ended July 31, 2026, compared to the three months ended July 31, 2025. The increase in professional services cost of revenue was primarily due to an increase in employee-related expenses of $5.6 million driven by a 12% increase in average headcount, an increase in stock-based compensation expense of $4.1 million, an increase in allocated overhead costs of $1.7 million, and an increase in employee benefits of $1.0 million, partially offset by a decrease in charges related to the Strategic Plan of $3.3 million and a decrease in consulting expenses of $2.3 million.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gross profit and gross margin for subscriptions and professional services for the three months ended July 31, 2026 as compared to the three months ended July 31, 2025 (in thousands, except percentages):</w:t>
      </w:r>
    </w:p>
    <w:tbl>
      <w:tblPr>
        <w:tblW w:w="8235" w:type="dxa"/>
        <w:jc w:val="left"/>
        <w:tblInd w:w="0" w:type="dxa"/>
        <w:tblLayout w:type="fixed"/>
        <w:tblCellMar>
          <w:top w:w="28" w:type="dxa"/>
          <w:left w:w="28" w:type="dxa"/>
          <w:bottom w:w="28" w:type="dxa"/>
          <w:right w:w="28" w:type="dxa"/>
        </w:tblCellMar>
      </w:tblPr>
      <w:tblGrid>
        <w:gridCol w:w="1000"/>
        <w:gridCol w:w="878"/>
        <w:gridCol w:w="881"/>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6"/>
        <w:gridCol w:w="219"/>
        <w:gridCol w:w="472"/>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234" w:type="dxa"/>
            <w:gridSpan w:val="6"/>
            <w:tcBorders/>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gross profit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1,096,895 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860,401 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598" w:type="dxa"/>
        <w:jc w:val="left"/>
        <w:tblInd w:w="0" w:type="dxa"/>
        <w:tblLayout w:type="fixed"/>
        <w:tblCellMar>
          <w:top w:w="28" w:type="dxa"/>
          <w:left w:w="28" w:type="dxa"/>
          <w:bottom w:w="28" w:type="dxa"/>
          <w:right w:w="28" w:type="dxa"/>
        </w:tblCellMar>
      </w:tblPr>
      <w:tblGrid>
        <w:gridCol w:w="1044"/>
        <w:gridCol w:w="916"/>
        <w:gridCol w:w="919"/>
        <w:gridCol w:w="216"/>
        <w:gridCol w:w="216"/>
        <w:gridCol w:w="539"/>
        <w:gridCol w:w="216"/>
        <w:gridCol w:w="216"/>
        <w:gridCol w:w="216"/>
        <w:gridCol w:w="216"/>
        <w:gridCol w:w="216"/>
        <w:gridCol w:w="539"/>
        <w:gridCol w:w="109"/>
        <w:gridCol w:w="109"/>
        <w:gridCol w:w="109"/>
        <w:gridCol w:w="165"/>
        <w:gridCol w:w="165"/>
        <w:gridCol w:w="472"/>
      </w:tblGrid>
      <w:tr>
        <w:trPr/>
        <w:tc>
          <w:tcPr>
            <w:tcW w:w="10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gross margin</w:t>
            </w:r>
          </w:p>
        </w:tc>
        <w:tc>
          <w:tcPr>
            <w:tcW w:w="4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gross margin</w:t>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w:t>
            </w:r>
          </w:p>
        </w:tc>
        <w:tc>
          <w:tcPr>
            <w:tcW w:w="4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Subscription gross margin increased by one percentage point for the three months ended July 31, 2026, compared to the three months ended July 31, 2025. The increase in subscription gross margin was primarily attributable to hiring efficiencies.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Professional services gross margin decreased by five percentage points for the three months ended July 31, 2026, compared to the three months ended July 31, 2025. The decrease in professional services gross margin was primarily driven by higher employee-related expenses due to no corresponding Strategic Plan impact, and an increase in stock-based compensation expense, partially offset by a decrease in consulting expenses during the three months ended July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sales and marketing expenses for the three months ended July 31, 2026 as compared to the three months ended July 31, 2025 (in thousands, except percentages):</w:t>
      </w:r>
    </w:p>
    <w:tbl>
      <w:tblPr>
        <w:tblW w:w="7681" w:type="dxa"/>
        <w:jc w:val="left"/>
        <w:tblInd w:w="0" w:type="dxa"/>
        <w:tblLayout w:type="fixed"/>
        <w:tblCellMar>
          <w:top w:w="28" w:type="dxa"/>
          <w:left w:w="28" w:type="dxa"/>
          <w:bottom w:w="28" w:type="dxa"/>
          <w:right w:w="28" w:type="dxa"/>
        </w:tblCellMar>
      </w:tblPr>
      <w:tblGrid>
        <w:gridCol w:w="916"/>
        <w:gridCol w:w="806"/>
        <w:gridCol w:w="812"/>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472"/>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60" w:type="dxa"/>
            <w:gridSpan w:val="6"/>
            <w:tcBorders/>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$63.4 million, or 14%, for the three months ended July 31, 2026 compared to the three months ended July 31, 2025. The increase in sales and marketing expenses was primarily due to an increase in stock-based compensation expense of $22.6 million, an increase in employee-related expenses of $17.7 million driven by a 10% increase in average headcount, an increase in allocated overhead costs of $10.0 million, an increase in marketing programs of $6.7 million, an increase in employee benefits of $5.9 million, and an increase in travel expenses of $4.4 million, partially offset by a decrease in charges related to the Strategic Plan of $8.7 million.</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research and development expenses for the three months ended July 31, 2026 as compared to the three months ended July 31, 2025 (in thousands, except percentages):</w:t>
      </w:r>
    </w:p>
    <w:tbl>
      <w:tblPr>
        <w:tblW w:w="8341" w:type="dxa"/>
        <w:jc w:val="left"/>
        <w:tblInd w:w="0" w:type="dxa"/>
        <w:tblLayout w:type="fixed"/>
        <w:tblCellMar>
          <w:top w:w="28" w:type="dxa"/>
          <w:left w:w="28" w:type="dxa"/>
          <w:bottom w:w="28" w:type="dxa"/>
          <w:right w:w="28" w:type="dxa"/>
        </w:tblCellMar>
      </w:tblPr>
      <w:tblGrid>
        <w:gridCol w:w="1120"/>
        <w:gridCol w:w="982"/>
        <w:gridCol w:w="98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0"/>
        <w:gridCol w:w="181"/>
        <w:gridCol w:w="472"/>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0" w:type="dxa"/>
            <w:gridSpan w:val="6"/>
            <w:tcBorders/>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5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$101.7 million, or 30%, for the three months ended July 31, 2026 compared to the three months ended July 31, 2025. This increase was primarily due to an increase in stock-based compensation expense of $48.5 million, an increase in employee-related expenses of $40.1 million driven by a 17% increase in average headcount, an increase in cloud hosting and related costs of $12.5 million, an increase in allocated overhead costs of $11.8 million, an increase in employee benefits of $5.7 million, an increase in term-based software licenses of $3.8 million, and an increase in depreciation of data center equipment of $1.4 million, partially offset by a decrease in charges related to the Strategic Plan of $16.7 million and an increase in software capitalization of $6.8 million.</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general and administrative expenses for the three months ended July 31, 2026 as compared to the three months ended July 31, 2025 (in thousands, except percentages):</w:t>
      </w:r>
    </w:p>
    <w:tbl>
      <w:tblPr>
        <w:tblW w:w="8020" w:type="dxa"/>
        <w:jc w:val="left"/>
        <w:tblInd w:w="0" w:type="dxa"/>
        <w:tblLayout w:type="fixed"/>
        <w:tblCellMar>
          <w:top w:w="28" w:type="dxa"/>
          <w:left w:w="28" w:type="dxa"/>
          <w:bottom w:w="28" w:type="dxa"/>
          <w:right w:w="28" w:type="dxa"/>
        </w:tblCellMar>
      </w:tblPr>
      <w:tblGrid>
        <w:gridCol w:w="1120"/>
        <w:gridCol w:w="984"/>
        <w:gridCol w:w="986"/>
        <w:gridCol w:w="211"/>
        <w:gridCol w:w="826"/>
        <w:gridCol w:w="109"/>
        <w:gridCol w:w="109"/>
        <w:gridCol w:w="109"/>
        <w:gridCol w:w="109"/>
        <w:gridCol w:w="211"/>
        <w:gridCol w:w="826"/>
        <w:gridCol w:w="109"/>
        <w:gridCol w:w="109"/>
        <w:gridCol w:w="109"/>
        <w:gridCol w:w="109"/>
        <w:gridCol w:w="211"/>
        <w:gridCol w:w="541"/>
        <w:gridCol w:w="109"/>
        <w:gridCol w:w="109"/>
        <w:gridCol w:w="109"/>
        <w:gridCol w:w="109"/>
        <w:gridCol w:w="162"/>
        <w:gridCol w:w="162"/>
        <w:gridCol w:w="472"/>
      </w:tblGrid>
      <w:tr>
        <w:trPr/>
        <w:tc>
          <w:tcPr>
            <w:tcW w:w="112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123" w:type="dxa"/>
            <w:gridSpan w:val="6"/>
            <w:tcBorders/>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stayed largely flat for the three months ended July 31, 2026 compared to the three months ended July 31, 2025. The net decrease was primarily driven by lower costs associated with the July 19 Incident and related matters and reduced charges related to the Strategic Plan, partially offset by higher stock-based compensation expense.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Expense, Interest Income, and Other Income (Expense), Net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interest expense, interest income, and other income (expense), net for the three months ended July 31, 2026 as compared to the three months ended July 31, 2025 (in thousands, except percentages):</w:t>
      </w:r>
    </w:p>
    <w:tbl>
      <w:tblPr>
        <w:tblW w:w="6784" w:type="dxa"/>
        <w:jc w:val="left"/>
        <w:tblInd w:w="0" w:type="dxa"/>
        <w:tblLayout w:type="fixed"/>
        <w:tblCellMar>
          <w:top w:w="28" w:type="dxa"/>
          <w:left w:w="28" w:type="dxa"/>
          <w:bottom w:w="28" w:type="dxa"/>
          <w:right w:w="28" w:type="dxa"/>
        </w:tblCellMar>
      </w:tblPr>
      <w:tblGrid>
        <w:gridCol w:w="587"/>
        <w:gridCol w:w="514"/>
        <w:gridCol w:w="519"/>
        <w:gridCol w:w="227"/>
        <w:gridCol w:w="776"/>
        <w:gridCol w:w="117"/>
        <w:gridCol w:w="117"/>
        <w:gridCol w:w="117"/>
        <w:gridCol w:w="117"/>
        <w:gridCol w:w="227"/>
        <w:gridCol w:w="776"/>
        <w:gridCol w:w="117"/>
        <w:gridCol w:w="109"/>
        <w:gridCol w:w="109"/>
        <w:gridCol w:w="109"/>
        <w:gridCol w:w="211"/>
        <w:gridCol w:w="691"/>
        <w:gridCol w:w="109"/>
        <w:gridCol w:w="109"/>
        <w:gridCol w:w="109"/>
        <w:gridCol w:w="109"/>
        <w:gridCol w:w="218"/>
        <w:gridCol w:w="218"/>
        <w:gridCol w:w="472"/>
      </w:tblGrid>
      <w:tr>
        <w:trPr/>
        <w:tc>
          <w:tcPr>
            <w:tcW w:w="58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35" w:type="dxa"/>
            <w:gridSpan w:val="6"/>
            <w:tcBorders/>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(6,823)</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interest expense for the three months ended July 31, 2026 compared to the three months ended July 31, 2025 was primarily due to no amortization of debt issuance costs in the current period related to our secured revolving credit facility, which expired in January 2026.</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interest income for the three months ended July 31, 2026 compared to the three months ended July 31, 2025 was driven by lower market rates.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other expense, net for the three months ended July 31, 2026 compared to the three months ended July 31, 2025 was primarily due to a $2.5 million decrease in net foreign currency transaction losses, partially offset by a $0.4 million decrease in gains from deferred compensation assets.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Provision (benefit) for Income Taxes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the provision (benefit) for income taxes for the three months ended July 31, 2026 as compared to the three months ended July 31, 2025 (in thousands, except percentage):</w:t>
      </w:r>
    </w:p>
    <w:tbl>
      <w:tblPr>
        <w:tblW w:w="8283" w:type="dxa"/>
        <w:jc w:val="left"/>
        <w:tblInd w:w="0" w:type="dxa"/>
        <w:tblLayout w:type="fixed"/>
        <w:tblCellMar>
          <w:top w:w="28" w:type="dxa"/>
          <w:left w:w="28" w:type="dxa"/>
          <w:bottom w:w="28" w:type="dxa"/>
          <w:right w:w="28" w:type="dxa"/>
        </w:tblCellMar>
      </w:tblPr>
      <w:tblGrid>
        <w:gridCol w:w="1091"/>
        <w:gridCol w:w="960"/>
        <w:gridCol w:w="964"/>
        <w:gridCol w:w="240"/>
        <w:gridCol w:w="788"/>
        <w:gridCol w:w="124"/>
        <w:gridCol w:w="124"/>
        <w:gridCol w:w="124"/>
        <w:gridCol w:w="124"/>
        <w:gridCol w:w="240"/>
        <w:gridCol w:w="703"/>
        <w:gridCol w:w="124"/>
        <w:gridCol w:w="109"/>
        <w:gridCol w:w="109"/>
        <w:gridCol w:w="109"/>
        <w:gridCol w:w="211"/>
        <w:gridCol w:w="691"/>
        <w:gridCol w:w="109"/>
        <w:gridCol w:w="109"/>
        <w:gridCol w:w="109"/>
        <w:gridCol w:w="109"/>
        <w:gridCol w:w="269"/>
        <w:gridCol w:w="271"/>
        <w:gridCol w:w="472"/>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339" w:type="dxa"/>
            <w:gridSpan w:val="6"/>
            <w:tcBorders/>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$7.3 million change from an income tax provision to an income tax benefit during the three months ended July 31, 2026 compared to the three months ended July 31, 2025 was primarily driven by excess tax benefits related to stock-based awards recognized in the current period, partially offset by income taxes on earnings in jurisdictions in which we conduct business and the application of interim period tax accounting methodology.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Comparison of the Six Months Ended July 31, 2026 and 2025</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ind w:left="0" w:right="0" w:firstLine="360"/>
        <w:jc w:val="left"/>
        <w:rPr/>
      </w:pPr>
      <w:r>
        <w:rPr>
          <w:rFonts w:ascii="Times New Roman;serif" w:hAnsi="Times New Roman;serif"/>
          <w:b w:val="false"/>
          <w:color w:val="000000"/>
          <w:sz w:val="20"/>
        </w:rPr>
        <w:t>The following shows total revenue from subscriptions and professional services for the six months ended</w:t>
      </w:r>
      <w:r>
        <w:rPr>
          <w:color w:val="000000"/>
        </w:rPr>
        <w:t xml:space="preserve"> </w:t>
      </w:r>
      <w:r>
        <w:rPr>
          <w:rFonts w:ascii="Times New Roman;serif" w:hAnsi="Times New Roman;serif"/>
          <w:b w:val="false"/>
          <w:color w:val="000000"/>
          <w:sz w:val="20"/>
        </w:rPr>
        <w:t>July 31, 2026 as compared to the six months ended July 31, 2025 (in thousands, except percentages):</w:t>
      </w:r>
    </w:p>
    <w:tbl>
      <w:tblPr>
        <w:tblW w:w="7351" w:type="dxa"/>
        <w:jc w:val="left"/>
        <w:tblInd w:w="0" w:type="dxa"/>
        <w:tblLayout w:type="fixed"/>
        <w:tblCellMar>
          <w:top w:w="28" w:type="dxa"/>
          <w:left w:w="28" w:type="dxa"/>
          <w:bottom w:w="28" w:type="dxa"/>
          <w:right w:w="28" w:type="dxa"/>
        </w:tblCellMar>
      </w:tblPr>
      <w:tblGrid>
        <w:gridCol w:w="652"/>
        <w:gridCol w:w="573"/>
        <w:gridCol w:w="574"/>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80"/>
        <w:gridCol w:w="181"/>
        <w:gridCol w:w="472"/>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0" w:type="dxa"/>
            <w:gridSpan w:val="6"/>
            <w:tcBorders/>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2,153,713 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2,856,526 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2,272,386 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revenue increased by $584.1 million, or 26%, for the six months ended July 31, 2026 compared to the six months ended July 31, 2025. Subscription revenue accounted for 95% of total revenue for each of the six months ended July 31, 2026 and July 31, 2025. Professional services revenue accounted for 5% of our total revenue for each of the six months ended July 31, 2026 and July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Subscription revenue increased by $567.4 million, or 26%, for the six months ended July 31, 2026 compared to the six months ended July 31, 2025, which was primarily driven by a combination of the addition of new customers and the sale of additional sensors and modules to existing customers.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Professional services revenue increased by $16.7 million, or 14%, for the six months ended July 31, 2026, compared to the six months ended July 31, 2025, which was primarily attributable to an increase in the number of professional service hours.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 Gross Profit, and Gross Margin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cost of revenue related to subscriptions and professional services for the six months ended July 31, 2026 as compared to the six months ended July 31, 2025 (in thousands, except percentages):</w:t>
      </w:r>
    </w:p>
    <w:tbl>
      <w:tblPr>
        <w:tblW w:w="7055" w:type="dxa"/>
        <w:jc w:val="left"/>
        <w:tblInd w:w="0" w:type="dxa"/>
        <w:tblLayout w:type="fixed"/>
        <w:tblCellMar>
          <w:top w:w="28" w:type="dxa"/>
          <w:left w:w="28" w:type="dxa"/>
          <w:bottom w:w="28" w:type="dxa"/>
          <w:right w:w="28" w:type="dxa"/>
        </w:tblCellMar>
      </w:tblPr>
      <w:tblGrid>
        <w:gridCol w:w="663"/>
        <w:gridCol w:w="583"/>
        <w:gridCol w:w="58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0"/>
        <w:gridCol w:w="181"/>
        <w:gridCol w:w="445"/>
      </w:tblGrid>
      <w:tr>
        <w:trPr/>
        <w:tc>
          <w:tcPr>
            <w:tcW w:w="66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cost of revenue increased by $119.9 million, or 20%, for the six months ended July 31, 2026 compared to the six months ended July 31, 2025. Subscription cost of revenue increased by $105.3 million, or 21%, for the six months ended July 31, 2026, compared to the six months ended July 31, 2025. The increase in subscription cost of revenue was primarily due to an increase in cloud hosting and related services costs of $24.8 million, an increase in depreciation of data center equipment of $20.1 million, an increase in employee-related expenses of $18.3 million driven by a 9% increase in average headcount, an increase in allocated overhead costs of $10.1 million, an increase in amortization of internal-use software of $9.8 million, an increase in employee benefits of $6.2 million, an increase in stock-based compensation expense of $6.1 million, an increase in term-based software licenses of $1.9 million, and an increase in other labor expenses of $1.4 million, partially offset by a $3.6 million decrease in charges related to the Strategic Plan.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Professional services cost of revenue increased by $14.5 million, or 14%, for the six months ended July 31, 2026, compared to the six months ended July 31, 2025. The increase in professional services cost of revenue was primarily due to an increase in employee-related expenses of $6.5 million driven by an 11% increase in average headcount, an increase in stock-based compensation expense of $4.1 million, an increase in consulting expenses of $3.0 million, an increase in allocated overhead costs of $2.4 million, and an increase in employee benefits of $1.2 million, partially offset by a $3.3 million decrease in charges related to the Strategic Plan.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gross profit and gross margin for subscriptions and professional services for the six months ended July 31, 2026 as compared to the six months ended July 31, 2025 (in thousands, except percentages):</w:t>
      </w:r>
    </w:p>
    <w:tbl>
      <w:tblPr>
        <w:tblW w:w="8311" w:type="dxa"/>
        <w:jc w:val="left"/>
        <w:tblInd w:w="0" w:type="dxa"/>
        <w:tblLayout w:type="fixed"/>
        <w:tblCellMar>
          <w:top w:w="28" w:type="dxa"/>
          <w:left w:w="28" w:type="dxa"/>
          <w:bottom w:w="28" w:type="dxa"/>
          <w:right w:w="28" w:type="dxa"/>
        </w:tblCellMar>
      </w:tblPr>
      <w:tblGrid>
        <w:gridCol w:w="1000"/>
        <w:gridCol w:w="878"/>
        <w:gridCol w:w="881"/>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80"/>
        <w:gridCol w:w="181"/>
        <w:gridCol w:w="472"/>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0" w:type="dxa"/>
            <w:gridSpan w:val="6"/>
            <w:tcBorders/>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2,121,990 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1,659,902 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gross profit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2,140,247 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358" w:type="dxa"/>
        <w:jc w:val="left"/>
        <w:tblInd w:w="0" w:type="dxa"/>
        <w:tblLayout w:type="fixed"/>
        <w:tblCellMar>
          <w:top w:w="28" w:type="dxa"/>
          <w:left w:w="28" w:type="dxa"/>
          <w:bottom w:w="28" w:type="dxa"/>
          <w:right w:w="28" w:type="dxa"/>
        </w:tblCellMar>
      </w:tblPr>
      <w:tblGrid>
        <w:gridCol w:w="1044"/>
        <w:gridCol w:w="916"/>
        <w:gridCol w:w="919"/>
        <w:gridCol w:w="196"/>
        <w:gridCol w:w="196"/>
        <w:gridCol w:w="489"/>
        <w:gridCol w:w="196"/>
        <w:gridCol w:w="196"/>
        <w:gridCol w:w="196"/>
        <w:gridCol w:w="196"/>
        <w:gridCol w:w="196"/>
        <w:gridCol w:w="489"/>
        <w:gridCol w:w="109"/>
        <w:gridCol w:w="109"/>
        <w:gridCol w:w="109"/>
        <w:gridCol w:w="165"/>
        <w:gridCol w:w="165"/>
        <w:gridCol w:w="472"/>
      </w:tblGrid>
      <w:tr>
        <w:trPr/>
        <w:tc>
          <w:tcPr>
            <w:tcW w:w="10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ind w:left="0" w:right="0" w:hanging="720"/>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gross margin</w:t>
            </w:r>
          </w:p>
        </w:tc>
        <w:tc>
          <w:tcPr>
            <w:tcW w:w="3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gross margin</w:t>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w:t>
            </w:r>
          </w:p>
        </w:tc>
        <w:tc>
          <w:tcPr>
            <w:tcW w:w="39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4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Subscription gross margin increased by one percentage point for the six months ended July 31, 2026, compared to the six months ended July 31, 2025. The increase in subscription gross margin was primarily attributable to hiring efficiencies.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Professional services gross margin decreased by one percentage point for the six months ended July 31, 2026, compared to the six months ended July 31, 2025. The decrease in professional services gross margin was primarily driven by higher employee-related expenses due to no corresponding Strategic Plan impact, and an increase in stock-based compensation expense, partially offset by a decrease in consulting expenses during the six months ended July 31, 2026.</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sales and marketing expenses for the six months ended July 31, 2026 as compared to the six months ended July 31, 2025 (in thousands, except percentages):</w:t>
      </w:r>
    </w:p>
    <w:tbl>
      <w:tblPr>
        <w:tblW w:w="7786" w:type="dxa"/>
        <w:jc w:val="left"/>
        <w:tblInd w:w="0" w:type="dxa"/>
        <w:tblLayout w:type="fixed"/>
        <w:tblCellMar>
          <w:top w:w="28" w:type="dxa"/>
          <w:left w:w="28" w:type="dxa"/>
          <w:bottom w:w="28" w:type="dxa"/>
          <w:right w:w="28" w:type="dxa"/>
        </w:tblCellMar>
      </w:tblPr>
      <w:tblGrid>
        <w:gridCol w:w="916"/>
        <w:gridCol w:w="806"/>
        <w:gridCol w:w="81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0"/>
        <w:gridCol w:w="181"/>
        <w:gridCol w:w="472"/>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0" w:type="dxa"/>
            <w:gridSpan w:val="6"/>
            <w:tcBorders/>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998,647 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885,791 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$112.9 million, or 13%, for the six months ended July 31, 2026 compared to the six months ended July 31, 2025. The increase in sales and marketing expenses was primarily due to an increase in employee-related expenses of $29.1 million driven by an 8% increase in average headcount, an increase in stock-based compensation expense of $27.8 million, an increase in allocated overhead costs of $16.2 million, an increase in marketing programs of $15.0 million, an increase in employee benefits of $9.5 million, an increase in travel expenses of $8.3 million, an increase in company event expenses of $5.9 million, and an increase in cloud hosting and related costs of $1.6 million, partially offset by an $8.7 million decrease in charges related to the Strategic Plan and a $3.1 million net decrease in sales commission expense resulting from the change in the estimated period of benefit, partially offset by an increase in capitalized sales commissions.</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research and development expenses for the six months ended July 31, 2026 as compared to the six months ended July 31, 2025 (in thousands, except percentages):</w:t>
      </w:r>
    </w:p>
    <w:tbl>
      <w:tblPr>
        <w:tblW w:w="8341" w:type="dxa"/>
        <w:jc w:val="left"/>
        <w:tblInd w:w="0" w:type="dxa"/>
        <w:tblLayout w:type="fixed"/>
        <w:tblCellMar>
          <w:top w:w="28" w:type="dxa"/>
          <w:left w:w="28" w:type="dxa"/>
          <w:bottom w:w="28" w:type="dxa"/>
          <w:right w:w="28" w:type="dxa"/>
        </w:tblCellMar>
      </w:tblPr>
      <w:tblGrid>
        <w:gridCol w:w="1120"/>
        <w:gridCol w:w="982"/>
        <w:gridCol w:w="98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0"/>
        <w:gridCol w:w="181"/>
        <w:gridCol w:w="472"/>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0" w:type="dxa"/>
            <w:gridSpan w:val="6"/>
            <w:tcBorders/>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852,526 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673,459 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$179.1 million, or 27%, for the six months ended July 31, 2026 compared to the six months ended July 31, 2025. This increase was primarily due to an increase in employee-related expenses of $73.3 million driven by a 16% increase in average headcount, an increase in stock-based compensation expense of $70.2 million, an increase in allocated overhead costs of $21.1 million, an increase in cloud hosting and related costs of $20.0 million, an increase in employee benefits of $9.1 million, an increase in term-based software licenses of $7.7 million, and an increase in depreciation of data center equipment of $3.0 million, partially offset by a $16.7 million decrease in charges related to the Strategic Plan and an increase in software capitalization of $11.0 million.</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general and administrative expenses for the six months ended July 31, 2026 as compared to the six months ended July 31, 2025 (in thousands, except percentages):</w:t>
      </w:r>
    </w:p>
    <w:tbl>
      <w:tblPr>
        <w:tblW w:w="8200" w:type="dxa"/>
        <w:jc w:val="left"/>
        <w:tblInd w:w="0" w:type="dxa"/>
        <w:tblLayout w:type="fixed"/>
        <w:tblCellMar>
          <w:top w:w="28" w:type="dxa"/>
          <w:left w:w="28" w:type="dxa"/>
          <w:bottom w:w="28" w:type="dxa"/>
          <w:right w:w="28" w:type="dxa"/>
        </w:tblCellMar>
      </w:tblPr>
      <w:tblGrid>
        <w:gridCol w:w="1120"/>
        <w:gridCol w:w="984"/>
        <w:gridCol w:w="986"/>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62"/>
        <w:gridCol w:w="162"/>
        <w:gridCol w:w="472"/>
      </w:tblGrid>
      <w:tr>
        <w:trPr/>
        <w:tc>
          <w:tcPr>
            <w:tcW w:w="112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23" w:type="dxa"/>
            <w:gridSpan w:val="6"/>
            <w:tcBorders/>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increased by $12.0 million, or 4%, for the six months ended July 31, 2026 compared to the six months ended July 31, 2025. The increase in general and administrative expenses was primarily due to an increase in stock-based compensation expense of $57.1 million, an increase in employee-related expenses of $5.7 million driven by a 10% increase in average headcount, an increase in legal expense of $3.6 million unrelated to the July 19 Incident or related matters, and an increase in allocated overhead costs of $2.7 million, partially offset by a decrease of $44.9 million in expenses associated with the July 19 Incident and related matters and a $12.7 million decrease in charges related to the Strategic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Expense, Interest Income, and Other Income (Expense), Net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interest expense, interest income, and other income (expense), net for the six months ended July 31, 2026 as compared to the six months ended July 31, 2025 (in thousands, except percentages):</w:t>
      </w:r>
    </w:p>
    <w:tbl>
      <w:tblPr>
        <w:tblW w:w="7726" w:type="dxa"/>
        <w:jc w:val="left"/>
        <w:tblInd w:w="0" w:type="dxa"/>
        <w:tblLayout w:type="fixed"/>
        <w:tblCellMar>
          <w:top w:w="28" w:type="dxa"/>
          <w:left w:w="28" w:type="dxa"/>
          <w:bottom w:w="28" w:type="dxa"/>
          <w:right w:w="28" w:type="dxa"/>
        </w:tblCellMar>
      </w:tblPr>
      <w:tblGrid>
        <w:gridCol w:w="864"/>
        <w:gridCol w:w="757"/>
        <w:gridCol w:w="764"/>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69"/>
        <w:gridCol w:w="271"/>
        <w:gridCol w:w="472"/>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339" w:type="dxa"/>
            <w:gridSpan w:val="6"/>
            <w:tcBorders/>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interest expense for the six months ended July 31, 2026 compared to the six months ended July 31, 2025 was primarily due to no amortization of debt issuance costs in the current period related to our secured revolving credit facility, which expired in January 2026.</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interest income for the six months ended July 31, 2026 compared to the six months ended July 31, 2025 was driven by lower market rates.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other income (expense), net for the six months ended July 31, 2026 compared to the six months ended July 31, 2025 was primarily due to an increase in net realized gains on our strategic investments of $36.4 million, an increase of $1.6 million attributable to no downward adjustments or impairment charges on our strategic investments in the current period, and an increase of $3.4 million attributable to lower net foreign currency transaction losses.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Provision (benefit) for Income Taxes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the provision (benefit) for income taxes for the six months ended July 31, 2026 as compared to the six months ended July 31, 2025 (in thousands, except percentage):</w:t>
      </w:r>
    </w:p>
    <w:tbl>
      <w:tblPr>
        <w:tblW w:w="8176" w:type="dxa"/>
        <w:jc w:val="left"/>
        <w:tblInd w:w="0" w:type="dxa"/>
        <w:tblLayout w:type="fixed"/>
        <w:tblCellMar>
          <w:top w:w="28" w:type="dxa"/>
          <w:left w:w="28" w:type="dxa"/>
          <w:bottom w:w="28" w:type="dxa"/>
          <w:right w:w="28" w:type="dxa"/>
        </w:tblCellMar>
      </w:tblPr>
      <w:tblGrid>
        <w:gridCol w:w="1091"/>
        <w:gridCol w:w="960"/>
        <w:gridCol w:w="964"/>
        <w:gridCol w:w="211"/>
        <w:gridCol w:w="691"/>
        <w:gridCol w:w="109"/>
        <w:gridCol w:w="109"/>
        <w:gridCol w:w="109"/>
        <w:gridCol w:w="109"/>
        <w:gridCol w:w="211"/>
        <w:gridCol w:w="721"/>
        <w:gridCol w:w="109"/>
        <w:gridCol w:w="109"/>
        <w:gridCol w:w="109"/>
        <w:gridCol w:w="109"/>
        <w:gridCol w:w="211"/>
        <w:gridCol w:w="796"/>
        <w:gridCol w:w="109"/>
        <w:gridCol w:w="109"/>
        <w:gridCol w:w="109"/>
        <w:gridCol w:w="109"/>
        <w:gridCol w:w="269"/>
        <w:gridCol w:w="271"/>
        <w:gridCol w:w="472"/>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br/>
              <w:t>%</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339" w:type="dxa"/>
            <w:gridSpan w:val="6"/>
            <w:tcBorders/>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$35.4 million change from an income tax provision to an income tax benefit during the six months ended July 31, 2026 compared to the six months ended July 31, 2025 was primarily driven by income tax benefits recognized in the current period resulting from the realization of deferred tax assets in connection with recent acquisitions, excess tax benefits related to stock-based awards, and the application of interim period tax accounting methodology.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primary sources of liquidity as of July 31, 2026, consisted of: (i) $5.0 billion in cash and cash equivalents, which mainly consists of cash on hand and highly liquid investments in money market funds, U.S. Treasury bills, and time deposits, and (ii) cash we expect to generate from operations. It is not currently possible to reasonably estimate the amount of loss or range of possible loss that might result from adverse judgments, settlements, penalties, or other resolution of proceedings resulting from the July 19 Incident or related matters. However, despite such uncertainties, we expect that the combination of our existing cash and cash equivalents and cash flows from operations will be sufficient to meet our anticipated cash needs for working capital and capital expenditures for at least the next 12 months.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short-term and long-term liquidity requirements primarily arise from: (i) business acquisitions and investments we may make from time to time, (ii) working capital requirements, (iii) interest and principal payments related to our outstanding indebtedness, (iv) research and development and capital expenditure needs, and (v) license and service arrangements integral to our business operations.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 history of losses, and while we have achieved profitability in certain periods, including the first and second quarters of fiscal 2027 and fiscal 2024, our accumulated deficit was $1.2 billion as of July 31, 2026. We expect to continue to make investments, particularly in sales and marketing and research and development. As a result, we may require additional capital resources in the future to execute strategic initiatives to grow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generally invoice our subscription customers at the beginning of the subscription term, or in some instances, such as in multi-year arrangements, in installments. Therefore, a substantial source of our cash is from such prepayments, which are included on our condensed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July 31, 2026, we had deferred revenue of $4.8 billion, of which $3.5 billion was recorded as a current liability and is expected to be recorded as revenue in the next 12 months, provided all other revenue recognition criteria have been met.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have any relationships with unconsolidated entities or financial partnerships, such as entities often referred to as structured finance or special purpose entities. As of July 31, 2026, we did not have any off-balance sheet guarantees or interest rate swap transactions. For a discussion of our derivative instruments, see Note 4 to our condensed consolidated financial statements in Part I, Item 1 of this Quarterly Report on Form 10-Q.</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 (in thousands):</w:t>
      </w:r>
    </w:p>
    <w:tbl>
      <w:tblPr>
        <w:tblW w:w="7448" w:type="dxa"/>
        <w:jc w:val="left"/>
        <w:tblInd w:w="0" w:type="dxa"/>
        <w:tblLayout w:type="fixed"/>
        <w:tblCellMar>
          <w:top w:w="28" w:type="dxa"/>
          <w:left w:w="28" w:type="dxa"/>
          <w:bottom w:w="28" w:type="dxa"/>
          <w:right w:w="28" w:type="dxa"/>
        </w:tblCellMar>
      </w:tblPr>
      <w:tblGrid>
        <w:gridCol w:w="1677"/>
        <w:gridCol w:w="1477"/>
        <w:gridCol w:w="1480"/>
        <w:gridCol w:w="211"/>
        <w:gridCol w:w="976"/>
        <w:gridCol w:w="109"/>
        <w:gridCol w:w="109"/>
        <w:gridCol w:w="109"/>
        <w:gridCol w:w="109"/>
        <w:gridCol w:w="211"/>
        <w:gridCol w:w="826"/>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1,121,205 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(1,145,607)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(150,609)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649,246 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during the six months ended July 31, 2026 was $1.1 billion, which resulted from net income of $51.3 million, adjusted for non-cash charges of $1.0 billion and a net cash inflow of $37.1 million from changes in operating assets and liabilities. Non-cash charges primarily consisted of $674.6 million in stock-based compensation expense, $207.1 million of amortization of deferred contract acquisition costs, $157.6 million of depreciation and amortization, $25.7 million of amortization of intangible assets, $10.4 million of non-cash operating lease costs, and $0.9 million of non-cash interest expense, partially offset by $36.4 million of realized gains on strategic investments and $7.1 million of deferred income taxes. The net cash inflow from changes in operating assets and liabilities was primarily due to a $324.2 million decrease in accounts receivable, an $83.3 million increase in deferred revenue, a $28.4 million increase in accrued payroll and benefits, and an $11.9 million increase in accrued expenses and other liabilities, partially offset by a $298.4 million increase in deferred contract acquisition costs, a $95.4 million increase in prepaid expenses and other assets, a $9.1 million decrease in operating lease liabilities, and a $7.7 million decrease in accounts payable.</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$1.1 billion during the six months ended July 31, 2026 was primarily due to business acquisitions, net of cash acquired, of $881.4 million, which was related to the Seraphic and SGNL acquisitions, purchases of property and equipment of $222.0 million, capitalized internal-use software and website development costs of $49.1 million, purchases of deferred compensation investments of $4.3 million, purchases of strategic investments of $3.4 million, and purchases of intangible assets of $3.0 million, partially offset by proceeds from sales of strategic investments of $17.5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of $111.9 million during the six months ended July 31, 2026 was primarily due to repurchases of common stock of $175.6 million and distributions to non-controlling interest holders of $24.6 million, partially offset by proceeds from issuance of shares of common stock under the employee stock purchase plan of $86.6 million and proceeds from the issuance of shares of common stock upon exercise of stock options of $1.7 million.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Supplemental Guarantor Financial Information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Senior Notes are guaranteed on a senior, unsecured basis by CrowdStrike, Inc. and CrowdStrike Financial Services, Inc., wholly owned subsidiaries of CrowdStrike Holdings, Inc. (the “subsidiary guarantors,” and together with CrowdStrike Holdings, Inc., the “Obligor Group”). The guarantee is full and unconditional and is subject to certain conditions for release. See Note 6, “Debt,” to our condensed consolidated financial statements in Part I, Item 1 of this Quarterly Report on Form 10-Q, for a brief description of the Senior Notes.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conduct our operations almost entirely through our subsidiaries. Accordingly, the Obligor Group’s cash flows and ability to service the Senior Notes will depend on the earnings of our subsidiaries and the distribution of those earnings to the Obligor Group, whether by dividends, loans or otherwise. Holders of the guaranteed registered debt securities will have a direct claim only against the Obligor Group.</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Summarized financial information is presented below for the Obligor Group on a combined basis after elimination of intercompany transactions and balances within the Obligor Group and equity in the earnings from and investments in any non-guarantor subsidiary. The revenue amounts presented in the summarized financial information include substantially all of our condensed consolidated revenue, and there is no intercompany revenue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 (in thousands):</w:t>
      </w:r>
    </w:p>
    <w:tbl>
      <w:tblPr>
        <w:tblW w:w="4710" w:type="dxa"/>
        <w:jc w:val="left"/>
        <w:tblInd w:w="0" w:type="dxa"/>
        <w:tblLayout w:type="fixed"/>
        <w:tblCellMar>
          <w:top w:w="28" w:type="dxa"/>
          <w:left w:w="28" w:type="dxa"/>
          <w:bottom w:w="28" w:type="dxa"/>
          <w:right w:w="28" w:type="dxa"/>
        </w:tblCellMar>
      </w:tblPr>
      <w:tblGrid>
        <w:gridCol w:w="1097"/>
        <w:gridCol w:w="964"/>
        <w:gridCol w:w="969"/>
        <w:gridCol w:w="264"/>
        <w:gridCol w:w="1223"/>
        <w:gridCol w:w="193"/>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Statement of Operations</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July 31, 2026</w:t>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2,854,851 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767,697 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2,208,683 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(121,529)</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CrowdStrike</w:t>
            </w:r>
          </w:p>
        </w:tc>
        <w:tc>
          <w:tcPr>
            <w:tcW w:w="1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(37,332)</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521"/>
        <w:gridCol w:w="2214"/>
        <w:gridCol w:w="2229"/>
        <w:gridCol w:w="211"/>
        <w:gridCol w:w="976"/>
        <w:gridCol w:w="109"/>
        <w:gridCol w:w="109"/>
        <w:gridCol w:w="109"/>
        <w:gridCol w:w="109"/>
        <w:gridCol w:w="254"/>
        <w:gridCol w:w="1177"/>
        <w:gridCol w:w="187"/>
      </w:tblGrid>
      <w:tr>
        <w:trPr/>
        <w:tc>
          <w:tcPr>
            <w:tcW w:w="2521"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6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696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r>
      <w:tr>
        <w:trPr/>
        <w:tc>
          <w:tcPr>
            <w:tcW w:w="6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(excluding current intercompany receivables from non-Guarantors)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6,688,919 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7,235,157 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intercompany receivables from non-Guarantors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(excluding noncurrent intercompany receivables from non-Guarantors)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3,354,831 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intercompany receivables from non-Guarantors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625,943 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(excluding current intercompany payables to non-Guarantors)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4,017,456 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intercompany payables to non-Guarantors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97,000 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 (excluding noncurrent intercompany payables to non-Guarantors)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2,359,552 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intercompany payables to non-Guarantors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198,223 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Strategic Investments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2019, we agreed to commit up to $10.0 million to a newly formed entity, CrowdStrike Falcon Fund LLC (the “Original Falcon Fund”) in exchange for 50% of the sharing percentage of any distribution by the Original Falcon Fund. In December 2021, we agreed to commit an additional $50.0 million to a newly formed entity, CrowdStrike Falcon Fund II LLC (“Falcon Fund II”) in exchange for 50% of the sharing percentage of any distribution by Falcon Fund II. Further, entities associated with Accel also agreed to commit up to $10.0 million and $50.0 million, respectively, to the Original Falcon Fund and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us and our platform. We are the manager of the Falcon Funds and control their investment decisions and day-to-day operations and accordingly have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 xml:space="preserve">Contractual Obligations and Commitments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July 31, 2026, there were no significant changes to our debt obligations related to the Senior Notes, as presented in Part II, Item 7, Management’s Discussion and Analysis of Financial Condition and Results of Operations included in our Annual Report on Form 10-K for the fiscal year ended January 31, 2026.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non-cancelable purchase commitments with various parties to purchase products and services entered in the normal course of business totaling $4.1 billion as of July 31, 2026, with remaining terms in excess of 12 months. We expect to fund these obligations with cash flows from operations and cash on our balance sheet.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Subsequent to July 31, 2026, we have committed to an additional $2.9 billion of non-cancelable purchase obligations from fiscal 2027 to fiscal 2034.</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commitments also consist of obligations under non-cancelable real estate arrangements on an undiscounted basis, of which $22.8 million is due in the next 12 months and $59.9 million is due thereafter.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July 31, 2026, our unrecognized tax benefits included $51.8 million, which were classified as long-term liabilities due to the inherent uncertainty with respect to the timing of future cash outflows associated with our unrecognized tax benefits.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31, 2026, we had non-cancelable unfunded commitments from our financing arrangements totaling approximately $69.7 million.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2026, we signed a definitive agreement to acquire the technology assets of XM Cyber Ltd., a Schwarz Digits company recognized for its advanced attack path visualization and offensive simulation technologies. At closing, we expect to pay consideration of $145.0 million in a combination of cash and shares of our Class A common stock, plus additional shares of our Class A common stock in an amount to be determined on the closing date. The transaction is expected to close in the second half of fiscal 2027, subject to customary closing conditions and regulatory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were prepared in accordance with U.S. GAAP. The preparation of the condensed consolidated financial statements requires our management to make estimates and assumptions that affect the amounts reported in the condensed consolidated financial statements and accompanying notes.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accounting estimates we use in the preparation of our condensed consolidated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condensed consolidated financial statements. By their nature, these estimates and judgments are subject to an inherent degree of uncertainty and actual results could differ materially from the amounts reported based on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2026, we completed an assessment of the estimated period of benefit of commissions earned upon the initial acquisition of a contract, or subsequent upsell, and determined that it should increase from four to five years. This change in estimate was effective beginning in fiscal 2027. Based on the carrying value of the related deferred contract acquisition costs as of January 31, 2026, the effect of this change in estimate for the three and six months ended July 31, 2026 was a reduction in sales commission expense of $25.5 million and $53.4 million, respectively. There have been no other significant changes in our critical accounting policies and estimates during the six months ended July 31, 2026, as compared to the critical accounting policies and estimates disclosed in Management’s Discussion and Analysis of Financial Condition and Results of Operations included in our Annual Report on Form 10-K for the year ended January 31, 2026, filed with the SEC on March 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enter into both single and multi-year subscription contracts for our solutions. We generally invoice our subscription customers at the beginning of the subscription term, or in some instances, such as in multi-year arrangements, in installments. Until we have the contractual right to invoice, these contract amounts are classified as backlog. They are not recorded in deferred revenue or elsewhere in our condensed consolidated financial statements. As of July 31, 2026, we had backlog of approximately $5.9 billion.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Given the annual budget approval process of many of our customers, we see seasonal patterns in our business. Net new ARR generation is typically greater in the second half of the year, particularly in the fourth quarter, as compared to the first half of the year. In addition, we also experience seasonality in our operating margin, typically with a lower margin in the first half of our fiscal year due to a step up in costs for payroll taxes and annual sales and marketing events. This also impacts the timing of operating cash flow.</w: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Employees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July 31, 2026, we had 11,706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local labor law requirements which may automatically make our employees subject to industry-wide collective bargaining agreements. We have not experienced any work stoppages, and we consider our relations with our employees to be good.</w: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at 206 E. 9th Street, Suite 1400, Austin, Texas 78701 and our telephone number is (888) 512-8906. We are a holding company and all of our business operations are conducted through our subsidiaries, including CrowdStrike, Inc. Our website address is www.crowdstrike.com. Information contained on, or that can be accessed through, our website does not constitute part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1, “Description of Business and Significant Accounting Policies,” to our condensed consolidated financial statements in Part I, Item 1 of this Quarterly Report on Form 10-Q, for more information about the impact of certain recent accounting pronouncements on our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There have been no material changes to our market risk exposures during the three and six months ended July 31, 2026, compared to our disclosures in Part II, Item 7A of our Annual Report on Form 10-K for the fiscal year ended January 31, 2026. For a discussion of the derivative contracts initiated during the three months ended July 31, 2026 to manage these risks, see below.</w:t>
      </w:r>
      <w:r>
        <w:rPr>
          <w:color w:val="FF0000"/>
        </w:rPr>
        <w:t xml:space="preserve"> </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Historically, nearly all of our sales contracts have been denominated in U.S. dollars. A portion of our operating expenses are incurred outside the United States, denominated in foreign currencies, and subject to fluctuations due to changes in foreign currency exchange rates. The functional currencies of our foreign subsidiaries are generally the country’s local currency. Foreign currency transaction gains and losses are recorded to other income (expense), net.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manage the risk of cash flow variability of these operating expenses, we enter into derivative contracts to hedge a portion of our forecasted foreign currency denominated cash flow. These foreign currency forward contracts have a maximum maturity of 3 months as of July 31, 2026 and are designated as cash flow hedges to protect our earnings subjected to foreign currency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hypothetical 10% appreciation in the relative value of the U.S. dollar against such foreign currencies as of July 31, 2026 would not have a material impact to our results of operations or cash flows.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derivative financial instruments and hedging activities, see Note 4, “Derivative Contracts,” to our condensed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 13a–15(e) and Rule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our disclosure controls and procedures as of July 31, 2026. Based on such evaluation of our disclosure controls and procedures as of July 31, 2026, our Chief Executive Officer and Chief Financial Officer concluded that, as of such date, our disclosure controls and procedures were effective at the reasonable assurance level.</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identified in connection with the evaluation required by Rule 13a-15(d) and Rule 15d-15(d) of the Exchange Act that occurred during the period covered by this Quarterly Report on Form 10-Q that has materially affected, or is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Inherent Limitations on Effectiveness of Controls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believes that our disclosure controls and procedures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information regarding legal proceedings and other claims asserted against us, including in relation to the July 19 Incident, see Note 11, “Commitments and Contingencies,” to our condensed consolidated financial statements in Part I, Item 1 of this Quarterly Report on Form 10-Q.</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any claims for which we believe a liability is both probable and reasonably estimable, we record a liability in the period in which we make this determination. Other than as disclosed in Note 11, there is no pending or threatened legal proceeding to which we are a party that, in our opinion, is likely to have a material adverse effect on our business and our condensed consolidated financial statements; however, the results of legal proceedings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description of the risks and uncertainties associated with our business is set forth below. You should carefully consider the risks and uncertainties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or “common stock,” could decline, and you could lose all or part of your investment.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July 19 Incident has had, and is expected to continue to have, an adverse effect on our business, sales, customer and partner relations, reputation, results of operations and financial condition.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July 19, 2024, we released a content configuration update for our Falcon sensor that resulted in system crashes for certain Windows systems (the “July 19 Incident”). We have incurred, and expect to continue to incur, significant costs and expenses related to the incident. The July 19 Incident has harmed, and is expected to continue to harm, our business, sales, customer and partner relations, and our reputation. As a result of the July 19 Incident, certain of our existing or prospective customers have deferred or decided against purchases of our products and services and terminated or chosen not to renew their contracts with us, and others may take similar actions in the future. The July 19 Incident has negatively impacted, and may in the future negatively impact, our existing or prospective partners’ ability or willingness to promote our products or services. Certain of our competitors have aggressively approached our current and prospective customers and partners to attempt to capitalize on the July 19 Incident,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and may continue to do so. Furthermore, we have agreed to, and expect to agree to in the future, provide incentives in connection with our commercial arrangements with our customers, including subscription period extensions, discounts or promotional modules. The July 19 Incident has received negative media coverage and harmed our reputation and brand. Additional negative media coverage and publicity, whether directly or indirectly related to the July 19 Incident, may harm our reputation and brand further, exacerbating the effects discussed herein. These factors may result in harm to our business, results of operations and financial condition. While we are investing in enhancements to software resiliency, testing and customer controls following the July 19 Incident, we cannot guarantee that such enhancements will be effective, or that our products do not have or will not have defects, errors, or vulnerabilities.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party to a number of legal proceedings relating to the July 19 Incident, such as lawsuits filed by or on behalf of third parties, including securities litigation brought on behalf of certain purchasers of our common stock, derivative litigation asserting claims against certain officers and directors, and putative class actions brought by individual consumers. We have also received inquiries from governmental authorities and other third parties, and governmental authorities may seek to impose undertakings, injunctive relief, consent decrees or other penalties, which could, among other things, materially increase our expenses or otherwise require us to alter how we operate our business. Third parties, including governmental authorities, may take certain actions in response to the July 19 Incident that may negatively impact our business and operations and may result in additional costs and expenses relating to compliance, product development or other matters. Some customers and other third parties claiming to have been impacted by the incident have asserted claims against us or otherwise communicated their intent to seek indemnification or compensation from us. Additional claims may also be asserted by or on behalf of customers, customers’ insurers, partners, stockholders or others seeking monetary damages or other relief. These lawsuits, claims and inquiries are resulting, and are expected to result in the future, in the incurrence of significant costs and expenses, the diversion of management’s attention from the operation of our business and other negative impacts on our business and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maintain insurance policies that may cover certain costs, claims and liabilities in connection with the July 19 Incident, we expect that our insurance coverage will not cover all costs, claims and liabilities actually incurred, and we cannot be certain that our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experienced rapid growth in recent periods, and if we do not manage our future growth, our business and results of operations will be adversely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experienced rapid revenue growth in recent periods and we expect to continue to invest broadly across our organization to support our growth. Although we have experienced rapid growth historically, we may not sustain our current growth rates and our investments to support our growth may not be successful. The growth and expansion of our business will require us to invest significant financial and operational resources and the continuous dedication of our management team. Our future success will depend in part on our ability to manage our growth effectively, which will require us to, among other things: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effectively attract, integrate, and retain a large number of new employees, particularly members of our sales and marketing and research and development teams;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further improve our Falcon platform, including our cloud modules, and IT infrastructure, including expanding and optimizing our data centers, to support our business needs;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enhance our information and communication systems to ensure that our employees and offices around the world are well coordinated and can effectively communicate with each other and our growing base of channel partners and customers;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improve our financial, management, and compliance systems and controls.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a history of losses, and while we have achieved profitability in certain periods, we may not be able to achieve or sustain profitability in the future.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incurred net losses each year prior to fiscal 2024, and we may not achieve or maintain profitability in the future. We experienced net losses of $162.5 million and $15.2 million for fiscal 2026 and 2025, respectively, and net income of $72.2 million for fiscal 2024. As of July 31, 2026, we had an accumulated deficit of $1.2 billion. While we have experienced significant growth in revenue in recent periods, and have achieved profitability during certain periods, including the first and second quarters of fiscal 2027 and fiscal 2024, we cannot assure you when or whether we will reach sustained profitability. We also expect our operating expenses to increase in the future as we continue to invest for our future growth, which will negatively affect our results of operations if our total revenue does not increase. We also have incurred and expect to continue to incur significant additional legal, accounting, and other expenses as a public company. Any failure to increase our revenue as we invest in our business or to manage our costs could prevent us from achieving or maintaining profitability or positive cash flow.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organizations do not adopt cloud-based SaaS-delivered endpoint security solutions, our ability to grow our business and results of operations may be adversely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customer consolidation on our platform,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damage to our reputation including as a result of the July 19 Incident,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to the extent we or other SaaS security providers experience security incidents, loss or disclosure of customer data, disruptions in delivery, or other problems, the market for SaaS solutions as a whole, including our security solutions, could be negatively affected. You should consider our business and prospects in light of the risks and difficulties we encounter in this new and evolving market.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increase revenue from existing customers and attract new customers will depend in significant part on our ability to anticipate and respond effectively to rapid technological changes and market developments as well as evolving security threats. The success of our Falcon platform depends on our ability to take such changes into account and invest effectively in our research and development organization to increase the reliability, availability and scalability of our existing solutions and introduce new solutions. If we fail to effectively anticipate, identify or respond to such changes in a timely manner, or at all, our business could be harmed. Even if we adequately fund our research and development efforts there is no guarantee that we will realize a return on such efforts.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Success in delivering enhancements and new solutions depends on several factors, including the timely completion, introduction and market acceptance of the enhancement or new solution, the risk that such enhancement or new solution may have quality or other defects or deficiencies (such as those experienced in connection with the July 19 Incident), especially in the early stages of introduction, as well as our ability to seamlessly integrate all of our product and service offerings and develop adequate sales capabilities in new markets. Failure to effectively deliver, integrate, and manage perceptions with respect to enhancements and new solutions could erode our competitive position, significantly impair our revenue growth, and negatively impact our operating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attract new customers, our future results of operations could be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as a result of the geopolitical environment or changes and uncertainty regarding trade policies or tariffs, the outbreak of diseases or other public health crises, volatility in the banking and financial services sector, or inflation (as well as government policies such as raising interest rates in response to inflation), have in the past and may in the future cause our current and prospective customers to delay or cut their overall security and IT operations spending, and such delays or cuts may fall disproportionately on cloud-based security solutions like ours. Economic weakness, customer financial difficulties, constrained spending on security and IT operations, and the impact of the July 19 Incident may result in decreased revenue, reduced sales, an increase in multi-phase subscription start dates, shorter terms for customer subscriptions, lengthened sales cycles, increased churn, lower demand for our products, and adversely affect our results of operations and financial conditions. Furthermore, we may need to exercise more flexibility in customer payment terms as customers navigate a more challenging economic environment.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our customers do not renew their subscriptions for our products and add additional cloud modules to their subscriptions, our future results of operations could be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to three years, and in the normal course of business, some customers have elected not to renew. In addition, customers that previously signed multi-year subscription contracts may renew for shorter contract subscription lengths, and customers may cease using certain cloud modules altogether. Even if customers choose to renew their subscription of certain cloud modules, they may decline to purchase additional cloud modules or choose not to consolidate onto our Falcon platform. Our customer retention, renewals and expansion may decline or fluctuate as a result of a number of factors, including our customers’ satisfaction with our products and services, our customers’ ability to fully utilize their product subscriptions, our pricing, customer security and networking issues and requirements, our customers’ spending levels, decreases in the number of endpoints to which our customers deploy our solutions, mergers and acquisitions involving our customers, industry developments, competition, the impact of the July 19 Incident, including the impact of our customer commitment packages, and general economic and geopolitical conditions. Any such impacts on customer renewals may result from a variety of different factors, including customers electing to renew with shorter subscription periods, fewer cloud modules, fewer endpoints or smaller contract values. If our efforts to maintain and expand our relationships with our existing customers are not successful, our business, results of operations, and financial condition may materially suffer.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sales cycles can be long and unpredictable, and our sales efforts require considerable time and expense.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revenue recognition is difficult to predict because of the length and unpredictability of the sales cycle for our Falcon platform.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and adds uncertainty to our sales cycle. In addition, uncertain economic or geopolitical conditions, including in connection with changes in trade policies and tariffs, may lead to additional scrutiny of budgets by current and prospective customers, which has resulted in, for example, longer sales cycles for products and services, and may result in shifting demand for IT products and services, and slower adoption of new technologies. We have also experienced, and may continue to experience, longer sales cycles in connection with the July 19 Incident. We may also experience longer sales cycles as customers seek to consolidate on our Falcon platform and negotiate larger deals, including in connection with our flexible subscription offering.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when a sale will be completed. The failure of our efforts to secure sales after investing resources in a lengthy sales process could adversely affect our business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face intense competition and could lose market share to our competitors, which could adversely affect our business, financial condition, and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or services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product capabilities, including performance and reliability, of our Falcon platform, including our cloud modules, services, and features compared to those of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and the ability of our competitors, to improve existing products, services, and features, or to develop new ones to address evolving customer needs;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attract, retain, and motivate talented employees;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establish and maintain relationships with channel partners and direct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strength of our sales and marketing efforts;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strength of our reputation and brand, including the impact to our reputation and brand as a result of the July 19 Incident;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acquisitions or consolidation within our industry, which may result in more formidable competitors.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competitors include the following by general category: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legacy antivirus product providers who offer a broad range of approaches and solutions including traditional signature-based anti-virus protection;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alternative endpoint security providers who generally offer a mix of on-premise and cloud-hosted products that rely heavily on malware-only or application whitelisting techniques;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network security vendors who are supplementing their core perimeter-based offerings with endpoint or cloud security solutions;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cloud security vendors, including those who focus on public cloud infrastructure and services;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identity security vendors that seek to identify and secure user accounts and related activities;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professional service providers who offer cybersecurity response services;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legacy SIEM vendors who offer a range of log management and security capabilities.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are changing rapidly and significantly as a result of technological advancements, including with respect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AI. Our competitors may more successfully incorporate AI into their products, gain or leverage superior access to certain AI technologies, and achieve higher market acceptance of their AI solutions. Conditions in our market could also change rapidly and significantly due to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solutions. Furthermore, even if the functionality offered by other security and IT operations providers is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Competitive pricing pressure may reduce our gross profits and adversely affect our financial results.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The cybersecurity market remains very competitive, and competition may further increase in the future. Competitors may reduce the price of products or subscriptions that compete with ours or may bundle them with other products and subscriptions.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our solutions fail or are perceived to fail to detect or prevent incidents or have or are perceived to have defects, errors, or vulnerabilities, our brand and reputation would be harmed, which would adversely affect our business and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has contained, and may in the future contain defects, errors or vulnerabilities that are not detected until after deployment. For example, the July 19 Incident harmed our brand and reputation, business and results of operations. As another example, we identified a path traversal vulnerability that impacted certain versions of LogScale, which led us to release a security fix and publish a security advisory to remediate the matter in April 2026. If we fail to timely detect defects or errors before deployment in the future, our brand and reputation, business and results of operations will suffer further.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or third-party solutions, our solutions could be or become vulnerable to security incidents (both from intentional attacks and accidental causes) that cause them to fail to secure endpoints and detect and block attacks. Furthermore, any defects, errors or vulnerabilities in third-party technology or solutions we rely on could result in disruptions to our operations and adversely impact our business, financial condition and results of operations.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Moreover, as our cloud native security platform is adopted by an increasing number of enterprises and governments, individuals and organizations behind advanced cyberattacks may intensify their efforts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or third-party platforms, could result in personally-identifiable information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if the customer failed to protect its own credentials, or if the attack would have otherwise been mitigated or prevented if the customer had fully deployed aspects of our Falcon platform.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pStyle w:val="TextBody"/>
        <w:bidi w:val="0"/>
        <w:spacing w:lineRule="auto" w:line="288" w:before="240" w:after="283"/>
        <w:jc w:val="left"/>
        <w:rPr/>
      </w:pPr>
      <w:r>
        <w:rPr>
          <w:rFonts w:ascii="Times New Roman;serif" w:hAnsi="Times New Roman;serif"/>
          <w:b/>
          <w:i/>
          <w:color w:val="000000"/>
          <w:sz w:val="20"/>
        </w:rPr>
        <w:t>As a cybersecurity provider, we have been, and expect to continue to be, a target of cyberattacks. If our or our service providers</w:t>
      </w:r>
      <w:r>
        <w:rPr>
          <w:color w:val="000000"/>
        </w:rPr>
        <w:t xml:space="preserve">’ </w:t>
      </w:r>
      <w:r>
        <w:rPr>
          <w:rFonts w:ascii="Times New Roman;serif" w:hAnsi="Times New Roman;serif"/>
          <w:b/>
          <w:i/>
          <w:color w:val="000000"/>
          <w:sz w:val="20"/>
        </w:rPr>
        <w:t>internal networks, systems, or data are or are perceived to have been compromised, our reputation may be damaged and our financial results may be negatively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Such efforts may also intensify as geopolitical tensions increase. In addition, bad actors have attempted to leverage the July 19 Incident to facilitate malicious activity, including, for example, through sending phishing emails posing as CrowdStrike support. Such activity, whether or not successful, could result in additional harm to our business. We are also susceptible to inadvertent compromises of our systems and data, including those arising from process, coding, or human errors. Moreover, we utilize third-party service providers to, among other things,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results in an interruption of service or that compromises our or our service providers’ internal networks, systems, or data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Such attacks are becoming increasingly more sophisticated as threat actors leverage AI technologies.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any or all of which could 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factors, many of which are beyond our control, can affect the delivery, availability, and the performance of our Falcon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development and maintenance of the infrastructure of the internet;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performance and availability of third-party providers of cloud infrastructure services, such as AWS, with the necessary speed, data capacity and security for providing reliable internet access and services;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physical or electronic break-ins, acts of war or terrorism, human error or interference (including by disgruntled employees, former employees or contractors) and other catastrophic events;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cyberattacks, including denial of service attacks, targeted at us, our data centers, or the infrastructure of the internet;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by us to maintain and update our cloud infrastructure to meet our data capacity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errors, defects or performance problems in our software, including third-party software incorporated in our software;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improper deployment or configuration of our solutions;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failure of our redundancy systems, in the event of a service disruption at one of our data centers, to provide failover to other data centers in our data center network;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failure of our disaster recovery and business continuity arrangements.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us or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We have experienced, and may in the future experience, service interruptions and other performance problems due to a variety of factors. The occurrence of any of these factors, or if we are unable to rapidly and cost-effectively fix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such errors or other problems that may be identified, could damage our reputation, negatively affect our relationship with our customers or otherwise harm our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our key technical, sales and management personnel to grow our business, and the loss of one or more key employees could harm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Leadership transitions can be inherently difficult to manage. In particular, they can cause operational and administrative inefficiencies, and could impact relationships with key customers and vendors. If Mr. Kurtz, or one or more of our key employees, or members of our management team resigns or otherwise ceases to provide us with their service, our business could be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attract and retain qualified personnel, our business could be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is significant competition for personnel with the skills and technical knowledge that we require across our technology, cyber, sales, professional services, and administrative support functions. Competition for these personnel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More generally, the technology industry is subject to substantial and continuous competition for engineers with high levels of experience in designing, developing and managing software and Internet-related services.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In addition, job candidates and existing employees often consider the value of the equity awards they receive in connection with their employment. Therefore, volatility or lack of performance in our stock price could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In addition, the Strategic Plan (as defined in the notes to our unaudited condensed consolidated financial statements) could negatively affect our ability to </w:t>
      </w:r>
      <w:r>
        <w:rPr>
          <w:rFonts w:ascii="Times New Roman;serif" w:hAnsi="Times New Roman;serif"/>
          <w:b w:val="false"/>
          <w:color w:val="000000"/>
          <w:sz w:val="20"/>
          <w:shd w:fill="FFFFFF" w:val="clear"/>
        </w:rPr>
        <w:t>recruit and retain skilled personnel</w:t>
      </w:r>
      <w:r>
        <w:rPr>
          <w:rFonts w:ascii="Times New Roman;serif" w:hAnsi="Times New Roman;serif"/>
          <w:b w:val="false"/>
          <w:color w:val="000000"/>
          <w:sz w:val="20"/>
        </w:rPr>
        <w:t>. Any failure to successfully attract, integrate or retain qualified personnel to fulfill our current or future needs could adversely affect our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do not effectively expand and train our direct sales force, we may be unable to add new customers or increase sales to our existing customers, and our business will be adversely affected.</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on our direct sales force to obtain new customers and increase sales with existing customers. Our ability to achieve significant revenue growth will depend, in large part, on our success in recruiting, training, incentivizing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Because we recognize revenue from subscriptions to our platform over the term of the subscription, downturns or upturns in new business will not be immediately reflected in our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generally recognize revenue from customers ratably over the terms of their subscription, which is generally one to three years.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In addition, subscription commencement dates may be impacted by a number of factors, some of which we may exercise varying degrees of control over, including terms negotiated with our customers and our internal review, approval and provisioning processes. As a result, the impact of new subscriptions may not be immediately reflected in our results of operations. Moreover, the effect of downturns or upturns in new sales and potential changes in our rate of renewals, including as a result of the July 19 Incident, may not be fully reflected in our results of operations until future periods. In addition, customer commitment packages introduced following the July 19 Incident that extend subscription periods will lengthen the applicable term over which we recognize revenue, which has adversely affected, and is expected to continue to adversely affect, our results. We may also be unable to timely reduce our cost structure in line with a significant deterioration in sales or renewals that would adversely affect our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results of operations may fluctuate significantly, which could make our future results difficult to predict and could cause our results of operations to fall below expectations.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attract new and retain existing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budgeting cycles, seasonal buying patterns, and purchasing practices of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economic difficulties confronting our customers, which may impact the number of modules or endpoint deployments they are willing or able to purchase;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insolvency or credit difficulties confronting our customers, affecting their ability to purchase or pay for our solutions, including in connection with our customer and end-user financing arrangements;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length of our sales cycles;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customer or channel partner requirements or market needs;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disruption in our relationship with channel partners;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the growth rate of the cloud-based SaaS-delivered endpoint security solutions market;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success of new product and service introductions by us or our competitors or any other competitive developments, including consolidation among our customers or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decisions by organizations to purchase security solutions from larger, more established security vendors or from their primary IT equipment vendors;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our pricing policies or those of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level of awareness of cybersecurity threats, particularly advanced cyberattacks, and the market adoption of our Falcon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significant security breaches of, technical difficulties with or interruptions to, the use of our Falcon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impact to our business from the July 19 Incident;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negative media coverage or publicity;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expand our business domestically and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amount and timing of operating costs (including new hires), tightening of labor markets and capital expenditures related to the expansion of our business;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extraordinary expenses such as litigation, regulatory or other dispute-related settlement payments or outcomes;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increases or decreases in our expenses caused by fluctuations in foreign currency exchange rates;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future accounting pronouncements or changes in our accounting policies or practices;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developments relating to our valuation allowances for our deferred tax assets;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deteriorating or volatile conditions in the global economy and financial markets, including as a result of weak or negative gross domestic product growth, uncertainty or disruptions in the capital and credit markets, changing interest rates, inflation, tariffs and trade restrictions, bank failures or adverse conditions impacting financial institutions, and supply-chain disruptions;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political events, geopolitical unrest or tension, acts of war and terrorism.</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processes of many of our customers. In addition, we also experience seasonality in our operating margin, typically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 For example, we are currently party to securities litigation brought in connection with the July 19 Incident on behalf of certain purchasers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not able to maintain and enhance our CrowdStrike and Falcon brands and our reputation as a provider of high-efficacy security solutions, our business and results of operations may be adversely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maintaining and enhancing our CrowdStrike and Falcon brands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brands depends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private and public customers as well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assist in analyzing and remediating high profile cyberattacks, which sometimes involve nation-state actors. Our work with such customers has exposed us to publicity and media coverage. Changing political environments in the United States and abroad may amplify the media and political scrutiny we face. Negative publicity about us, including about our management, the efficacy and reliability of our Falcon platform, our products offerings, our professional services, and the customers we work with, even if inaccurate, has in the past adversely affected, and may in the future adversely affect, our reputation and brand. For example, the July 19 Incident, which received significant media attention and negative publicity, harmed our reputation and brand.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our direct sales force, we rely on our channel partners to sell and support our Falcon platform. The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international operations and plans for future international expansion expose us to significant risks, and failure to manage those risks could adversely impact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derived approximately 32%, 32%, 33% and 35% of our total revenue from our international customers for fiscal 2024, fiscal 2025, fiscal 2026 and the six months ended July 31, 2026,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difficulty in negotiating contracts with standard terms, enforcing contracts and managing collections, and longer collection periods;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higher costs of doing business internationally, including costs incurred in establishing and maintaining office space and equipment for our international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management communication and integration problems resulting from cultural and geographic dispersion;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risks associated with trade restrictions and foreign legal requirements, including any importation, certification, and localization of our Falcon platform that may be required in foreign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risk of unexpected changes, or threat of changes, in regulatory practices, tariffs, and tax laws and treaties or the application thereof;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heightened risk of unfair or corrupt business practices in certain geographies and of improper or fraudulent sales arrangements that may impact financial results and result in restatements of, or irregularities in, financial statements;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uncertainty of protection for intellectual property rights in some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general economic and political conditions in these foreign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foreign exchange controls or tax regulations that might prevent us from repatriating cash earned outside the United States;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political and economic instability in some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double taxation of our international earnings and potentially adverse tax consequences due to changes in the tax laws of the United States or the foreign jurisdictions in which we operate;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unexpected costs for the localization of our services, including translation into foreign languages and adaptation for local practices and regulatory requirements (including, but not limited to data localization requirements, digital sovereignty requirements and other restrictions, such as those emerging in the EU);</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requirements to comply with foreign privacy, data protection, and information security laws and regulations and the risks and costs of noncompliance;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difficulty in identifying, attracting and retaining local qualified personnel, and the costs and expenses associated with such activities;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difficulty identifying qualified channel partners and maintaining successful relationships with such partners;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differing employment practices and labor relations issues;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difficulties in managing and staffing international offices and increased travel, infrastructure, and legal compliance costs associated with multiple international locations.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nearly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Australian Dollar, British Pound, Canadian Dollar, Euro, Indian Rupee, and Japanese Yen; and is subject to fluctuations due to changes in foreign currency exchange rates. As part of our efforts to manage the variability of foreign currency-denominated operating expenses, we have entered into, and may in the future enter into, foreign currency forward contracts intended to hedge a portion of these expenses. However, our hedging activities may not be effective in meaningfully offsetting the adverse financial impact of foreign currency rate fluctuations. In addition, foreign currency derivative transactions involve risks, including counterparty credit risk, potential cash flow impact upon settlement, and the risk that foreign currency movements differ from our expectations or historical trends, which could render our hedging strategies ineffective or result in losses. If we become more exposed to currency fluctuations and are not able to successfully hedge against the risks associated with currency fluctuations, our results of operations could be adversely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depends, in part, on sales to government organizations, and significant changes in the contracting or fiscal policies of such government organizations could have an adverse effect on our business and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U.S. federal, state and local government sales as well as foreign government sales are subject to a number of challenges and risks that may adversely impact our business.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to such government entities include, but are not limited to, the following risks: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selling to governmental agencies can be highly competitive, expensive and time consuming, often requiring significant upfront time and expense without any assurance that such efforts will generate a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be required to obtain personnel security clearances and facility clearances to perform on classified contracts for government agencies, and there is no guarantee that we will be able to obtain or maintain such clearances;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government certification, software supply chain, and source code transparency requirements applicable to us or our products are constantly evolving and, in doing so, restrict our ability to sell to certain government customers until we have attained the new or revised certification or meet other applicable requirements, which we are not guaranteed to do. For example, although we are currently certified under the U.S. Federal Risk and Authorization Management Program, or FedRAMP, such certification is costly to maintain and if we lose our certification, it would restrict our ability to sell to government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government product requirements are often technically complex and assessors may require us to make costly changes to our products to meet such requirements without any assurance that such changes will generate a sale or improve the efficacy of our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government demand and payment for our Falcon platform may be impacted by public sector budgetary cycles and funding authorizations, with funding reductions or delays in the government appropriations or procurement processes adversely affecting public sector demand for our Falcon platform, including as a result of abrupt events such as war, incidents of terrorism, natural disasters, and public health concerns or epidemics;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government attitudes towards us as a company, our platform or the capabilities that we offer as a viable software solution may change, and reduce interest in our products and services as acceptable solutions;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the political environment, including before or after a change to the leadership within the government administration, can create uncertainty or changes in policy or priorities and reduce available funding for our products and services;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third parties may compete intensely with us on pending, new or existing contracts with government products, which can also lead to appeals, disputes, or litigation relating to government procurement, including but not limited to bid protests by unsuccessful bidders on potential or actual awards of contracts to us or our partners by the government;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even if we are awarded a sale, the terms of such contracts may be unusually burdensome;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occurrence of any of the foregoing risks could cause governments and governmental agencies to delay or refrain from purchasing our solutions in the future or otherwise have an adverse effect on our business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timely and cost-effectively scale and adapt our existing technology to meet our customers’ performance and other requirements.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including those involving AI,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as our business grows, we must continue to improve and expand our information technology infrastructure. It takes a significant amount of time to plan, develop and test improvements to our technologies and infrastructure, and we may not be able to accurately forecast demand or predict the results we will realize from such improvements. We rely on external ecosystems, such as operating systems and platforms, to operate and make, in various layers of technology stacks, our products and services available to customers. If we are unable to adapt to product or policy changes in such ecosystems, or if we do not effectively operate with such ecosystems, demand for and availability of our products or services could decline. To the extent that we do not effectively scale our operations and infrastructure to meet the needs of our business,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ability to maintain customer satisfaction depends in part on the quality of our customer support.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of our larger organizational customers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need to raise additional capital to expand our operations and invest in new solutions, which capital may not be available on terms acceptable to us, or at all, and which could reduce our ability to compete and could harm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that the combination of our existing cash and cash equivalents and cash flows from operations will be sufficient to meet our anticipated cash needs for working capital and capital expenditures for at least the next 12 months. Retaining or expanding our current levels of personnel and product and service offerings may require additional funds to respond to business challenges, including the need to develop new products or services and enhancements to our Falcon platform, improve our operating infrastructure, or acquire complementary businesses and technologies. Our failure to raise additional capital or generate the significant capital necessary to expand our operations and invest in new products or services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common stock could decline. If we engage in additional debt financing, the holders of such debt would have priority over the holders of our common stock, and we may be required to accept terms that further restrict our operations or our ability to incur additional indebtedness or to take other actions that would otherwise be in the interests of the debt holders. Any of the above could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cannot maintain our company culture as we grow, we could lose the innovation, teamwork, passion, and focus on execution that we believe contribute to our success and our business may be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a limited number of suppliers for certain components of the equipment we use to operate our cloud platform. Supply chain disruptions could delay our ability to expand or increase the capacity of our global data center network, replace defective equipment in our existing data centers and impact our operating costs.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a limited number of suppliers for several components of the equipment we use to operate our cloud platform and provide services to our customers. We generally purchase these components on a purchase order basis, and do not have long-term contracts guaranteeing supply. Our reliance on these suppliers exposes us to risks, including reduced control over production costs and constraints based on the then current availability, terms and pricing of these components. If we experience disruption or delay from our suppliers, we may not be able to obtain supplies or components from alternative suppliers on a timely basis or on terms that are favorable to us, if at all. Such risks may become more pronounced as we continue to scale our business. The technology industry has experienced widespread component shortages and delivery delays, including as a result of geopolitical tensions (including actual or threatened changes in tariffs and trade restrictions), public health crises and natural disasters. We may also experience component shortages and pricing increases from certain of our suppliers as a result of increased demand for such components. While we have taken steps to mitigate our supply chain risk, supply chain disruptions and delays could nevertheless adversely impact our operations by, among other things, causing us to delay opening new data centers, delay increasing capacity or replacing defective equipment at existing data centers, and experience increased operating costs.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exposed to the credit risks of certain of our customers and end-users, which could adversely impact our business, financial condition or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provide financing arrangements for certain of our customers and end-users to purchase our products and services. Such financing activities expose us to the credit risks of our customers and end-users and these risks may be more pronounced if our customers and end-users are negatively impacted by a global economic downturn or periods of economic uncertainty. There can be no assurance that our efforts to monitor and mitigate these credit risks will be effective. If we are unable to adequately control these risks, our business, financial condition or results of operations could be harmed.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Intellectual Property, Legal, and Regulatory Matters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success of our business depends in part on our ability to protect and enforce our intellectual property rights.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Claims by others that we infringe their proprietary technology or other intellectual property rights could result in significant costs and substantially harm our business, financial condition, results of operations, and prospects.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effort and expense and may ultimately not be successful. Additionally, we may be unable to continue to offer our affected services or features while developing such technology.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effort and expense and may ultimately not be successful. Additionally, we may be unable to continue to offer our affected products, subscriptions or services, while developing such technology. Furthermore, a successful claimant could secure a judgment or we may agree to a settlement that prevents us from distributing certain products, providing certain subscriptions or performing certain services. Any such judgment or settlement could also require us to pay substantial damages, royalties or other fees. Any of these events could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license technology from third parties, and our inability to maintain those licenses could harm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required to comply with stringent, complex and evolving laws, rules, regulations and standards in many jurisdictions, as well as contractual obligations, relating to data privacy and security. Ensuring compliance with such requirements may increase operating costs, impact our data processing practices and policies and the development of new products or services, and reduce operational efficiency, any of which could adversely affect our business and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United States, there are numerous federal, state and local data privacy and security laws, rules, and regulations governing the collection, sharing, use, retention, disclosure, security, transfer, storage and other processing of personal information, including federal and state data privacy and security laws, data breach notification laws, and data disposal laws. For example, at the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security), as well as the Electronic Communication Privacy Act, the Computer Fraud and Abuse Act, the Health Insurance Portability and Accountability Act, and the Gramm Leach Bliley Act. The United States Congress also has considered, and in the future will likely consider, proposals from time to time for comprehensive federal data privacy and security legislation, to which we may become subject if passed.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the state level, we are subject to laws and regulations such as the California Consumer Privacy Act, as amended by the California Privacy Rights Act (collectively, the “CCPA”). The CCPA broadly defines personal information and gives California residents expanded privacy rights and protections, such as affording them the right to access and request deletion of their information and to opt out of certain sharing and sales of personal information. The CCPA provides for severe civil penalties and statutory damages for violations and a private right of action for certain data breaches that result in the loss of unencrypted personal information. This private right of action is expected to increase the likelihood of, and risks associated with, data breach litigation. Numerous other states have also enacted, or are in the process of enacting or considering, comprehensive state-level data privacy and security laws, rules, and regulations that share similarities with the CCPA. Moreover, laws in all 50 U.S. states require businesses to provide notice under certain circumstances to consumers whose personal information has been disclosed as a result of a data breach.</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Internationally, virtually every jurisdiction in which we operate has established its own data privacy and security legal framework with which we must comply. For example, we are required to comply with the European Union (“EU”) General Data Protection Regulation (“GDPR”) and its equivalent in the U.K. (“U.K. GDPR”), which impose stringent obligations regarding the collection, control, use, sharing, disclosure and other processing of personal data and create mandatory breach notification requirements under certain circumstances. While the GDPR and U.K. GDPR remain substantially similar for the time being, the U.K. government has adopted reforms to its data protection legal framework in its Data Use and Access Act 2025, which became law on June 19, 2025 (phased in between June 2025 and June 2026) and introduced significant changes from the GDPR. This may lead to additional compliance costs and could increase overall risk exposure as businesses may no longer be able to take a unified approach across the European Economic Area (“EEA”) and the U.K., and such businesses may need to amend their processes and procedures to align with the new framework. Implementing mechanisms to endeavor to ensure compliance with the GDPR and the U.K. GDPR may be onerous and expose businesses to divergent parallel regimes that may be subject to potentially different interpretations and enforcement actions for certain violations and related uncertainty. Failure to comply with the GDPR 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U.K. GDPR can result in significant fines and other liability, including, under the GDPR, fines of up to EUR 20 million (or GBP 17.5 million under the U.K. GDPR) or four percent (4%) of annual global revenue, whichever is greater. European data protection authorities have already imposed fines for GDPR violations of up to, in some cases, hundreds of millions of Euros.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Legal developments in the EEA have created complexity and uncertainty regarding processing and transfers of personal data from the EEA to the United States and other so-called third countries outside the EEA, including in the context of website cookies. Similar complexities and uncertainties also apply to transfers from the U.K. to third countries. While we have taken steps to mitigate the impact on us, such as implementing the European Commission’s standard contractual clauses (“SCCs”) and the U.K.’s international Data Transfer Agreement (or the U.K.’s international data transfer addendum that can be used with the SCCs), the efficacy and longevity of these mechanisms remains uncertain. On July 10, 2023, the European Commission adopted an adequacy decision concluding that the U.S. ensures an adequate level of protection for personal data transferred from the EU to the U.S. under the recently adopted EU-U.S. Data Privacy Framework (followed on October 12, 2023 with the adoption of an adequacy decision in the U.K. for the U.K.-U.S. Data Bridge); however, such new adequacy decision has been challenged in EU courts, and is likely to face additional challenges. Moreover, although the U.K. currently has an adequacy decision from the European Commission, such that SCCs are not required for the transfer of personal data from the EEA to the U.K., that decision will sunset in December 2031 unless extended or renewed and it may be revoked in the future by the European Commission if the U.K. data protection regime is reformed in ways that deviate substantially from the GDPR. The EU has also enacted legislation that would regulate non-personal data and establish new cybersecurity standards, and other countries, including the U.K., may similarly do so in the future. In particular, the EU’s Digital Services Act and the EU’s Data Act both entered into force in 2024 and impose certain content moderation, notice and transparency obligations on digital platforms and intermediaries and certain data and cloud service interoperability and switching obligations to enable users to switch between cloud service providers (as well as certain requirements concerning cross-border international transfers of non-personal data outside the EEA), respectively. Additionally, the EU’s Network and Information Security Directive II, adopted in 2023, regulates resilience and incident response capabilities of entities operating in a number of sectors, including the digital infrastructure sector and provides for EU member states to have issued implementing legislation by October 2024. Further, the EU’s Digital Operational Resiliency Act became effective in January 2025 and imposes certain requirements on entities in the financial sector and their third-party cloud service providers related to managing and mitigating information and communication technology risk. If we are unable to transfer data, including personal data, between and among countries and regions in which we operate, or are otherwise required to modify our practices, including our data privacy and security controls and procedures, it could affect the manner in which we provide our services, the geographical location or segregation of our relevant systems and operations, and could adversely affect our financial results. While we have implemented new controls and procedures designed to comply with the requirements of the GDPR, U.K. GDPR and the data privacy and security laws of other jurisdictions in which we operate, such procedures and controls may not be effective in ensuring compliance or preventing unauthorized transfers of personal data.</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Moreover, while we strive to publish and prominently display privacy policies that are accurate, comprehensive, and compliant with applicable laws, rules, regulations and industry standards, we cannot ensure that our privacy policies and other statements regarding our practices will be sufficient to protect us from claims, proceedings, liability or adverse publicity relating to data privacy and security. Although we endeavor to comply with our privacy policies, we may at times fail to do so or be alleged to have failed to do so. If our public statements about our use, collection, disclosure and other processing of personal information, whether made through our privacy policies, information provided on our website, press statements or otherwise, are alleged to be deceptive, unfair or misrepresentative of our actual practices, we may be subject to potential government or legal investigation or action, including by the Federal Trade Commission or applicable state attorneys general.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In many jurisdictions, enforcement actions and consequences for non-compliance with data privacy and security laws, rules, regulations, standards, certifications, contractual requirements or other obligations are rising. Data subjects may also have a private right of action, as well as support from consumer privacy advocates or organizations, to lodge complaints with supervisory authorities, seek judicial remedies and obtain compensation for damages resulting from violations of applicable data privacy and security laws, rules and regulations. In addition, privacy advocates and industry groups have proposed, and may propose in the future, self-regulatory standards that may legally or contractually apply to us or be alleged to apply to us. Any failure or perceived failure by us or any third parties with which we do business to comply with applicable privacy policies, data privacy or security laws, rules, regulations, standards, certifications or contractual obligations, or any compromise of security that results in unauthorized access to, or unauthorized loss, destruction, use, modification, acquisition, disclosure, release, transfer or other processing of personal information, may result in requirements to modify or cease certain operations or practices, the expenditure of substantial costs, time and other resources, proceedings or actions against us, legal liability, governmental investigations, enforcement actions, claims, fines, judgments, awards, penalties, sanctions and costly litigation (including class actions). There also has been increased regulatory scrutiny from the SEC with respect to adequately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disclosing risks concerning cybersecurity and data privacy. Such scrutiny from the SEC increases the risk of investigations into the cybersecurity practices, and related disclosures, of companies within its jurisdiction. Any of the foregoing could harm our reputation, distract our management and technical personnel, increase our costs of doing business, adversely affect the demand for our products and services, and ultimately result in the imposition of liability, any of which could have a material adverse effect on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Failure to comply with laws and regulations applicable to our business could subject us to fines and penalties and could also cause us to lose customers or negatively impact our ability to contract with customers, including those in the public sector.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regulation by various federal, state, local and foreign governmental agencies, including agencies responsible for monitoring and enforcing data privacy and security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Increased scrutiny may also lead to new laws and regulations, or new applications of existing laws and regulations, that target topics such as AI, critical infrastructure software resiliency, digital sovereignty requirements and concentration risk. Our efforts to comply with applicable laws and regulations may increase operating costs, which could adversely affect our business and operations. Noncompliance by us, our employees, representatives, contractors, channel partners, agents, intermediaries, or other third parties with applicable regulations or requirements could subject us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investigations, enforcement actions and sanctions;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mandatory changes to our Falcon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disgorgement of profits, fines and damages;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civil and criminal penalties or injunctions;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claims for damages by our customers or channel partners;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termination of contracts;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loss of intellectual property rights;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loss of our license to do business in the jurisdictions in which we operate;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temporary or permanent debarment from sales to government organizations.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could result in reduced sales of our products or services, substantial product inventory write-offs, reputational damage, penalties, and other sanctions, any of which could harm our business, reputation,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subject to governmental export controls and economic sanctions laws that could impair our ability to compete in international markets and subject us to liability if we are not in full compliance with applicable laws.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products, services and business activities, including our collection of information about cyber threats,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The U.S. export control laws and U.S. economic sanctions laws include prohibitions on the sale or supply of certain products and services to U.S. embargoed or sanctioned countries, governments, persons and entities and also require authorization for the export of encryption items. In addition, various countries regulate the import of certain encryption technology, including through import and licensing requirements, and have enacted laws that could limit our ability to distribute our products or service or could limit our customers’ ability to implement our service in those countries. Changes in our products or services or changes in these laws and regulations may create delays in the introduction of our products or services into international markets, prevent our customers with international operations from deploying our products or services globally or, in some cases, prevent the export or import of our products or services to certain countries, governments or persons altogether. Any decreased use of our products or services or limitation on our ability to export to or sell our products or services in international markets would likely adversely affect our business, financial condition, and operating results. Obtaining the necessary authorizations, including any required license, for a particular transaction may be time-consuming, is not guaranteed, and may result in the delay or loss of sales opportunities. If we fail to comply with these laws and regulations, we and certain of our employees could be subject to civil or criminal penalties, including the possible loss of export privileges and monetary penalties. Although we take precautions to prevent our products or services from being provided in violation of such laws, our products or services may have been in the past, and could in the future be, provided in violation of such laws, despite the precautions we take. This could result in negative consequences to us, including government investigations, penalties and harm to our reputation.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subject to anti-corruption, anti-bribery and similar laws, and non-compliance with such laws can subject us to criminal penalties or significant fines and harm our business and reputation.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the U.S. Foreign Corrupt Practices Act of 1977, as amended (“FCPA”), the U.K. Bribery Act 2010 and other anti-corruption, anti-bribery, anti-money laundering and similar laws in the United States and other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use channel partners, agents and other third-parties to sell our products or conduct business on our behalf. We or such third parties may have direct or indirect interactions with officials and employees of government agencies or state-owned or affiliated entities and under certain circumstances we could be held liable for the corrupt or other illegal activities of such partners, and our employees, representatives, contractors, partners, and agents, even if we do not explicitly authorize such activities. We have implemented an anti-corruption compliance program but cannot ensure that all our employees and agents, as well as those companies to which we outsource certain of our business operations, will not take actions in violation of our policies and applicable law, for which we may be ultimately held responsible.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Noncompliance with the FCPA, other applicable anti-corruption, anti-bribery, or anti-money laundering laws could subject us to investigations, whistleblower complaints, sanctions, settlements, prosecution, and other enforcement actions within the U.S. and internationally. Any violation of these laws could result in disgorgement of profits, significant fines, damages, other civil and criminal penalties or injunctions, adverse media coverage, loss of export privileges, severe criminal or civil sanctions, suspension or debarment from U.S. government contracts and other consequences, any of which could have a material adverse effect on our reputation,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Some of our technology incorporates “open source” software, which could negatively affect our ability to sell our Falcon platform and subject us to possible litigation.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and they can change the license terms on which they offer the open source software. Many of the risks associated with use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open source software cannot be eliminated and could negatively affect our business. In addition, the wide availability of source code used in our solutions could expose us to security vulnerabilities.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resulting in time-consuming and costly litigation;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diverting management’s time and attention from developing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requiring us to pay monetary damages or enter into royalty and licensing agreements that we would not normally find acceptable;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causing delays in the deployment of our Falcon platform or service offerings to our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requiring us to stop offering certain services or features of our Falcon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requiring us to redesign certain components of our Falcon platform using alternative non-infringing or non-open source technology, which could require significant effort and expense;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requiring us to disclose our software source code and the detailed program commands for our software;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requiring us to satisfy indemnification obligations to our customers.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utilize AI, which could expose us to liability or adversely affect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incorporate novel uses of AI technologies, including generative and agentic AI, into our products and operations, such as our Falcon platform. AI is complex and rapidly evolving, and we face significant competition from other companies who may incorporate AI into their products more quickly or more successfully than us, as well as an evolving regulatory landscape. The introduction of AI, and particularly generative and agentic AI, relatively new and emerging technologies in the early stages of commercial use, into new or existing products, and our operations, may result in new or enhanced governmental or regulatory scrutiny, litigation, confidentiality, ethical concerns, or other complications that could adversely affect our business, reputation, or financial results. For example, generative AI has been known to produce false or “hallucinatory” interferences or outputs, and certain generative AI uses machine learning and predictive analytics, which may be flawed, insufficient, of poor quality, reflect unwanted forms of bias, or contain other errors or inadequacies, any of which may not be easily detectable. Our customers or others may rely on or use this flawed content to their detriment, which may expose us to brand or reputational harm, competitive harm, and/or legal liability. In addition, the use of AI by other companies has resulted in, and may in the future result in, data breaches and cybersecurity incidents that implicate the personal information of AI users. Further, the use of AI presents emerging ethical, social, legal and other issues, and if we enable or offer solutions that draw scrutiny or controversy due to perceived or actual risks or impacts on customers or on society as a whole, we may experience brand or reputational harm, competitive harm,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delays in customer purchasing decisions and/or legal liability. Our continued incorporation of AI, including generative and agentic AI, into our products and operations requires us to expend significant resources. If such investments do not deliver anticipated benefits or are not otherwise successful, our business and results of operations may be harmed.</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technologies underlying AI and its uses are subject to a variety of laws and regulations, including intellectual property, privacy, data protection cybersecurity, consumer protection, competition, and equal opportunity laws and regulations, and are expected to be subject to new laws and regulations or new applications of existing laws and regulations. AI is the subject of ongoing review by various U.S. governmental and regulatory agencies, and various U.S. states and other foreign jurisdictions are applying, or are considering applying, their cybersecurity and data protection laws to AI or are considering general legal frameworks for AI. For example, in the EU, the first set of provisions under the EU’s AI Act became effective in February 2025, with additional provisions becoming effective on later dates. The AI Act establishes, among other things, a risk-based governance framework for regulating AI systems in the EU by categorizing AI systems, based on the risks associated with such AI systems’ intended purposes, as creating unacceptable or high risks, with all other AI systems being considered low risk. This regulatory framework is expected to have a material impact on the way AI is regulated in the EU and beyond. As further indication of a trend in increased regulatory and legislative oversight of the use and development of AI, in 2024, California enacted a range of laws regulating the use and development of AI, which generally relate to transparency, privacy and fairness, among other concerns. Other states, including Texas, Colorado, Illinois, New York, and Utah, have also enacted AI-related laws, and there have been widespread proposals to enact such laws.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fast-evolving and complicated technology subject to significant government attention, AI-related legislation and regulation may be developed and apply to AI in unexpected ways. We may not be able to anticipate how to respond to or comply with these rapidly evolving frameworks, and we may need to expend resources to adjust our offerings in certain jurisdictions if the legal frameworks are inconsistent across jurisdictions. The cost to comply with such frameworks could be significant and may increase our operating expenses. Additionally, if we do not have sufficient rights to use the data or other material or content on which our AI technologies rely, we may incur liability through the violation of applicable laws or regulations, third-party intellectual property, privacy or other rights, or contracts to which we are a party. Further, any content or other output created by our use of AI-powered tools may not be subject to copyright protection, which may adversely affect our ability to enforce our intellectual property rights. Because AI technology itself is highly complex and rapidly developing, it is not possible to predict all of the legal, operational or technological risks that may arise relating to the use of AI.</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provide service level commitments under some of our customer contracts. If we fail to meet these contractual commitments, we could be obligated to provide credits for future service and our business could suffer.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To the extent we are unable to meet our stated service level commitments or to the extent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sheets for such commitments. Our revenue, other results of operations and financial condition could be harmed to the extent we suffer performance issues or downtime that exceeds the service level commitments under our agreements with our customers.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currently, and may in the future become, involved in litigation that may adversely affect us.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regularly subject to claims, suits, and government investigations and other proceedings including patent, product liability, class action, whistleblower, personal injury, property damage, labor and employment (including allegations of wage and hour violations), commercial disputes, securities litigation, compliance with laws and regulatory requirements and other matters, and we may become subject to additional types of claims, suits, investigations and proceedings as our business develops or in connection with the July 19 Incident.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condensed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in the past experienced, and may in the future experience, warranty claims, product returns, and claims related to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be subject to liability claims for damages related to errors or defects in our solutions, and we are currently subject to claims, and may in the future become subject to additional claims, arising out of the July 19 Incident.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may not cover all of our indemnification obligations and they may not fully or effectively protect us from claims as a result of federal, state, or local laws or ordinances, or unfavorable judicial decisions in the United States or other countries. The sale and support of our products also entail the risk of product liability claims.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received, and may continue to receive, claims in connection with the July 19 Incident.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maintain insurance to mitigate potential losses arising from certain claims associated with the use of our products, but our insurance coverage may not adequately cover all claims asserted against us, including our liability related to the July 19 Incident.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While we maintain insurance relating to our warranty, we cannot be certain that our insurance coverage will be adequate to cover such claims, that such insurance will continue to be available to us on commercially reasonable terms, or at all, or that any insurer will not deny coverage as to any claim.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market price of our common stock may be volatile regardless of our operating performance, and you could lose all or part of your investment.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predict the prices at which our common stock will trade. The market price of our common stock depends on a number of factors, including those described in this “Risk Factors” section, many of which are beyond our control and may not be related to our operating performance. These fluctuations could cause you to lose all or part of your investment in our common stock. Factors that could cause fluctuations in the market price of our common stock include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actual or anticipated changes or fluctuations in our results of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financial projections we may provide to the public, any changes in these projections or our failure to meet these projections;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announcements by us or our competitors of new products or services or new or terminated significant contracts, commercial relationships or capital commitments;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industry or financial analyst or investor reaction to our press releases, other public announcements and filings with the SEC;</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price and volume fluctuations in the overall stock market from time to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operating performance and stock market valuations of other technology companies generally, or those in our industry in particular;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of industry or financial analysts to maintain coverage of us, changes in financial estimates by any analysts who follow our company, or our failure to meet these estimates or the expectations of investors;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actual or anticipated developments in our business or our competitors’ businesses or the competitive landscape generally;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litigation involving us, our industry or both, or investigations by regulators into our operations or those of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developments or disputes concerning our intellectual property rights or our solutions, or third-party proprietary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announced or completed acquisitions of businesses or technologies by us or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new laws or regulations or new interpretations of existing laws or regulations applicable to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major changes in our management or our board of directors, particularly with respect to Mr. Kurtz;</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effects of public health crises, pandemics and epidemics;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emergence of new or different information relating to the impact of the July 19 Incident;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amounts or frequency of stock repurchases;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general economic conditions and slow or negative growth of our markets;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other events or factors, including those resulting from war, incidents of terrorism or responses to these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In addition, in the past, following periods of volatility in the overall market and the market prices of a particular company’s securities, securities class action litigation has often been instituted against that company. We are currently party to securities litigation asserted against us arising out of the July 19 Incident. Any securities litigation could result in substantial costs and divert our management’s attention and resources from our business. This could have an adverse effect on our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share repurchase program may not result in benefits to stockholder value.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2025, we announced that our board of directors authorized a program under which we are authorized to repurchase up to $1.0 billion of our outstanding shares of common stock (the “Share Repurchase Program”). On April 6, 2026, we announced that our board of directors authorized the repurchase of up to an additional $500 million of our outstanding shares of common stock, bringing the total authorization under the Share Repurchase Program to $1.5 billion. Such repurchases may be made from time to time using a variety of methods, including open market purchases, privately negotiated transactions and trading plans intended to qualify under Rule 10b5-1 under the Exchange Act. The Share Repurchase Program does not have a fixed expiration date and may be suspended or discontinued at any time. We are not obligated to use the Share Repurchase Program to acquire any specific amount of common stock. We intend to use the Share Repurchase Program opportunistically depending on market prices and other factors.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timing and amount of any repurchases will be subject to liquidity, market and economic conditions, any applicable restrictions under future credit facilities, compliance with applicable legal requirements, and other relevant factors. Repurchases of shares of our common stock under the Share Repurchase Program will reduce the amount of cash we have available to fund working capital, repay debt, make capital expenditures and strategic acquisitions or pursue business opportunities, and for other general corporate purposes. The Share Repurchase Program may not enhance long-term stockholder value because the market price of our common stock may decline below the levels at which we repurchased shares and short-term stock price fluctuations could reduce the effectiveness of this program.</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of substantial amounts of our common stock in the public markets, or the perception that they might occur, could reduce the price that our common stock might otherwise attain and may dilute your voting power and your ownership interest in us.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in the public market, particularly sales by our directors, executive officers and significant stockholders, or the perception that these sales could occur, could adversely affect the market price of our common stock. As of August 20, 2026, we had 1,023,934,842 shares of common stock outstanding.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also issue our shares of common stock or securities convertible into shares of our common stock from time to time in connection with a financing, acquisition, investments or otherwise. Any such issuance could result in substantial dilution to our existing stockholders and cause the market price of our common stock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industry or financial analysts do not publish research or reports about our business, or if they issue inaccurate or unfavorable research regarding our common stock, our stock price and trading volume could decline.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will be influenced by the research and reports that industry or financial analysts publish about us or our business. We do not control these analysts or the content and opinions included in their reports.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do not intend to pay cash dividends in the foreseeable future. As a result, your ability to achieve a return on your investment will depend on appreciation in the price of our common stock.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We currently intend to retain all available funds and any future earnings for use in the operation of our business and do not anticipate paying any cash dividends in the foreseeable future. Any determination to pay dividends in the future will be at the discretion of our board of directors. Additionally, our ability to pay dividends may become limited by restrictions on our ability to pay dividends or make distributions under the terms of any future credit facility. Accordingly, investors must rely on sales of their common stock after price appreciation, which may never occur, as the only way to realize any future gains on their investments.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common stock.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certain amendments to our amended and restated certificate of incorporation require the approval of two-thirds of the then-outstanding voting power of our capital stock;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provisions may prohibit large stockholders, in particular those owning 15% or more of our outstanding voting stock, from merging or combining with us for a certain period of time.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the Court of Chancery of the State of Delaware is the exclusive forum for: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derivative action or proceeding brought on our behalf;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action asserting a breach of fiduciary duty;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action asserting a claim against us arising under the Delaware General Corporation Law, our amended and restated certificate of incorporation or our amended and restated bylaws;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action to interpret, apply, enforce or determine the validity of our amended and restated certificate of incorporation or our amended and restated bylaws;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action asserting a claim against us that is governed by the internal-affairs doctrine.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indebtedness could adversely affect our financial condition.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July 31, 2026, we had $750.0 million principal amount of indebtedness outstanding (excluding intercompany indebtedness). Our indebtedness could have important consequences,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limiting our ability to obtain additional financing to fund future working capital, capital expenditures, acquisitions or other general corporate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requiring a portion of our cash flows to be dedicated to debt service payments instead of other purposes, thereby reducing the amount of cash flows available for working capital, capital expenditures, acquisitions and other general corporate purposes;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increasing our vulnerability to adverse changes in general economic, industry and competitive conditions; and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increasing our cost of borrowing.</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generate sufficient cash to service all of our indebtedness, including the Senior Notes, and may be forced to take other actions to satisfy our obligations under our indebtedness, which may not be successful.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make scheduled payments on or to refinance our debt obligations, including the Senior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Senior Notes.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Senior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Senior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cannot make scheduled payments on our indebtedness, we will be in default and holders of our Senior Notes could declare all outstanding principal and interest to be due and payable. Such a default could result in material adverse consequences that negatively impact our business, the market price for our common stock, and our ability to obtain financing in the future. If we breach the covenants under our debt instruments, we would be in default under such instruments. The holders of such indebtedness could exercise their rights, as described above, and we could be forced into bankruptcy or liquidation.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indenture that governs our Senior Notes contains, and future credit agreements may contain, terms which restrict our current and future operations, particularly our ability to respond to changes or to take certain actions.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indenture that governs our Senior Notes contains a number of restrictive covenants that impose significant operating and financial restrictions on us and may limit our ability to engage in acts that may be in our long-term best interest, including, among other things, restrictions on our ability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incur additional indebtedness and guarantee indebtedness;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prepay, redeem or repurchase certain indebtedness;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sell or otherwise dispose of assets;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incur liens;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enter into transactions with affiliates;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alter the businesses we conduct;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enter into agreements restricting our subsidiaries’ ability to pay dividends;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consolidate, merge with, or sell all or substantially all of our assets to, another person.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covenants in the indenture and supplemental indenture that govern the Senior Notes are subject to exceptions and qualifications.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failure to comply with the restrictive covenants described above and/or the terms of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business, financial condition and results of operations could be adversely affected.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controls, our ability to produce timely and accurate financial statements or comply with applicable regulations could be impaired.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condensed consolidated financial statements and in the reports that we file with the SEC is recorded, processed, summarized and reported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within the time periods specified in SEC rules and forms, and information required to be disclosed in reports under the Exchange Act is accumulated and communicated to our principal executive and financial officers.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 could harm our results of operations, may result in a restatement of our condensed consolidated financial statements for prior periods, cause us to fail to meet our reporting obligations, and could result in an adverse opinion regarding our internal control over financial reporting from our independent registered public accounting firm, and lead to investigations or sanctions by regulatory authorities.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common stock to decline.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failure to maintain effective disclosure controls and internal control over financial reporting could have a material and adverse effect on our business and results of operations and could cause a decline in the price of our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part of our business strategy, we have in the past made,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charges. We may have to pay cash, incur debt or issue equity securities to pay for any such acquisition, each of which could adversely affect our financial condition and the market price of our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 risks we may face in connection with acquisitions include: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diversion of management time and focus from operating our business to addressing acquisition integration challenges;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coordination of research and development and sales and marketing functions;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integration of administrative systems, employee, product and service offerings;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retention of key employees from the acquired company;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relationships with strategic partners as a result of product acquisitions or strategic positioning resulting from the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need to implement or improve controls, procedures, and policies at a business that prior to the acquisition may have lacked sufficiently effective controls, procedures and policies;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additional legal, regulatory or compliance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financial reporting, revenue recognition or other financial or control deficiencies of the acquired company that we do not adequately address and that cause our reported results to be incorrect;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liability for activities of the acquired company before the acquisition, including intellectual property infringement claims, violations of laws, commercial disputes, tax liabilities and other known and unknown liabilities;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litigation or other claims in connection with the acquired company, including claims from terminated employees, customers, former stockholders or other third parties.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corporate structure and intercompany arrangements are subject to the tax laws of various jurisdictions, and we could be obligated to pay additional taxes, which would harm our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among other things, by (i) changes in the relevant tax, accounting and other laws, regulations, principles and interpretations, including increases in corporate tax rates and greater taxation of international income and changes relating to income tax nexus, (ii) recognizing tax losses or lower than anticipated earnings in jurisdictions where we have lower statutory rates and higher than anticipated earnings in jurisdictions where we have higher statutory rates, (iii) changes in foreign currency exchange rates, or (iv)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tax reform legislation included in the One Big Beautiful Bill Act (the “OBBBA”) was enacted in the United States. The tax effects of the OBBBA have been accounted for in the second quarter of the fiscal 2026. The OBBBA includes significant corporate tax reforms, including (i) the permanent reinstatement of deducting domestic research and development expenditures as incurred beginning in fiscal 2026 (under prior law such expenditures were capitalized and amortized over five years); (ii) the option to claim 100% accelerated depreciation deductions on qualified property; and (iii) international tax provisions modifying global intangible low-taxed income (“GILTI”), foreign-derived intangible income (“FDII”), and base erosion and anti-abuse tax (“BEAT”).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pPr>
      <w:r>
        <w:rPr>
          <w:rFonts w:ascii="Times New Roman;serif" w:hAnsi="Times New Roman;serif"/>
          <w:b w:val="false"/>
          <w:color w:val="000000"/>
          <w:sz w:val="20"/>
        </w:rPr>
        <w:t>In addition, the Organization for Economic Cooperation and Development (“OECD”) has published proposals covering a number of issues, including country-by-country reporting, permanent establishment rules, transfer pricing rules, tax treaties and taxation of the digital economy. On October 8, 2021, the OECD/G20 inclusive framework on Base Erosion and Profit Shifting (the “Inclusive Framework”) published a statement updating and finalizing the key components of a two-pillar plan on global tax reform originally agreed on July 1, 2021, and a timetable for implementation by 2024 and, with respect to certain components of the plan, to 2025. Under Pillar Two, the Inclusive Framework has agreed on a global minimum corporate tax rate of 15% for companies with revenue above €750 million, calculated on a jurisdictional basis. The European Union and other countries (including those in which we operate) have enacted or committed to enact Pillar Two into their domestic laws, which may adversely impact our provision for income taxes, existing tax incentives, net income and cash flows. On February 1, 2023, the U.S. Financial Accounting Standards Board (“FASB”) indicated that they believe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On January 20, 2025, the Trump Administration issued an executive order declaring the Inclusive Framework has no force or effect in the U.S. absent congressional action, and directing the U.S. Department of Treasury to: (i) investigate whether any non-U.S. countries are not in compliance with any U.S. tax treaty or have implemented or are likely to implement tax rules that are extraterritorial or disproportionately affect U.S. companies, which may include actions or taxes imposed under Pillar One or Pillar Two, and (ii) develop options for “protective measures” in response to any such noncompliance or tax rules. On June 28, 2025, the United States and the rest of G7 countries announced a</w:t>
      </w:r>
      <w:r>
        <w:rPr>
          <w:color w:val="000000"/>
        </w:rPr>
        <w:t xml:space="preserve"> </w:t>
      </w:r>
      <w:r>
        <w:rPr>
          <w:rFonts w:ascii="Times New Roman;serif" w:hAnsi="Times New Roman;serif"/>
          <w:b w:val="false"/>
          <w:color w:val="000000"/>
          <w:sz w:val="20"/>
        </w:rPr>
        <w:t>Side by Side (“SbS”) agreement that would, in principle, exclude U.S. parented groups from certain taxes under Pillar Two and address certain risks of base erosion and profit shifting, with the OECD publishing Administrative Guidance with respect to this on January 5, 2026. While the Administrative Guidance has approved the U.S. tax system as a “Qualified SbS Jurisdiction” (such that, for fiscal years commencing on or after January 1, 2026, U.S.-headquartered multinational enterprises may elect for the SbS safe harbor, which effectively deems the top-up tax for a jurisdiction to be zero for the purposes of the “income inclusion rules” and “under taxed profits rules”), we cannot predict whether or when such agreement will be brought into force, and whether the United States will adopt any other protective measures, including with respect to any taxes imposed under Pillar One, or whether or how any non-U.S. countries may change their tax laws, including with respect to Pillar One or Pillar Two, in response to the executive order, the agreement in principle (including the Administrative Guidance) described above, or otherwise.</w:t>
      </w:r>
      <w:r>
        <w:rPr>
          <w:color w:val="000000"/>
        </w:rPr>
        <w:t xml:space="preserve"> </w:t>
      </w:r>
      <w:r>
        <w:rPr>
          <w:rFonts w:ascii="Times New Roman;serif" w:hAnsi="Times New Roman;serif"/>
          <w:b w:val="false"/>
          <w:color w:val="000000"/>
          <w:sz w:val="20"/>
        </w:rPr>
        <w:t xml:space="preserve">In addition, the Inclusive Framework envisages the removal of all Digital Services Taxes (“DST”). Notwithstanding this, some countries, in the European Union and beyond, continue to operate existing DST regimes to capture tax revenue on digital services more immediately. Such laws may increase our tax obligations in those countries or change the manner in which we operate our business.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January 31, 2026, we had aggregate U.S. federal and California net operating loss carryforwards of $2.6 billion and $417.4 million, respectively, which may be available to offset future taxable income for income tax purposes. The federal net operating losses are carried forward indefinitely, and California net operating loss carryforwards begin to expire in fiscal 2034 through fiscal 2046. As of January 31, 2026, net operating loss carryforwards for other states totaled $998.3 million, which begin to expire in fiscal 2027 through fiscal 2046. As of January 31, 2026, net operating loss carryforwards for the U.K. totaled $84.2 million, which are carried forward indefinitely, and net operating loss carryforwards totaled immaterial amounts in certain foreign jurisdictions. As of January 31, 2026, we had U.S. federal and California research and development (“R&amp;D”) credit carryforwards of $227.0 million and $59.8 million, respectively. The federal R&amp;D credit carryforwards begin to expire in fiscal 2037 though fiscal 2046. The California R&amp;D credits are carried forward indefinitely. Realization of these net operating loss and R&amp;D credit carryforwards depends on future income, and there is a risk that our existing carryforwards could expire unused and be unavailable to offset future income tax liabilities, which could adversely affect our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or financial reporting standards or interpretations change, our results of operations could be adversely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amounts reported in our condensed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allowance for credit losses; valuation of common stock and redeemable convertible preferred stock warrants; carrying value and useful lives of long-lived assets; loss contingencies; and the provision for income taxes and related deferred taxes.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common stock.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subject to risks associated with our equity investments, including partial or complete loss of invested capital, and significant changes in the fair value of this portfolio could adversely impact our financial results.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 our Falcon Funds, we invest in early to late stage private companies, and we may not realize a return on our equity investments. Many such companies generate net losses and the market for their products, services, or technologies may be slow to develop or never materialize. These companies are often dependent on the availability of later rounds of financing from banks or investors on favorable terms to continue their operations. The financial success of our investment in any company is typically dependent on a liquidity event, such as a public offering, acquisition, or other favorable market event reflecting appreciation to the cost of our initial investment. The capital markets for public offerings and acquisitions are dynamic and the likelihood of liquidity events for the companies in which we have invested could deteriorate, which could result in a loss of all or a substantial part of our investment in these companies. In addition, our ability to realize gains on investments may be impacted by our contractual obligations to hold securities for a set period of time. For example, to the extent a company we have invested in undergoes an initial public offering, we may be subject to a lock-up agreement that restricts our ability to sell our securities for a period of time after the public offering or otherwise impedes our ability to mitigate market volatility in such securities.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valuations of non-marketable equity investments are inherently complex due to the lack of readily available market data. In addition, we may experience additional volatility to our statements of operations due to changes in market prices of our marketable equity investments, the valuation and timing of observable price changes or impairments of our non-marketable equity investments, and changes in the proportionate share of earnings and losses or impairment of our equity investments accounted for under the equity method. This volatility could be material to our results in any given quarter and may cause our stock price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Expectations regarding our efforts and performance relating to corporate responsibility factors have imposed and may impose additional costs on us and expose us to risks.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Governmental authorities, certain investors, and other stakeholders continue to focus on, set and revise, expectations relating to corporate responsibility matters, both in the United States and internationally. Such expectations are evolving and may be contradictory. Our actions, undertakings and decisions in connection with corporate responsibility and/or sustainability-related initiatives, goals, or commitments, including whether to pursue them, and/or the extent to which we achieve them, may be challenged and could harm our reputation, adversely impact our ability to attract and retain employees or customers and expose us to increased scrutiny from investors, governmental authorities and others, or subject us to liability. Additionally, compliance with current or future legal requirements or stakeholder expectations regarding corporate responsibility and/or sustainability matters, including disclosure and reporting obligations, may result in increased costs and legal and operational risks. For example, the proliferation of regulations and guidance addressing corporate responsibility topics at various government levels has required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may continue to require significant effort and resources, and our efforts may not ensure compliance with evolving standards. Any such damage to our reputation, adverse impact to our ability to attract and retain employees or customers, increased scrutiny, exposure to liability and increased compliance costs may adversely impact our business, financial condition, or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is subject to the risks of catastrophic events, including, but not limited to, natural events such as earthquakes, fire, floods, and the outbreak of diseases, as well as man-made problems such as power disruptions, computer viruses or data security breaches.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in Austin, Texas, and we also maintain other office locations around the world, including in California and India, that are prone to natural disasters including severe weather and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Natural disasters and other catastrophic events such as public health crises,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If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may be further enhanced in frequency or effectiveness through threat actors’ use of AI, and our internal systems may be victimized by such attacks. Although we maintain incident management and disaster response plans, in the event of a major disruption caused by a catastrophic event, such as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All of the aforementioned risks may be further increased if the disaster recovery plans for us and our suppliers prove to be inadequate. To the extent that any of the above should result in delays or cancellations of customer orders, delays in the manufacture, deployment or shipment of our products, or delays in the rendering of our services, our business, financial condition and results of operations would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Rule 10b5-1 and Non-Rule 10b5-1 Trading Arrangements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July 31, 2026, certain of our directors and officers (as defined in Rule 16a-1(f) under the Exchange Act) adopted a “Rule 10b5-1 trading arrangement” (as defined in Regulation S-K Item 408) for the sale of shares of our common stock, as set forth below, in amounts and prices determined in accordance with a formula set forth in each such plan:</w:t>
      </w:r>
    </w:p>
    <w:tbl>
      <w:tblPr>
        <w:tblW w:w="10205" w:type="dxa"/>
        <w:jc w:val="center"/>
        <w:tblInd w:w="0" w:type="dxa"/>
        <w:tblLayout w:type="fixed"/>
        <w:tblCellMar>
          <w:top w:w="28" w:type="dxa"/>
          <w:left w:w="28" w:type="dxa"/>
          <w:bottom w:w="28" w:type="dxa"/>
          <w:right w:w="28" w:type="dxa"/>
        </w:tblCellMar>
      </w:tblPr>
      <w:tblGrid>
        <w:gridCol w:w="716"/>
        <w:gridCol w:w="387"/>
        <w:gridCol w:w="392"/>
        <w:gridCol w:w="109"/>
        <w:gridCol w:w="109"/>
        <w:gridCol w:w="109"/>
        <w:gridCol w:w="259"/>
        <w:gridCol w:w="259"/>
        <w:gridCol w:w="263"/>
        <w:gridCol w:w="109"/>
        <w:gridCol w:w="109"/>
        <w:gridCol w:w="109"/>
        <w:gridCol w:w="213"/>
        <w:gridCol w:w="213"/>
        <w:gridCol w:w="214"/>
        <w:gridCol w:w="109"/>
        <w:gridCol w:w="109"/>
        <w:gridCol w:w="109"/>
        <w:gridCol w:w="238"/>
        <w:gridCol w:w="238"/>
        <w:gridCol w:w="239"/>
        <w:gridCol w:w="109"/>
        <w:gridCol w:w="109"/>
        <w:gridCol w:w="109"/>
        <w:gridCol w:w="350"/>
        <w:gridCol w:w="350"/>
        <w:gridCol w:w="351"/>
        <w:gridCol w:w="109"/>
        <w:gridCol w:w="109"/>
        <w:gridCol w:w="109"/>
        <w:gridCol w:w="411"/>
        <w:gridCol w:w="411"/>
        <w:gridCol w:w="412"/>
        <w:gridCol w:w="109"/>
        <w:gridCol w:w="109"/>
        <w:gridCol w:w="109"/>
        <w:gridCol w:w="756"/>
        <w:gridCol w:w="647"/>
        <w:gridCol w:w="924"/>
      </w:tblGrid>
      <w:tr>
        <w:trPr/>
        <w:tc>
          <w:tcPr>
            <w:tcW w:w="71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Plans</w:t>
            </w:r>
          </w:p>
        </w:tc>
      </w:tr>
      <w:tr>
        <w:trPr/>
        <w:tc>
          <w:tcPr>
            <w:tcW w:w="14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and Title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Rule 10b5-1</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Non-Rule 10b5-1</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Number of Shares to be Sold </w:t>
            </w:r>
            <w:r>
              <w:rPr>
                <w:rFonts w:ascii="Times New Roman;serif" w:hAnsi="Times New Roman;serif"/>
                <w:b/>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Expiration</w:t>
            </w:r>
            <w:r>
              <w:rPr>
                <w:rFonts w:ascii="Times New Roman;serif" w:hAnsi="Times New Roman;serif"/>
                <w:b/>
                <w:color w:val="000000"/>
                <w:sz w:val="12"/>
              </w:rPr>
              <w:t>(4)</w:t>
            </w:r>
          </w:p>
        </w:tc>
      </w:tr>
      <w:tr>
        <w:trPr/>
        <w:tc>
          <w:tcPr>
            <w:tcW w:w="14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Michael Sentonas, President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Up to 241,944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Earlier of when all shares under the plan are sold and July 1, 2027</w:t>
            </w:r>
          </w:p>
        </w:tc>
      </w:tr>
      <w:tr>
        <w:trPr/>
        <w:tc>
          <w:tcPr>
            <w:tcW w:w="14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Burt Podbere,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Up to 480,000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Earlier of when all shares under the plan are sold and September 27, 2027</w:t>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Anurag Saha, Chief Accounting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Up to 114,868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Earlier of when all shares under the plan are sold and July 7, 2027</w:t>
            </w:r>
          </w:p>
        </w:tc>
      </w:tr>
      <w:tr>
        <w:trPr/>
        <w:tc>
          <w:tcPr>
            <w:tcW w:w="14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Gerhard Watzinger, 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Up to 120,000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Earlier of when all shares under the plan are sold and September 16, 2027</w:t>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Johanna Flower,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Up to 30,704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Earlier of when all shares under the plan are sold and August 30, 2027</w:t>
            </w:r>
          </w:p>
        </w:tc>
      </w:tr>
      <w:tr>
        <w:trPr/>
        <w:tc>
          <w:tcPr>
            <w:tcW w:w="14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Sameer K. Gandhi,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Up to 208,000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Earlier of when all shares under the plan are sold and September 30, 2027</w:t>
            </w:r>
          </w:p>
        </w:tc>
      </w:tr>
    </w:tbl>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    Intended to satisfy the affirmative defense conditions of Rule 10b5-1(c).</w:t>
      </w:r>
    </w:p>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    Not intended to satisfy the affirmative defense conditions of Rule 10b5-1(c).</w:t>
      </w:r>
    </w:p>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    References made to share amounts related to our common stock have been adjusted to reflect the effect of the Stock Split. See Note 1, “Description of Business and Significant Accounting Policies,” to our condensed consolidated financial statements in Part I, Item 1 of this Quarterly Report on Form 10-Q for more information.</w:t>
      </w:r>
    </w:p>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(4)    Subject to further early termination for certain specified events as set forth therein.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filed the exhibits listed on the accompanying Exhibit Index, which is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Index to Exhibits</w:t>
      </w:r>
    </w:p>
    <w:tbl>
      <w:tblPr>
        <w:tblW w:w="10205" w:type="dxa"/>
        <w:jc w:val="left"/>
        <w:tblInd w:w="0" w:type="dxa"/>
        <w:tblLayout w:type="fixed"/>
        <w:tblCellMar>
          <w:top w:w="28" w:type="dxa"/>
          <w:left w:w="28" w:type="dxa"/>
          <w:bottom w:w="28" w:type="dxa"/>
          <w:right w:w="28" w:type="dxa"/>
        </w:tblCellMar>
      </w:tblPr>
      <w:tblGrid>
        <w:gridCol w:w="264"/>
        <w:gridCol w:w="233"/>
        <w:gridCol w:w="234"/>
        <w:gridCol w:w="109"/>
        <w:gridCol w:w="109"/>
        <w:gridCol w:w="109"/>
        <w:gridCol w:w="1257"/>
        <w:gridCol w:w="1257"/>
        <w:gridCol w:w="1260"/>
        <w:gridCol w:w="109"/>
        <w:gridCol w:w="109"/>
        <w:gridCol w:w="109"/>
        <w:gridCol w:w="170"/>
        <w:gridCol w:w="170"/>
        <w:gridCol w:w="171"/>
        <w:gridCol w:w="109"/>
        <w:gridCol w:w="109"/>
        <w:gridCol w:w="109"/>
        <w:gridCol w:w="242"/>
        <w:gridCol w:w="242"/>
        <w:gridCol w:w="208"/>
        <w:gridCol w:w="109"/>
        <w:gridCol w:w="109"/>
        <w:gridCol w:w="109"/>
        <w:gridCol w:w="210"/>
        <w:gridCol w:w="210"/>
        <w:gridCol w:w="211"/>
        <w:gridCol w:w="109"/>
        <w:gridCol w:w="109"/>
        <w:gridCol w:w="109"/>
        <w:gridCol w:w="438"/>
        <w:gridCol w:w="392"/>
        <w:gridCol w:w="242"/>
        <w:gridCol w:w="109"/>
        <w:gridCol w:w="109"/>
        <w:gridCol w:w="109"/>
        <w:gridCol w:w="242"/>
        <w:gridCol w:w="242"/>
        <w:gridCol w:w="348"/>
      </w:tblGrid>
      <w:tr>
        <w:trPr/>
        <w:tc>
          <w:tcPr>
            <w:tcW w:w="2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Filing </w:t>
              <w:b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Filed </w:t>
              <w:br/>
              <w:t>Herewith</w:t>
            </w:r>
          </w:p>
        </w:tc>
      </w:tr>
      <w:tr>
        <w:trPr/>
        <w:tc>
          <w:tcPr>
            <w:tcW w:w="7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Certificate of Incorporation of CrowdStrike Holdings, Inc., dated June 22,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001-38933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Bylaws of the Registrant,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001-38933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erif" w:hAnsi="Times New Roman;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Certificate of Retirement of Class B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001-38933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101.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htm">
              <w:r>
                <w:rPr>
                  <w:rStyle w:val="InternetLink"/>
                  <w:rFonts w:ascii="Times New Roman;serif" w:hAnsi="Times New Roman;serif"/>
                  <w:b w:val="false"/>
                  <w:color w:val="0000FF"/>
                  <w:sz w:val="20"/>
                  <w:u w:val="single"/>
                </w:rPr>
                <w:t>Outside Director Compensation Policy, as amended on June 17,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erif" w:hAnsi="Times New Roman;serif"/>
                  <w:b w:val="false"/>
                  <w:color w:val="0000FF"/>
                  <w:sz w:val="20"/>
                  <w:u w:val="single"/>
                </w:rPr>
                <w:t>22.1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List of Subsidiary Guarantors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001-38933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rwd-20260731xex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20260731xexx311.htm">
              <w:r>
                <w:rPr>
                  <w:rStyle w:val="InternetLink"/>
                  <w:rFonts w:ascii="Times New Roman;serif" w:hAnsi="Times New Roman;serif"/>
                  <w:b w:val="false"/>
                  <w:color w:val="0000FF"/>
                  <w:sz w:val="20"/>
                  <w:u w:val="single"/>
                </w:rPr>
                <w:t>Certification of the Principal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rwd-20260731xex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20260731xexx312.htm">
              <w:r>
                <w:rPr>
                  <w:rStyle w:val="InternetLink"/>
                  <w:rFonts w:ascii="Times New Roman;serif" w:hAnsi="Times New Roman;serif"/>
                  <w:b w:val="false"/>
                  <w:color w:val="0000FF"/>
                  <w:sz w:val="20"/>
                  <w:u w:val="single"/>
                </w:rPr>
                <w:t>Certification of the Principal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rwd-20260731xexx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20260731xexx321.htm">
              <w:r>
                <w:rPr>
                  <w:rStyle w:val="InternetLink"/>
                  <w:rFonts w:ascii="Times New Roman;serif" w:hAnsi="Times New Roman;serif"/>
                  <w:b w:val="false"/>
                  <w:color w:val="0000FF"/>
                  <w:sz w:val="20"/>
                  <w:u w:val="single"/>
                </w:rPr>
                <w:t>Certification of the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Instance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 contract or agreement.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certifications furnished in Exhibit 32.1 hereto are deemed to accompany this Quarterly Report on Form 10-Q and will not be deemed “filed” for purposes of Section 18 of the Securities Exchange Act of 1934, as amended, and are not to be incorporated by reference into any of CrowdStrike Holdings, Inc.’s filings under the Securities Act of 1933, as amended,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240" w:after="283"/>
        <w:jc w:val="left"/>
        <w:rPr/>
      </w:pPr>
      <w:hyperlink w:anchor="i5e8f455f0c2c493ebb5fb836bdf89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on the day of August 26, 2026. </w:t>
      </w:r>
    </w:p>
    <w:tbl>
      <w:tblPr>
        <w:tblW w:w="6636" w:type="dxa"/>
        <w:jc w:val="left"/>
        <w:tblInd w:w="0" w:type="dxa"/>
        <w:tblLayout w:type="fixed"/>
        <w:tblCellMar>
          <w:top w:w="28" w:type="dxa"/>
          <w:left w:w="28" w:type="dxa"/>
          <w:bottom w:w="28" w:type="dxa"/>
          <w:right w:w="28" w:type="dxa"/>
        </w:tblCellMar>
      </w:tblPr>
      <w:tblGrid>
        <w:gridCol w:w="124"/>
        <w:gridCol w:w="109"/>
        <w:gridCol w:w="109"/>
        <w:gridCol w:w="498"/>
        <w:gridCol w:w="498"/>
        <w:gridCol w:w="498"/>
        <w:gridCol w:w="1405"/>
        <w:gridCol w:w="1405"/>
        <w:gridCol w:w="19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CROWDSTRIKE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Burt W. Podbere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Burt W. Podbere </w:t>
            </w:r>
          </w:p>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Financial Officer (Principal Financial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Anurag Saha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Anurag Saha</w:t>
            </w:r>
          </w:p>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Accounting Officer (Principal Accounting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CROWDSTRIKE HOLDINGS,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OUTSIDE DIRECTOR COMPENSATION POLICY</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CrowdStrike Holdings, Inc.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believes that the granting of equity and cash compensation to its members of the Board of Directors (the “</w:t>
      </w:r>
      <w:r>
        <w:rPr>
          <w:rFonts w:ascii="Times New Roman;serif" w:hAnsi="Times New Roman;serif"/>
          <w:b/>
          <w:color w:val="000000"/>
          <w:sz w:val="22"/>
        </w:rPr>
        <w:t>Board</w:t>
      </w:r>
      <w:r>
        <w:rPr>
          <w:rFonts w:ascii="Times New Roman;serif" w:hAnsi="Times New Roman;serif"/>
          <w:b w:val="false"/>
          <w:color w:val="000000"/>
          <w:sz w:val="22"/>
        </w:rPr>
        <w:t>,” and members of the Board, “</w:t>
      </w:r>
      <w:r>
        <w:rPr>
          <w:rFonts w:ascii="Times New Roman;serif" w:hAnsi="Times New Roman;serif"/>
          <w:b/>
          <w:color w:val="000000"/>
          <w:sz w:val="22"/>
        </w:rPr>
        <w:t>Directors</w:t>
      </w:r>
      <w:r>
        <w:rPr>
          <w:color w:val="000000"/>
        </w:rPr>
        <w:t>”</w:t>
      </w:r>
      <w:r>
        <w:rPr>
          <w:rFonts w:ascii="Times New Roman;serif" w:hAnsi="Times New Roman;serif"/>
          <w:b w:val="false"/>
          <w:color w:val="000000"/>
          <w:sz w:val="22"/>
        </w:rPr>
        <w:t>) represents a powerful tool to attract, retain and reward Directors who are not employees of the Company (“</w:t>
      </w:r>
      <w:r>
        <w:rPr>
          <w:rFonts w:ascii="Times New Roman;serif" w:hAnsi="Times New Roman;serif"/>
          <w:b/>
          <w:color w:val="000000"/>
          <w:sz w:val="22"/>
        </w:rPr>
        <w:t>Outside Directors</w:t>
      </w:r>
      <w:r>
        <w:rPr>
          <w:color w:val="000000"/>
        </w:rPr>
        <w:t>”</w:t>
      </w:r>
      <w:r>
        <w:rPr>
          <w:rFonts w:ascii="Times New Roman;serif" w:hAnsi="Times New Roman;serif"/>
          <w:b w:val="false"/>
          <w:color w:val="000000"/>
          <w:sz w:val="22"/>
        </w:rPr>
        <w:t>).  This Outside Director Compensation Policy (the “</w:t>
      </w:r>
      <w:r>
        <w:rPr>
          <w:rFonts w:ascii="Times New Roman;serif" w:hAnsi="Times New Roman;serif"/>
          <w:b/>
          <w:color w:val="000000"/>
          <w:sz w:val="22"/>
        </w:rPr>
        <w:t>Policy</w:t>
      </w:r>
      <w:r>
        <w:rPr>
          <w:color w:val="000000"/>
        </w:rPr>
        <w:t>”</w:t>
      </w:r>
      <w:r>
        <w:rPr>
          <w:rFonts w:ascii="Times New Roman;serif" w:hAnsi="Times New Roman;serif"/>
          <w:b w:val="false"/>
          <w:color w:val="000000"/>
          <w:sz w:val="22"/>
        </w:rPr>
        <w:t>) is intended to formalize the Company’s policy regarding cash compensation and grants of equity to its Outside Directors.   Unless otherwise defined herein, capitalized terms used in this Policy will have the meaning given such term in the CrowdStrike Holdings, Inc. 2019 Equity Incentive Plan (the “</w:t>
      </w:r>
      <w:r>
        <w:rPr>
          <w:rFonts w:ascii="Times New Roman;serif" w:hAnsi="Times New Roman;serif"/>
          <w:b/>
          <w:color w:val="000000"/>
          <w:sz w:val="22"/>
        </w:rPr>
        <w:t>Plan</w:t>
      </w:r>
      <w:r>
        <w:rPr>
          <w:color w:val="000000"/>
        </w:rPr>
        <w:t>”</w:t>
      </w:r>
      <w:r>
        <w:rPr>
          <w:rFonts w:ascii="Times New Roman;serif" w:hAnsi="Times New Roman;serif"/>
          <w:b w:val="false"/>
          <w:color w:val="000000"/>
          <w:sz w:val="22"/>
        </w:rPr>
        <w:t xml:space="preserve">).  Outside Directors will be solely responsible for any tax obligations they incur as a result of the equity and cash payments received under this Policy.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2"/>
        </w:rPr>
        <w:t>1</w:t>
      </w:r>
      <w:r>
        <w:rPr>
          <w:rFonts w:ascii="Times New Roman;serif" w:hAnsi="Times New Roman;serif"/>
          <w:b w:val="false"/>
          <w:color w:val="000000"/>
          <w:sz w:val="22"/>
        </w:rPr>
        <w:t>.    </w:t>
      </w:r>
      <w:r>
        <w:rPr>
          <w:rFonts w:ascii="Times New Roman;serif" w:hAnsi="Times New Roman;serif"/>
          <w:b/>
          <w:color w:val="000000"/>
          <w:sz w:val="22"/>
          <w:u w:val="single"/>
        </w:rPr>
        <w:t>CASH COMPENSATION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annual cash compensation for Outside Directors is payable quarterly in arrears on a monthly prorated basis. Any partial month of service shall be calculated as a full month of service for purposes of calculating cash compensation due under this Policy.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GENERAL BOARD ANNUAL RETAINER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Annual cash compensation for the general services of Outside Directors is as follows: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2"/>
        </w:rPr>
        <w:t>Outside Director</w:t>
      </w:r>
      <w:r>
        <w:rPr>
          <w:rFonts w:ascii="Times New Roman;serif" w:hAnsi="Times New Roman;serif"/>
          <w:b w:val="false"/>
          <w:color w:val="000000"/>
          <w:sz w:val="22"/>
        </w:rPr>
        <w:t>:  $50,000 General Annual Retainer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Directors will receive no additional compensation for attending regular meetings of the Board.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NON-EXECUTIVE CHAIRMAN ANNUAL RETAINER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Additional annual cash compensation for the general services of the Non-Executive Chairman is as follows: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2"/>
        </w:rPr>
        <w:t>Non-Executive Chairman</w:t>
      </w:r>
      <w:r>
        <w:rPr>
          <w:rFonts w:ascii="Times New Roman;serif" w:hAnsi="Times New Roman;serif"/>
          <w:b w:val="false"/>
          <w:color w:val="000000"/>
          <w:sz w:val="22"/>
        </w:rPr>
        <w:t>:  $60,000 Chairman Annual Retainer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COMMITTEE ANNUAL RETAINERS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to the annual cash retainers described above, each Outside Director will also receive annual cash retainers in recognition of their service on the committees of the Board.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Audit Committee</w:t>
      </w:r>
      <w:r>
        <w:rPr>
          <w:rFonts w:ascii="Times New Roman;serif" w:hAnsi="Times New Roman;serif"/>
          <w:b w:val="false"/>
          <w:color w:val="000000"/>
          <w:sz w:val="22"/>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Annual cash compensation for Audit Committee members is as follows: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2"/>
        </w:rPr>
        <w:t>Chairman of Committee</w:t>
      </w:r>
      <w:r>
        <w:rPr>
          <w:rFonts w:ascii="Times New Roman;serif" w:hAnsi="Times New Roman;serif"/>
          <w:b w:val="false"/>
          <w:color w:val="000000"/>
          <w:sz w:val="22"/>
        </w:rPr>
        <w:t>:  $30,000 Chairman Annual Retainer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2"/>
        </w:rPr>
        <w:t>Non-Chairman Committee Members</w:t>
      </w:r>
      <w:r>
        <w:rPr>
          <w:rFonts w:ascii="Times New Roman;serif" w:hAnsi="Times New Roman;serif"/>
          <w:b w:val="false"/>
          <w:color w:val="000000"/>
          <w:sz w:val="22"/>
        </w:rPr>
        <w:t>:  $12,750 Non-Chairman Annual Retainer</w:t>
      </w:r>
    </w:p>
    <w:p>
      <w:pPr>
        <w:pStyle w:val="TextBody"/>
        <w:bidi w:val="0"/>
        <w:spacing w:lineRule="auto" w:line="288"/>
        <w:jc w:val="both"/>
        <w:rPr>
          <w:color w:val="000000"/>
        </w:rPr>
      </w:pPr>
      <w:r>
        <w:rPr>
          <w:color w:val="000000"/>
        </w:rPr>
        <w:t>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 are no per meeting attendance fees for attending Audit Committee meetings.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Compensation Committee</w:t>
      </w:r>
      <w:r>
        <w:rPr>
          <w:rFonts w:ascii="Times New Roman;serif" w:hAnsi="Times New Roman;serif"/>
          <w:b w:val="false"/>
          <w:color w:val="000000"/>
          <w:sz w:val="22"/>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Annual cash compensation for the Compensation Committee is as follows: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2"/>
        </w:rPr>
        <w:t>Chairman of Committee</w:t>
      </w:r>
      <w:r>
        <w:rPr>
          <w:rFonts w:ascii="Times New Roman;serif" w:hAnsi="Times New Roman;serif"/>
          <w:b w:val="false"/>
          <w:color w:val="000000"/>
          <w:sz w:val="22"/>
        </w:rPr>
        <w:t>:  $21,250 Chairman Annual Retainer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2"/>
        </w:rPr>
        <w:t>Non-Chairman Committee Members</w:t>
      </w:r>
      <w:r>
        <w:rPr>
          <w:rFonts w:ascii="Times New Roman;serif" w:hAnsi="Times New Roman;serif"/>
          <w:b w:val="false"/>
          <w:color w:val="000000"/>
          <w:sz w:val="22"/>
        </w:rPr>
        <w:t>:  $10,000 Non-Chairman Annual Retainer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 are no per meeting attendance fees for attending Compensation Committee meetings.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Nominating and Corporate Governance Committee</w:t>
      </w:r>
      <w:r>
        <w:rPr>
          <w:rFonts w:ascii="Times New Roman;serif" w:hAnsi="Times New Roman;serif"/>
          <w:b w:val="false"/>
          <w:color w:val="000000"/>
          <w:sz w:val="22"/>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Annual cash compensation for the Nominating and Corporate Governance Committee is as follows: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2"/>
        </w:rPr>
        <w:t>Chairman of Committee</w:t>
      </w:r>
      <w:r>
        <w:rPr>
          <w:rFonts w:ascii="Times New Roman;serif" w:hAnsi="Times New Roman;serif"/>
          <w:b w:val="false"/>
          <w:color w:val="000000"/>
          <w:sz w:val="22"/>
        </w:rPr>
        <w:t>:  $15,000 Chairman Annual Retainer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2"/>
        </w:rPr>
        <w:t>Non-Chairman Committee Members</w:t>
      </w:r>
      <w:r>
        <w:rPr>
          <w:rFonts w:ascii="Times New Roman;serif" w:hAnsi="Times New Roman;serif"/>
          <w:b w:val="false"/>
          <w:color w:val="000000"/>
          <w:sz w:val="22"/>
        </w:rPr>
        <w:t>:  $6,000 Non-Chairman Annual Retainer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 are no per meeting attendance fees for attending Nominating and Corporate Governance Committee meetings.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ELECTION TO RECEIVE SHARES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An Outside Director may elect that 100% (or such other percentage as may be determined by the Compensation Committee from time to time) of his or her annual cash retainers payable in respect of his or her future services be paid in the form of Shares of the Company’s Common Stock by timely executing and submitting to the Company an election on such form as specified by the Company from time to time (the “</w:t>
      </w:r>
      <w:r>
        <w:rPr>
          <w:rFonts w:ascii="Times New Roman;serif" w:hAnsi="Times New Roman;serif"/>
          <w:b/>
          <w:color w:val="000000"/>
          <w:sz w:val="22"/>
        </w:rPr>
        <w:t>Election Form</w:t>
      </w:r>
      <w:r>
        <w:rPr>
          <w:color w:val="000000"/>
        </w:rPr>
        <w:t>”</w:t>
      </w:r>
      <w:r>
        <w:rPr>
          <w:rFonts w:ascii="Times New Roman;serif" w:hAnsi="Times New Roman;serif"/>
          <w:b w:val="false"/>
          <w:color w:val="000000"/>
          <w:sz w:val="22"/>
        </w:rPr>
        <w:t xml:space="preserve">). The terms of any such election (including with respect to the periods covered by such election and any revocation of such election) shall be set forth in, and subject to, the applicable Election Form. To be valid, the election must comply with any procedural requirements (including as to timing of elections) determined by the Company from time to time, as well as the Company’s insider trading policy. Notwithstanding the foregoing, a newly appointed Outside Director will be permitted during the open trading window following his or her Start Date (as defined below) to submit an Election Form to elect to receive the portion of such new Outside Director’s cash retainers that are payable with respect to the remainder of the first fiscal year of his or her service in the form of Shares. </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As of each cash retainer payment date, an Outside Director who has validly elected to receive all or a portion of his or her annual cash retainers in Shares of our Common Stock will become entitled to receive a number of Shares determined by dividing (i) the amount of the annual cash retainers covered by such election that otherwise would have been payable to such Outside Director on the applicable payment date by (ii) the Fair Market Value (as defined in the Plan) of a Share on the applicable issuance date </w:t>
      </w:r>
      <w:r>
        <w:rPr>
          <w:rFonts w:ascii="Times New Roman;serif" w:hAnsi="Times New Roman;serif"/>
          <w:b w:val="false"/>
          <w:color w:val="000000"/>
          <w:sz w:val="21"/>
        </w:rPr>
        <w:t>(</w:t>
      </w:r>
      <w:r>
        <w:rPr>
          <w:rFonts w:ascii="Times New Roman;serif" w:hAnsi="Times New Roman;serif"/>
          <w:b w:val="false"/>
          <w:color w:val="000000"/>
          <w:sz w:val="22"/>
        </w:rPr>
        <w:t>rounded down to the nearest whole Share</w:t>
      </w:r>
      <w:r>
        <w:rPr>
          <w:rFonts w:ascii="Times New Roman;serif" w:hAnsi="Times New Roman;serif"/>
          <w:b w:val="false"/>
          <w:color w:val="000000"/>
          <w:sz w:val="21"/>
        </w:rPr>
        <w:t>)</w:t>
      </w:r>
      <w:r>
        <w:rPr>
          <w:rFonts w:ascii="Times New Roman;serif" w:hAnsi="Times New Roman;serif"/>
          <w:b w:val="false"/>
          <w:color w:val="000000"/>
          <w:sz w:val="22"/>
        </w:rPr>
        <w:t>. Such shares shall be issued to the applicable Outside Director under the Plan on the regular quarterly vesting date following the date that the corresponding cash retainer would have otherwise been paid to such Outside Director. The Shares issued in lieu of cash retainers shall be fully vested and unrestricted pursuant to the Plan.</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2"/>
        </w:rPr>
        <w:t>2.</w:t>
      </w:r>
      <w:r>
        <w:rPr>
          <w:color w:val="000000"/>
        </w:rPr>
        <w:t>    </w:t>
      </w:r>
      <w:r>
        <w:rPr>
          <w:rFonts w:ascii="Times New Roman;serif" w:hAnsi="Times New Roman;serif"/>
          <w:b/>
          <w:color w:val="000000"/>
          <w:sz w:val="22"/>
          <w:u w:val="single"/>
        </w:rPr>
        <w:t>EQUITY COMPENSATION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Outside Directors will also be eligible to receive the following Awards, as well as all types of Awards (except Incentive Stock Options) under the Plan, including discretionary Awards not covered under this Policy.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Initial Awards</w:t>
      </w:r>
      <w:r>
        <w:rPr>
          <w:rFonts w:ascii="Times New Roman;serif" w:hAnsi="Times New Roman;serif"/>
          <w:b w:val="false"/>
          <w:color w:val="000000"/>
          <w:sz w:val="22"/>
        </w:rPr>
        <w:t>.  Each Outside Director shall be automatically granted the following awards upon first joining the Board (such date, the “</w:t>
      </w:r>
      <w:r>
        <w:rPr>
          <w:rFonts w:ascii="Times New Roman;serif" w:hAnsi="Times New Roman;serif"/>
          <w:b/>
          <w:color w:val="000000"/>
          <w:sz w:val="22"/>
        </w:rPr>
        <w:t>Start Date</w:t>
      </w:r>
      <w:r>
        <w:rPr>
          <w:color w:val="000000"/>
        </w:rPr>
        <w:t>”</w:t>
      </w:r>
      <w:r>
        <w:rPr>
          <w:rFonts w:ascii="Times New Roman;serif" w:hAnsi="Times New Roman;serif"/>
          <w:b w:val="false"/>
          <w:color w:val="000000"/>
          <w:sz w:val="22"/>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1485"/>
        <w:jc w:val="both"/>
        <w:rPr/>
      </w:pPr>
      <w:r>
        <w:rPr>
          <w:rFonts w:ascii="Times New Roman;serif" w:hAnsi="Times New Roman;serif"/>
          <w:b w:val="false"/>
          <w:color w:val="000000"/>
          <w:sz w:val="22"/>
        </w:rPr>
        <w:t>(1)    an award of Restricted Stock Units with a Value of $375,000 (the “</w:t>
      </w:r>
      <w:r>
        <w:rPr>
          <w:rFonts w:ascii="Times New Roman;serif" w:hAnsi="Times New Roman;serif"/>
          <w:b/>
          <w:color w:val="000000"/>
          <w:sz w:val="22"/>
        </w:rPr>
        <w:t>Initial Award</w:t>
      </w:r>
      <w:r>
        <w:rPr>
          <w:color w:val="000000"/>
        </w:rPr>
        <w:t>”</w:t>
      </w:r>
      <w:r>
        <w:rPr>
          <w:rFonts w:ascii="Times New Roman;serif" w:hAnsi="Times New Roman;serif"/>
          <w:b w:val="false"/>
          <w:color w:val="000000"/>
          <w:sz w:val="22"/>
        </w:rPr>
        <w:t>). The Initial Award will vest annually over three years (on the same day of the month as the Start Date), subject to continued service on Board through each vesting date, </w:t>
      </w:r>
      <w:r>
        <w:rPr>
          <w:rFonts w:ascii="Times New Roman;serif" w:hAnsi="Times New Roman;serif"/>
          <w:b w:val="false"/>
          <w:i/>
          <w:color w:val="000000"/>
          <w:sz w:val="22"/>
        </w:rPr>
        <w:t>plus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1440"/>
        <w:jc w:val="both"/>
        <w:rPr/>
      </w:pPr>
      <w:r>
        <w:rPr>
          <w:rFonts w:ascii="Times New Roman;serif" w:hAnsi="Times New Roman;serif"/>
          <w:b w:val="false"/>
          <w:color w:val="000000"/>
          <w:sz w:val="22"/>
        </w:rPr>
        <w:t>(2)    an award of Restricted Stock Units equal to the product of (A) the number of Restricted Stock Units subject to the Annual Award provided to Outside Directors at the last annual meeting of stockholders (the “</w:t>
      </w:r>
      <w:r>
        <w:rPr>
          <w:rFonts w:ascii="Times New Roman;serif" w:hAnsi="Times New Roman;serif"/>
          <w:b/>
          <w:color w:val="000000"/>
          <w:sz w:val="22"/>
        </w:rPr>
        <w:t>Annual Meeting</w:t>
      </w:r>
      <w:r>
        <w:rPr>
          <w:color w:val="000000"/>
        </w:rPr>
        <w:t>”</w:t>
      </w:r>
      <w:r>
        <w:rPr>
          <w:rFonts w:ascii="Times New Roman;serif" w:hAnsi="Times New Roman;serif"/>
          <w:b w:val="false"/>
          <w:color w:val="000000"/>
          <w:sz w:val="22"/>
        </w:rPr>
        <w:t>) </w:t>
      </w:r>
      <w:r>
        <w:rPr>
          <w:rFonts w:ascii="Times New Roman;serif" w:hAnsi="Times New Roman;serif"/>
          <w:b w:val="false"/>
          <w:i/>
          <w:color w:val="000000"/>
          <w:sz w:val="22"/>
        </w:rPr>
        <w:t>multiplied by </w:t>
      </w:r>
      <w:r>
        <w:rPr>
          <w:rFonts w:ascii="Times New Roman;serif" w:hAnsi="Times New Roman;serif"/>
          <w:b w:val="false"/>
          <w:color w:val="000000"/>
          <w:sz w:val="22"/>
        </w:rPr>
        <w:t>(B) a fraction (i) the numerator of which is (x) 12 minus (y) the number of fully completed months between the date of the last Annual Meeting and the Start Date and (ii) the denominator of which is 12, rounded to the nearest unit (the “</w:t>
      </w:r>
      <w:r>
        <w:rPr>
          <w:rFonts w:ascii="Times New Roman;serif" w:hAnsi="Times New Roman;serif"/>
          <w:b/>
          <w:color w:val="000000"/>
          <w:sz w:val="22"/>
        </w:rPr>
        <w:t>Additional Initial Award</w:t>
      </w:r>
      <w:r>
        <w:rPr>
          <w:color w:val="000000"/>
        </w:rPr>
        <w:t>”</w:t>
      </w:r>
      <w:r>
        <w:rPr>
          <w:rFonts w:ascii="Times New Roman;serif" w:hAnsi="Times New Roman;serif"/>
          <w:b w:val="false"/>
          <w:color w:val="000000"/>
          <w:sz w:val="22"/>
        </w:rPr>
        <w:t>).  For purposes of this calculation, any partial month of service shall be deemed a fully completed month of service. The Additional Initial Award will vest in full on the earlier of (i) the date of the next Annual Meeting held after the Start Date or (ii) the date on which the other directors’ Annual Awards for such year vest, subject to continued service on the Board through such vesting date.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Annual Award</w:t>
      </w:r>
      <w:r>
        <w:rPr>
          <w:rFonts w:ascii="Times New Roman;serif" w:hAnsi="Times New Roman;serif"/>
          <w:b w:val="false"/>
          <w:color w:val="000000"/>
          <w:sz w:val="22"/>
        </w:rPr>
        <w:t>.  On the day of the Annual Meeting, each Outside Director will be automatically granted an award of Restricted Stock Units with a Value of $275,000 (the “</w:t>
      </w:r>
      <w:r>
        <w:rPr>
          <w:rFonts w:ascii="Times New Roman;serif" w:hAnsi="Times New Roman;serif"/>
          <w:b/>
          <w:color w:val="000000"/>
          <w:sz w:val="22"/>
        </w:rPr>
        <w:t>Annual Award</w:t>
      </w:r>
      <w:r>
        <w:rPr>
          <w:color w:val="000000"/>
        </w:rPr>
        <w:t>”</w:t>
      </w:r>
      <w:r>
        <w:rPr>
          <w:rFonts w:ascii="Times New Roman;serif" w:hAnsi="Times New Roman;serif"/>
          <w:b w:val="false"/>
          <w:color w:val="000000"/>
          <w:sz w:val="22"/>
        </w:rPr>
        <w:t>).  The Annual Award will vest in full on the earlier of (i) the one-year anniversary of the date of grant or (ii) on the date of the next Annual Meeting held after the date of grant, in each case, subject to continued service on the Board through each vesting date.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Value</w:t>
      </w:r>
      <w:r>
        <w:rPr>
          <w:rFonts w:ascii="Times New Roman;serif" w:hAnsi="Times New Roman;serif"/>
          <w:b w:val="false"/>
          <w:color w:val="000000"/>
          <w:sz w:val="22"/>
        </w:rPr>
        <w:t>.  For purposes of Sections 2(a) and 2(b), “</w:t>
      </w:r>
      <w:r>
        <w:rPr>
          <w:rFonts w:ascii="Times New Roman;serif" w:hAnsi="Times New Roman;serif"/>
          <w:b/>
          <w:color w:val="000000"/>
          <w:sz w:val="22"/>
        </w:rPr>
        <w:t>Value</w:t>
      </w:r>
      <w:r>
        <w:rPr>
          <w:color w:val="000000"/>
        </w:rPr>
        <w:t xml:space="preserve">” </w:t>
      </w:r>
      <w:r>
        <w:rPr>
          <w:rFonts w:ascii="Times New Roman;serif" w:hAnsi="Times New Roman;serif"/>
          <w:b w:val="false"/>
          <w:color w:val="000000"/>
          <w:sz w:val="22"/>
        </w:rPr>
        <w:t>means the fair value for financial accounting purposes based on the closing price on the date of grant, with the number of Shares of our Common Stock determined based on that Value, rounded down.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2"/>
        </w:rPr>
        <w:t>3.</w:t>
      </w:r>
      <w:r>
        <w:rPr>
          <w:color w:val="000000"/>
        </w:rPr>
        <w:t>    </w:t>
      </w:r>
      <w:r>
        <w:rPr>
          <w:rFonts w:ascii="Times New Roman;serif" w:hAnsi="Times New Roman;serif"/>
          <w:b/>
          <w:color w:val="000000"/>
          <w:sz w:val="22"/>
          <w:u w:val="single"/>
        </w:rPr>
        <w:t>OTHER COMPENSATION AND BENEFITS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Outside Directors may also be eligible to receive other compensation and benefits, including reasonable personal benefits and perquisites, as determined by the Administrator from time to time.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2"/>
        </w:rPr>
        <w:t>4.</w:t>
      </w:r>
      <w:r>
        <w:rPr>
          <w:color w:val="000000"/>
        </w:rPr>
        <w:t>    </w:t>
      </w:r>
      <w:r>
        <w:rPr>
          <w:rFonts w:ascii="Times New Roman;serif" w:hAnsi="Times New Roman;serif"/>
          <w:b/>
          <w:color w:val="000000"/>
          <w:sz w:val="22"/>
          <w:u w:val="single"/>
        </w:rPr>
        <w:t>CHANGE IN CONTROL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event of a Change in Control, each Outside Director will fully vest in his or her outstanding Company equity awards, including any Initial Award, Additional Initial Award or Annual Award, provided that the Outside Director continues to be an Outside Director through such date.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2"/>
        </w:rPr>
        <w:t>5.</w:t>
      </w:r>
      <w:r>
        <w:rPr>
          <w:color w:val="000000"/>
        </w:rPr>
        <w:t>    </w:t>
      </w:r>
      <w:r>
        <w:rPr>
          <w:rFonts w:ascii="Times New Roman;serif" w:hAnsi="Times New Roman;serif"/>
          <w:b/>
          <w:color w:val="000000"/>
          <w:sz w:val="22"/>
          <w:u w:val="single"/>
        </w:rPr>
        <w:t>ANNUAL COMPENSATION LIMIT</w:t>
      </w:r>
    </w:p>
    <w:p>
      <w:pPr>
        <w:pStyle w:val="TextBody"/>
        <w:bidi w:val="0"/>
        <w:spacing w:lineRule="auto" w:line="288" w:before="0" w:after="0"/>
        <w:jc w:val="both"/>
        <w:rPr>
          <w:color w:val="000000"/>
        </w:rPr>
      </w:pPr>
      <w:r>
        <w:rPr>
          <w:color w:val="000000"/>
        </w:rPr>
        <w:t> </w:t>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cash compensation and Awards granted to an Outside Director shall be subject to the limits provided in Section 12 of the Plan.</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2"/>
        </w:rPr>
        <w:t>6.    </w:t>
      </w:r>
      <w:r>
        <w:rPr>
          <w:rFonts w:ascii="Times New Roman;serif" w:hAnsi="Times New Roman;serif"/>
          <w:b/>
          <w:color w:val="000000"/>
          <w:sz w:val="22"/>
          <w:u w:val="single"/>
        </w:rPr>
        <w:t>TRAVEL EXPENSES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Outside Director’s reasonable, customary and documented travel expenses to Board meetings will be reimbursed by the Company.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2"/>
        </w:rPr>
        <w:t>7.    </w:t>
      </w:r>
      <w:r>
        <w:rPr>
          <w:rFonts w:ascii="Times New Roman;serif" w:hAnsi="Times New Roman;serif"/>
          <w:b/>
          <w:color w:val="000000"/>
          <w:sz w:val="22"/>
          <w:u w:val="single"/>
        </w:rPr>
        <w:t>ADDITIONAL PROVISIONS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provisions of the Plan not inconsistent with this Policy will apply to Awards granted to Outside Directors.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2"/>
        </w:rPr>
        <w:t>8.    </w:t>
      </w:r>
      <w:r>
        <w:rPr>
          <w:rFonts w:ascii="Times New Roman;serif" w:hAnsi="Times New Roman;serif"/>
          <w:b/>
          <w:color w:val="000000"/>
          <w:sz w:val="22"/>
          <w:u w:val="single"/>
        </w:rPr>
        <w:t>ADJUSTMENTS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this Policy, will adjust the number of Shares issuable pursuant to Awards granted under this Policy.</w:t>
      </w:r>
    </w:p>
    <w:p>
      <w:pPr>
        <w:pStyle w:val="TextBody"/>
        <w:bidi w:val="0"/>
        <w:spacing w:lineRule="auto" w:line="288" w:before="0" w:after="0"/>
        <w:ind w:left="0" w:right="0" w:hanging="360"/>
        <w:jc w:val="both"/>
        <w:rPr>
          <w:color w:val="000000"/>
          <w:shd w:fill="FFFFFF" w:val="clear"/>
        </w:rPr>
      </w:pPr>
      <w:r>
        <w:rPr>
          <w:color w:val="000000"/>
          <w:shd w:fill="FFFFFF" w:val="clear"/>
        </w:rPr>
        <w:t> </w:t>
      </w:r>
    </w:p>
    <w:p>
      <w:pPr>
        <w:pStyle w:val="TextBody"/>
        <w:bidi w:val="0"/>
        <w:spacing w:lineRule="auto" w:line="288" w:before="0" w:after="0"/>
        <w:jc w:val="both"/>
        <w:rPr/>
      </w:pPr>
      <w:r>
        <w:rPr>
          <w:rFonts w:ascii="Times New Roman;serif" w:hAnsi="Times New Roman;serif"/>
          <w:b/>
          <w:color w:val="000000"/>
          <w:sz w:val="22"/>
          <w:shd w:fill="FFFFFF" w:val="clear"/>
        </w:rPr>
        <w:t>9.    </w:t>
      </w:r>
      <w:r>
        <w:rPr>
          <w:rFonts w:ascii="Times New Roman;serif" w:hAnsi="Times New Roman;serif"/>
          <w:b/>
          <w:color w:val="000000"/>
          <w:sz w:val="22"/>
          <w:u w:val="single"/>
          <w:shd w:fill="FFFFFF" w:val="clear"/>
        </w:rPr>
        <w:t>SECTION 409A</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In no event will cash compensation or expense reimbursement payments under this Policy be paid after the later of (i) the 15th day of the 3rd month following the end of the Company’s fiscal year in which the compensation is earned or expenses are incurred, as applicable, or (ii) the 15th 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Times New Roman;serif" w:hAnsi="Times New Roman;serif"/>
          <w:b/>
          <w:color w:val="000000"/>
          <w:sz w:val="22"/>
          <w:shd w:fill="FFFFFF" w:val="clear"/>
        </w:rPr>
        <w:t>Section 409A</w:t>
      </w:r>
      <w:r>
        <w:rPr>
          <w:color w:val="000000"/>
          <w:shd w:fill="FFFFFF" w:val="clear"/>
        </w:rPr>
        <w:t>”</w:t>
      </w:r>
      <w:r>
        <w:rPr>
          <w:rFonts w:ascii="Times New Roman;serif" w:hAnsi="Times New Roman;serif"/>
          <w:b w:val="false"/>
          <w:color w:val="000000"/>
          <w:sz w:val="22"/>
          <w:shd w:fill="FFFFFF" w:val="clear"/>
        </w:rPr>
        <w:t>).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reimburse an Outside Director for any taxes imposed or other costs incurred as a result of Section 409A.</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both"/>
        <w:rPr/>
      </w:pPr>
      <w:r>
        <w:rPr>
          <w:rFonts w:ascii="Times New Roman;serif" w:hAnsi="Times New Roman;serif"/>
          <w:b/>
          <w:color w:val="000000"/>
          <w:sz w:val="22"/>
          <w:shd w:fill="FFFFFF" w:val="clear"/>
        </w:rPr>
        <w:t>10.    </w:t>
      </w:r>
      <w:r>
        <w:rPr>
          <w:rFonts w:ascii="Times New Roman;serif" w:hAnsi="Times New Roman;serif"/>
          <w:b/>
          <w:color w:val="000000"/>
          <w:sz w:val="22"/>
          <w:u w:val="single"/>
          <w:shd w:fill="FFFFFF" w:val="clear"/>
        </w:rPr>
        <w:t>REVISIONS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Subject to the limitations provided in Section 12 of the Plan, the Administrator, in its discretion, may change and otherwise revise the terms of Initial Awards, Additional Initial Awards or Annual Awards granted under this Policy, including, without limitation, the number of Shares subject thereto, for Initial Awards, Additional Initial Awards or Annual Awards of the same or different type granted on or after the date the Administrator determines to make any such change or revision. For the avoidance of doubt, the Administrator may, in its sole discretion, grant additional awards, compensation and benefits to Outside Directors as the Administrator deems appropriate.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Board may also amend, alter, suspend or terminate this Policy at any time and for any reason.  No amendment, alteration, suspension or termination of this Policy will materially impair the rights of an Outside Director with respect to compensation that already has been paid or awarded, unless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i/>
          <w:color w:val="000000"/>
          <w:sz w:val="24"/>
        </w:rPr>
      </w:pPr>
      <w:r>
        <w:rPr>
          <w:rFonts w:ascii="Times New Roman;serif" w:hAnsi="Times New Roman;serif"/>
          <w:b w:val="false"/>
          <w:i/>
          <w:color w:val="000000"/>
          <w:sz w:val="24"/>
        </w:rPr>
        <w:t>Last reviewed and amended: June 17,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George Kurtz,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CrowdStrike Holdings,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26, 2026 </w:t>
      </w:r>
    </w:p>
    <w:tbl>
      <w:tblPr>
        <w:tblW w:w="5455" w:type="dxa"/>
        <w:jc w:val="left"/>
        <w:tblInd w:w="0" w:type="dxa"/>
        <w:tblLayout w:type="fixed"/>
        <w:tblCellMar>
          <w:top w:w="28" w:type="dxa"/>
          <w:left w:w="28" w:type="dxa"/>
          <w:bottom w:w="28" w:type="dxa"/>
          <w:right w:w="28" w:type="dxa"/>
        </w:tblCellMar>
      </w:tblPr>
      <w:tblGrid>
        <w:gridCol w:w="526"/>
        <w:gridCol w:w="462"/>
        <w:gridCol w:w="462"/>
        <w:gridCol w:w="1171"/>
        <w:gridCol w:w="1171"/>
        <w:gridCol w:w="1663"/>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r>
      <w:tr>
        <w:trPr/>
        <w:tc>
          <w:tcPr>
            <w:tcW w:w="54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CROWDSTRIKE HOLDINGS, INC.</w:t>
            </w:r>
          </w:p>
        </w:tc>
      </w:tr>
      <w:tr>
        <w:trPr/>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George Kurtz</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George Kurtz</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br/>
              <w:t>(Principal Executive Officer)</w:t>
            </w:r>
          </w:p>
        </w:tc>
      </w:tr>
    </w:tbl>
    <w:p>
      <w:pPr>
        <w:pStyle w:val="TextBody"/>
        <w:bidi w:val="0"/>
        <w:spacing w:before="2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Burt W. Podbere,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CrowdStrike Holdings,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26, 2026 </w:t>
      </w:r>
    </w:p>
    <w:tbl>
      <w:tblPr>
        <w:tblW w:w="5815" w:type="dxa"/>
        <w:jc w:val="left"/>
        <w:tblInd w:w="0" w:type="dxa"/>
        <w:tblLayout w:type="fixed"/>
        <w:tblCellMar>
          <w:top w:w="28" w:type="dxa"/>
          <w:left w:w="28" w:type="dxa"/>
          <w:bottom w:w="28" w:type="dxa"/>
          <w:right w:w="28" w:type="dxa"/>
        </w:tblCellMar>
      </w:tblPr>
      <w:tblGrid>
        <w:gridCol w:w="526"/>
        <w:gridCol w:w="462"/>
        <w:gridCol w:w="462"/>
        <w:gridCol w:w="1276"/>
        <w:gridCol w:w="1276"/>
        <w:gridCol w:w="1813"/>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r>
      <w:tr>
        <w:trPr/>
        <w:tc>
          <w:tcPr>
            <w:tcW w:w="58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CROWDSTRIKE HOLDINGS, INC.</w:t>
            </w:r>
          </w:p>
        </w:tc>
      </w:tr>
      <w:tr>
        <w:trPr/>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Burt W. Podbere</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Burt W. Podbere</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36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(Principal Financial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AND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George Kurtz, the President and Chief Executive Officer of CrowdStrike Holdings, Inc., certify, pursuant to 18 U.S.C. Section 1350, as adopted pursuant to Section 906 of the Sarbanes-Oxley Act of 2002, that the Quarterly Report on Form 10-Q of CrowdStrike Holdings, Inc. for the fiscal quarter ended July 31, 2026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tbl>
      <w:tblPr>
        <w:tblW w:w="6583" w:type="dxa"/>
        <w:jc w:val="left"/>
        <w:tblInd w:w="0" w:type="dxa"/>
        <w:tblLayout w:type="fixed"/>
        <w:tblCellMar>
          <w:top w:w="28" w:type="dxa"/>
          <w:left w:w="28" w:type="dxa"/>
          <w:bottom w:w="28" w:type="dxa"/>
          <w:right w:w="28" w:type="dxa"/>
        </w:tblCellMar>
      </w:tblPr>
      <w:tblGrid>
        <w:gridCol w:w="705"/>
        <w:gridCol w:w="621"/>
        <w:gridCol w:w="624"/>
        <w:gridCol w:w="208"/>
        <w:gridCol w:w="208"/>
        <w:gridCol w:w="213"/>
        <w:gridCol w:w="1172"/>
        <w:gridCol w:w="1172"/>
        <w:gridCol w:w="166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26,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George Kurtz</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George Kurtz</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br/>
              <w:t>(Principal Executive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Burt W. Podbere, the Chief Financial Officer of CrowdStrike Holdings, Inc., certify, pursuant to 18 U.S.C. Section 1350, as adopted pursuant to Section 906 of the Sarbanes-Oxley Act of 2002, that the Quarterly Report on Form 10-Q of CrowdStrike Holdings, Inc. for the fiscal quarter ended July 31, 2026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tbl>
      <w:tblPr>
        <w:tblW w:w="4993" w:type="dxa"/>
        <w:jc w:val="left"/>
        <w:tblInd w:w="0" w:type="dxa"/>
        <w:tblLayout w:type="fixed"/>
        <w:tblCellMar>
          <w:top w:w="28" w:type="dxa"/>
          <w:left w:w="28" w:type="dxa"/>
          <w:bottom w:w="28" w:type="dxa"/>
          <w:right w:w="28" w:type="dxa"/>
        </w:tblCellMar>
      </w:tblPr>
      <w:tblGrid>
        <w:gridCol w:w="705"/>
        <w:gridCol w:w="621"/>
        <w:gridCol w:w="624"/>
        <w:gridCol w:w="208"/>
        <w:gridCol w:w="208"/>
        <w:gridCol w:w="213"/>
        <w:gridCol w:w="705"/>
        <w:gridCol w:w="705"/>
        <w:gridCol w:w="100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26,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Burt W. Podbere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Burt W. Podbere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35527/000110465926076376/tm2618192d1_ex3-1.htm" TargetMode="External"/><Relationship Id="rId3" Type="http://schemas.openxmlformats.org/officeDocument/2006/relationships/hyperlink" Target="https://www.sec.gov/Archives/edgar/data/1535527/000110465926076376/tm2618192d1_ex3-1.htm" TargetMode="External"/><Relationship Id="rId4" Type="http://schemas.openxmlformats.org/officeDocument/2006/relationships/hyperlink" Target="https://www.sec.gov/Archives/edgar/data/1535527/000153552724000026/crowdstrikeholdingsincam.htm" TargetMode="External"/><Relationship Id="rId5" Type="http://schemas.openxmlformats.org/officeDocument/2006/relationships/hyperlink" Target="https://www.sec.gov/Archives/edgar/data/1535527/000153552724000026/crowdstrikeholdingsincam.htm" TargetMode="External"/><Relationship Id="rId6" Type="http://schemas.openxmlformats.org/officeDocument/2006/relationships/hyperlink" Target="https://www.sec.gov/Archives/edgar/data/1535527/000110465924128515/tm2430723d1_ex3-1.htm" TargetMode="External"/><Relationship Id="rId7" Type="http://schemas.openxmlformats.org/officeDocument/2006/relationships/hyperlink" Target="https://www.sec.gov/Archives/edgar/data/1535527/000110465924128515/tm2430723d1_ex3-1.htm" TargetMode="External"/><Relationship Id="rId8" Type="http://schemas.openxmlformats.org/officeDocument/2006/relationships/hyperlink" Target="https://www.sec.gov/Archives/edgar/data/1535527/000153552725000009/ex-221listofsubsidiaryguar.htm" TargetMode="External"/><Relationship Id="rId9" Type="http://schemas.openxmlformats.org/officeDocument/2006/relationships/hyperlink" Target="https://www.sec.gov/Archives/edgar/data/1535527/000153552725000009/ex-221listofsubsidiaryguar.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60295</Words>
  <Characters>336236</Characters>
  <CharactersWithSpaces>394052</CharactersWithSpaces>
  <Paragraphs>4540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