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1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260.34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7,381,348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262.67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7,381,178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263.99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7,380,418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960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7,379,458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265.88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7,378,132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266.9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7,376,828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267.99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7,372,604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268.7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7,371,667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269.67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264.46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7,370,559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265.21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7,367,034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266.42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7,365,567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267.38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7,364,602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268.4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7,363,079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269.44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7,362,043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270.45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7,361,638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271.75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544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54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16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16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Includes shares sold pursuant to a 10b5-1 plan adopted on January 16, 2026.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80" w:type="dxa"/>
            <w:vAlign w:val="bottom"/>
            <w:gridSpan w:val="7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Includes shares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Scurity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 xml:space="preserve">tobe issued in connection with the vesting of one or more restricted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stock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units (RSUs).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92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This transaction was executed in multiple trades at prices ranging from $262.21 to $263.00. The price reported above reflects the weighted average sale price. The Reporting Person hereby undertakes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0300" w:type="dxa"/>
            <w:vAlign w:val="bottom"/>
            <w:gridSpan w:val="1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to provide upon request to the SEC staff, the issuer or a security holder of the issuer full information regarding the number of shares and prices at which the transaction was effected.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80" w:firstLine="7"/>
        <w:spacing w:after="0" w:line="255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$263.36 to $264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.34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$264.40 to $265.38.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7340"/>
        <w:spacing w:after="0" w:line="2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b w:val="1"/>
          <w:bCs w:val="1"/>
          <w:color w:val="auto"/>
        </w:rPr>
        <w:t>Amount</w:t>
      </w:r>
    </w:p>
    <w:p>
      <w:pPr>
        <w:ind w:left="7340" w:right="280" w:hanging="728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6. This transaction was executed in multiple trades at prices ranging from $265.43 to $266.39. The price reported above reflects the weighted average sale price. The Reporting Person hereby undertakes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to provide upon request to the SEC staff, the issuer or a security holder of the issuer full information regarding the number of shares and prices at which the transaction was effected.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40" w:right="280" w:firstLine="7"/>
        <w:spacing w:after="0" w:line="289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transaction was executed in multiple trades at prices ranging from $266.43 to $267.40. The price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reported above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Expi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ation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the weighted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average sale price. The Reporting Person hereby undertakes to provide upon request to the SEC staff, the issuer or a security holder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ofthe issuer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full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information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 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regardingthe number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of 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and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pricesat which the transaction was effected.</w:t>
      </w: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$267.43 to $268.42.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$268.45 to $269.40.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$263.82 to $264.81.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$264.82 to $265.75.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$265.86 to $266.85.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$266.86 to $267.83.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$267.92 to $268.87.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$268.98 to $269.95.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$270.00 to $270.94.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$271.03 to $271.99.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2026-10-29T19:00:46Z</dcterms:created>
  <dcterms:modified xsi:type="dcterms:W3CDTF">2026-10-29T19:00:46Z</dcterms:modified>
</cp:coreProperties>
</file>