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206 E. 9TH ST., STE. 1400</w:t>
            </w: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jc w:val="center"/>
              <w:ind w:left="3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76</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765.93</w:t>
            </w:r>
            <w:r>
              <w:rPr>
                <w:rFonts w:ascii="Times New Roman" w:cs="Times New Roman" w:eastAsia="Times New Roman" w:hAnsi="Times New Roman"/>
                <w:sz w:val="22"/>
                <w:szCs w:val="22"/>
                <w:color w:val="008000"/>
                <w:w w:val="95"/>
                <w:vertAlign w:val="superscript"/>
              </w:rPr>
              <w:t>(2)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723,534</w:t>
            </w:r>
            <w:r>
              <w:rPr>
                <w:rFonts w:ascii="Times New Roman" w:cs="Times New Roman" w:eastAsia="Times New Roman" w:hAnsi="Times New Roman"/>
                <w:sz w:val="22"/>
                <w:szCs w:val="22"/>
                <w:color w:val="008000"/>
                <w:w w:val="91"/>
                <w:vertAlign w:val="superscript"/>
              </w:rPr>
              <w:t>(3)(4)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135</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767.17</w:t>
            </w:r>
            <w:r>
              <w:rPr>
                <w:rFonts w:ascii="Times New Roman" w:cs="Times New Roman" w:eastAsia="Times New Roman" w:hAnsi="Times New Roman"/>
                <w:sz w:val="22"/>
                <w:szCs w:val="22"/>
                <w:color w:val="008000"/>
                <w:w w:val="95"/>
                <w:vertAlign w:val="superscript"/>
              </w:rPr>
              <w:t>(5)</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723,399</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283</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768.46</w:t>
            </w:r>
            <w:r>
              <w:rPr>
                <w:rFonts w:ascii="Times New Roman" w:cs="Times New Roman" w:eastAsia="Times New Roman" w:hAnsi="Times New Roman"/>
                <w:sz w:val="22"/>
                <w:szCs w:val="22"/>
                <w:color w:val="008000"/>
                <w:w w:val="95"/>
                <w:vertAlign w:val="superscript"/>
              </w:rPr>
              <w:t>(6)</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723,116</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281</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769.4</w:t>
            </w:r>
            <w:r>
              <w:rPr>
                <w:rFonts w:ascii="Times New Roman" w:cs="Times New Roman" w:eastAsia="Times New Roman" w:hAnsi="Times New Roman"/>
                <w:sz w:val="22"/>
                <w:szCs w:val="22"/>
                <w:color w:val="008000"/>
                <w:w w:val="95"/>
                <w:vertAlign w:val="superscript"/>
              </w:rPr>
              <w:t>(7)</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722,835</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316</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770.41</w:t>
            </w:r>
            <w:r>
              <w:rPr>
                <w:rFonts w:ascii="Times New Roman" w:cs="Times New Roman" w:eastAsia="Times New Roman" w:hAnsi="Times New Roman"/>
                <w:sz w:val="22"/>
                <w:szCs w:val="22"/>
                <w:color w:val="008000"/>
                <w:w w:val="95"/>
                <w:vertAlign w:val="superscript"/>
              </w:rPr>
              <w:t>(8)</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722,519</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472</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771.47</w:t>
            </w:r>
            <w:r>
              <w:rPr>
                <w:rFonts w:ascii="Times New Roman" w:cs="Times New Roman" w:eastAsia="Times New Roman" w:hAnsi="Times New Roman"/>
                <w:sz w:val="22"/>
                <w:szCs w:val="22"/>
                <w:color w:val="008000"/>
                <w:w w:val="95"/>
                <w:vertAlign w:val="superscript"/>
              </w:rPr>
              <w:t>(9)</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722,047</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485</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772.43</w:t>
            </w:r>
            <w:r>
              <w:rPr>
                <w:rFonts w:ascii="Times New Roman" w:cs="Times New Roman" w:eastAsia="Times New Roman" w:hAnsi="Times New Roman"/>
                <w:sz w:val="22"/>
                <w:szCs w:val="22"/>
                <w:color w:val="008000"/>
                <w:w w:val="91"/>
                <w:vertAlign w:val="superscript"/>
              </w:rPr>
              <w:t>(10)</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721,562</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444</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773.44</w:t>
            </w:r>
            <w:r>
              <w:rPr>
                <w:rFonts w:ascii="Times New Roman" w:cs="Times New Roman" w:eastAsia="Times New Roman" w:hAnsi="Times New Roman"/>
                <w:sz w:val="22"/>
                <w:szCs w:val="22"/>
                <w:color w:val="008000"/>
                <w:w w:val="91"/>
                <w:vertAlign w:val="superscript"/>
              </w:rPr>
              <w:t>(11)</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721,118</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267</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774.58</w:t>
            </w:r>
            <w:r>
              <w:rPr>
                <w:rFonts w:ascii="Times New Roman" w:cs="Times New Roman" w:eastAsia="Times New Roman" w:hAnsi="Times New Roman"/>
                <w:sz w:val="22"/>
                <w:szCs w:val="22"/>
                <w:color w:val="008000"/>
                <w:w w:val="91"/>
                <w:vertAlign w:val="superscript"/>
              </w:rPr>
              <w:t>(12)</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720,851</w:t>
            </w:r>
            <w:r>
              <w:rPr>
                <w:rFonts w:ascii="Times New Roman" w:cs="Times New Roman" w:eastAsia="Times New Roman" w:hAnsi="Times New Roman"/>
                <w:sz w:val="22"/>
                <w:szCs w:val="22"/>
                <w:color w:val="008000"/>
                <w:w w:val="96"/>
                <w:vertAlign w:val="superscript"/>
              </w:rPr>
              <w:t>(4)</w:t>
            </w:r>
          </w:p>
        </w:tc>
        <w:tc>
          <w:tcPr>
            <w:tcW w:w="9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55"/>
        </w:trPr>
        <w:tc>
          <w:tcPr>
            <w:tcW w:w="226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jc w:val="center"/>
              <w:ind w:left="3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479</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775.7</w:t>
            </w:r>
            <w:r>
              <w:rPr>
                <w:rFonts w:ascii="Times New Roman" w:cs="Times New Roman" w:eastAsia="Times New Roman" w:hAnsi="Times New Roman"/>
                <w:sz w:val="22"/>
                <w:szCs w:val="22"/>
                <w:color w:val="008000"/>
                <w:w w:val="91"/>
                <w:vertAlign w:val="superscript"/>
              </w:rPr>
              <w:t>(13)</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720,372</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533</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776.63</w:t>
            </w:r>
            <w:r>
              <w:rPr>
                <w:rFonts w:ascii="Times New Roman" w:cs="Times New Roman" w:eastAsia="Times New Roman" w:hAnsi="Times New Roman"/>
                <w:sz w:val="22"/>
                <w:szCs w:val="22"/>
                <w:color w:val="008000"/>
                <w:w w:val="91"/>
                <w:vertAlign w:val="superscript"/>
              </w:rPr>
              <w:t>(14)</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719,839</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285</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777.67</w:t>
            </w:r>
            <w:r>
              <w:rPr>
                <w:rFonts w:ascii="Times New Roman" w:cs="Times New Roman" w:eastAsia="Times New Roman" w:hAnsi="Times New Roman"/>
                <w:sz w:val="22"/>
                <w:szCs w:val="22"/>
                <w:color w:val="008000"/>
                <w:w w:val="91"/>
                <w:vertAlign w:val="superscript"/>
              </w:rPr>
              <w:t>(15)</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719,554</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166</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778.69</w:t>
            </w:r>
            <w:r>
              <w:rPr>
                <w:rFonts w:ascii="Times New Roman" w:cs="Times New Roman" w:eastAsia="Times New Roman" w:hAnsi="Times New Roman"/>
                <w:sz w:val="22"/>
                <w:szCs w:val="22"/>
                <w:color w:val="008000"/>
                <w:w w:val="91"/>
                <w:vertAlign w:val="superscript"/>
              </w:rPr>
              <w:t>(16)</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719,388</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128</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779.56</w:t>
            </w:r>
            <w:r>
              <w:rPr>
                <w:rFonts w:ascii="Times New Roman" w:cs="Times New Roman" w:eastAsia="Times New Roman" w:hAnsi="Times New Roman"/>
                <w:sz w:val="22"/>
                <w:szCs w:val="22"/>
                <w:color w:val="008000"/>
                <w:w w:val="91"/>
                <w:vertAlign w:val="superscript"/>
              </w:rPr>
              <w:t>(17)</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719,260</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291</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780.73</w:t>
            </w:r>
            <w:r>
              <w:rPr>
                <w:rFonts w:ascii="Times New Roman" w:cs="Times New Roman" w:eastAsia="Times New Roman" w:hAnsi="Times New Roman"/>
                <w:sz w:val="22"/>
                <w:szCs w:val="22"/>
                <w:color w:val="008000"/>
                <w:w w:val="91"/>
                <w:vertAlign w:val="superscript"/>
              </w:rPr>
              <w:t>(18)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718,969</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138</w:t>
            </w:r>
            <w:r>
              <w:rPr>
                <w:rFonts w:ascii="Times New Roman" w:cs="Times New Roman" w:eastAsia="Times New Roman" w:hAnsi="Times New Roman"/>
                <w:sz w:val="22"/>
                <w:szCs w:val="22"/>
                <w:color w:val="008000"/>
                <w:w w:val="89"/>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781.66</w:t>
            </w:r>
            <w:r>
              <w:rPr>
                <w:rFonts w:ascii="Times New Roman" w:cs="Times New Roman" w:eastAsia="Times New Roman" w:hAnsi="Times New Roman"/>
                <w:sz w:val="22"/>
                <w:szCs w:val="22"/>
                <w:color w:val="008000"/>
                <w:w w:val="91"/>
                <w:vertAlign w:val="superscript"/>
              </w:rPr>
              <w:t>(19)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718,831</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1"/>
                <w:vertAlign w:val="subscript"/>
              </w:rPr>
              <w:t>153</w:t>
            </w:r>
            <w:r>
              <w:rPr>
                <w:rFonts w:ascii="Times New Roman" w:cs="Times New Roman" w:eastAsia="Times New Roman" w:hAnsi="Times New Roman"/>
                <w:sz w:val="11"/>
                <w:szCs w:val="11"/>
                <w:color w:val="008000"/>
                <w:w w:val="81"/>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782.79</w:t>
            </w:r>
            <w:r>
              <w:rPr>
                <w:rFonts w:ascii="Times New Roman" w:cs="Times New Roman" w:eastAsia="Times New Roman" w:hAnsi="Times New Roman"/>
                <w:sz w:val="22"/>
                <w:szCs w:val="22"/>
                <w:color w:val="008000"/>
                <w:w w:val="91"/>
                <w:vertAlign w:val="superscript"/>
              </w:rPr>
              <w:t>(20)</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718,678</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44</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783.65</w:t>
            </w:r>
            <w:r>
              <w:rPr>
                <w:rFonts w:ascii="Times New Roman" w:cs="Times New Roman" w:eastAsia="Times New Roman" w:hAnsi="Times New Roman"/>
                <w:sz w:val="22"/>
                <w:szCs w:val="22"/>
                <w:color w:val="008000"/>
                <w:w w:val="91"/>
                <w:vertAlign w:val="superscript"/>
              </w:rPr>
              <w:t>(21)</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718,634</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784.68</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718,622</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07/01/2026</w:t>
            </w:r>
          </w:p>
        </w:tc>
        <w:tc>
          <w:tcPr>
            <w:tcW w:w="1120" w:type="dxa"/>
            <w:vAlign w:val="bottom"/>
          </w:tcPr>
          <w:p>
            <w:pPr>
              <w:spacing w:after="0"/>
              <w:rPr>
                <w:sz w:val="18"/>
                <w:szCs w:val="18"/>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785.7</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718,610</w:t>
            </w:r>
            <w:r>
              <w:rPr>
                <w:rFonts w:ascii="Times New Roman" w:cs="Times New Roman" w:eastAsia="Times New Roman" w:hAnsi="Times New Roman"/>
                <w:sz w:val="22"/>
                <w:szCs w:val="22"/>
                <w:color w:val="008000"/>
                <w:w w:val="96"/>
                <w:vertAlign w:val="superscript"/>
              </w:rPr>
              <w:t>(4)</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29,351</w:t>
            </w:r>
            <w:r>
              <w:rPr>
                <w:rFonts w:ascii="Times New Roman" w:cs="Times New Roman" w:eastAsia="Times New Roman" w:hAnsi="Times New Roman"/>
                <w:sz w:val="11"/>
                <w:szCs w:val="11"/>
                <w:color w:val="008000"/>
                <w:w w:val="84"/>
              </w:rPr>
              <w:t>(22)(23)</w:t>
            </w:r>
          </w:p>
        </w:tc>
        <w:tc>
          <w:tcPr>
            <w:tcW w:w="8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174"/>
        </w:trPr>
        <w:tc>
          <w:tcPr>
            <w:tcW w:w="226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9/21/2001</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2"/>
              </w:rPr>
              <w:t>29,868</w:t>
            </w:r>
            <w:r>
              <w:rPr>
                <w:rFonts w:ascii="Times New Roman" w:cs="Times New Roman" w:eastAsia="Times New Roman" w:hAnsi="Times New Roman"/>
                <w:sz w:val="22"/>
                <w:szCs w:val="22"/>
                <w:color w:val="008000"/>
                <w:w w:val="92"/>
                <w:vertAlign w:val="superscript"/>
              </w:rPr>
              <w:t>(24)</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r>
        <w:trPr>
          <w:trHeight w:val="213"/>
        </w:trPr>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26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Accel</w:t>
            </w:r>
          </w:p>
        </w:tc>
        <w:tc>
          <w:tcPr>
            <w:tcW w:w="0" w:type="dxa"/>
            <w:vAlign w:val="bottom"/>
          </w:tcPr>
          <w:p>
            <w:pPr>
              <w:spacing w:after="0"/>
              <w:rPr>
                <w:sz w:val="1"/>
                <w:szCs w:val="1"/>
                <w:color w:val="auto"/>
              </w:rPr>
            </w:pPr>
          </w:p>
        </w:tc>
      </w:tr>
      <w:tr>
        <w:trPr>
          <w:trHeight w:val="213"/>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0"/>
              </w:rPr>
              <w:t>3,340,399</w:t>
            </w:r>
            <w:r>
              <w:rPr>
                <w:rFonts w:ascii="Times New Roman" w:cs="Times New Roman" w:eastAsia="Times New Roman" w:hAnsi="Times New Roman"/>
                <w:sz w:val="22"/>
                <w:szCs w:val="22"/>
                <w:color w:val="008000"/>
                <w:w w:val="90"/>
                <w:vertAlign w:val="superscript"/>
              </w:rPr>
              <w:t>(25)(26)</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Leaders</w:t>
            </w:r>
          </w:p>
        </w:tc>
        <w:tc>
          <w:tcPr>
            <w:tcW w:w="0" w:type="dxa"/>
            <w:vAlign w:val="bottom"/>
          </w:tcPr>
          <w:p>
            <w:pPr>
              <w:spacing w:after="0"/>
              <w:rPr>
                <w:sz w:val="1"/>
                <w:szCs w:val="1"/>
                <w:color w:val="auto"/>
              </w:rPr>
            </w:pPr>
          </w:p>
        </w:tc>
      </w:tr>
      <w:tr>
        <w:trPr>
          <w:trHeight w:val="226"/>
        </w:trPr>
        <w:tc>
          <w:tcPr>
            <w:tcW w:w="2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 L.P.</w:t>
            </w:r>
          </w:p>
        </w:tc>
        <w:tc>
          <w:tcPr>
            <w:tcW w:w="0" w:type="dxa"/>
            <w:vAlign w:val="bottom"/>
          </w:tcPr>
          <w:p>
            <w:pPr>
              <w:spacing w:after="0"/>
              <w:rPr>
                <w:sz w:val="1"/>
                <w:szCs w:val="1"/>
                <w:color w:val="auto"/>
              </w:rPr>
            </w:pPr>
          </w:p>
        </w:tc>
      </w:tr>
      <w:tr>
        <w:trPr>
          <w:trHeight w:val="55"/>
        </w:trPr>
        <w:tc>
          <w:tcPr>
            <w:tcW w:w="226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191" w:right="479" w:bottom="93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7002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700214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000"/>
          </w:cols>
          <w:pgMar w:left="460" w:top="191" w:right="439" w:bottom="0" w:gutter="0" w:footer="0" w:header="0"/>
        </w:sectPr>
      </w:pPr>
    </w:p>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33655" cy="2451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Class A common stock</w:t>
      </w:r>
    </w:p>
    <w:p>
      <w:pPr>
        <w:spacing w:after="0" w:line="20" w:lineRule="exact"/>
        <w:rPr>
          <w:sz w:val="20"/>
          <w:szCs w:val="20"/>
          <w:color w:val="auto"/>
        </w:rPr>
      </w:pPr>
      <w:r>
        <w:rPr>
          <w:sz w:val="20"/>
          <w:szCs w:val="20"/>
          <w:color w:val="auto"/>
        </w:rPr>
        <w:br w:type="column"/>
      </w:r>
    </w:p>
    <w:p>
      <w:pPr>
        <w:ind w:left="204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Leaders</w:t>
      </w:r>
    </w:p>
    <w:p>
      <w:pPr>
        <w:spacing w:after="0" w:line="190" w:lineRule="auto"/>
        <w:tabs>
          <w:tab w:leader="none" w:pos="1480" w:val="left"/>
          <w:tab w:leader="none" w:pos="2020" w:val="left"/>
        </w:tabs>
        <w:rPr>
          <w:sz w:val="20"/>
          <w:szCs w:val="20"/>
          <w:color w:val="auto"/>
        </w:rPr>
      </w:pPr>
      <w:r>
        <w:rPr>
          <w:rFonts w:ascii="Times New Roman" w:cs="Times New Roman" w:eastAsia="Times New Roman" w:hAnsi="Times New Roman"/>
          <w:sz w:val="27"/>
          <w:szCs w:val="27"/>
          <w:color w:val="0000FF"/>
          <w:vertAlign w:val="subscript"/>
        </w:rPr>
        <w:t>159,601</w:t>
      </w:r>
      <w:r>
        <w:rPr>
          <w:rFonts w:ascii="Times New Roman" w:cs="Times New Roman" w:eastAsia="Times New Roman" w:hAnsi="Times New Roman"/>
          <w:sz w:val="10"/>
          <w:szCs w:val="10"/>
          <w:color w:val="008000"/>
        </w:rPr>
        <w:t>(27)(28)</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2016</w:t>
      </w:r>
    </w:p>
    <w:p>
      <w:pPr>
        <w:spacing w:after="0" w:line="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The</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Potomac</w:t>
      </w:r>
    </w:p>
    <w:p>
      <w:pPr>
        <w:ind w:left="180"/>
        <w:spacing w:after="0" w:line="198" w:lineRule="auto"/>
        <w:tabs>
          <w:tab w:leader="none" w:pos="1480" w:val="left"/>
          <w:tab w:leader="none" w:pos="2020" w:val="left"/>
        </w:tabs>
        <w:rPr>
          <w:sz w:val="20"/>
          <w:szCs w:val="20"/>
          <w:color w:val="auto"/>
        </w:rPr>
      </w:pPr>
      <w:r>
        <w:rPr>
          <w:rFonts w:ascii="Times New Roman" w:cs="Times New Roman" w:eastAsia="Times New Roman" w:hAnsi="Times New Roman"/>
          <w:sz w:val="27"/>
          <w:szCs w:val="27"/>
          <w:color w:val="0000FF"/>
          <w:vertAlign w:val="subscript"/>
        </w:rPr>
        <w:t>8,132</w:t>
      </w:r>
      <w:r>
        <w:rPr>
          <w:rFonts w:ascii="Times New Roman" w:cs="Times New Roman" w:eastAsia="Times New Roman" w:hAnsi="Times New Roman"/>
          <w:sz w:val="10"/>
          <w:szCs w:val="10"/>
          <w:color w:val="008000"/>
        </w:rPr>
        <w:t>(29)</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5"/>
          <w:szCs w:val="25"/>
          <w:color w:val="0000FF"/>
          <w:vertAlign w:val="superscript"/>
        </w:rPr>
        <w:t>2011</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Nonexempt</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Trust dated</w:t>
      </w:r>
    </w:p>
    <w:p>
      <w:pPr>
        <w:spacing w:after="0" w:line="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10/31/2011</w:t>
      </w:r>
    </w:p>
    <w:p>
      <w:pPr>
        <w:spacing w:after="0" w:line="1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Accel</w:t>
      </w:r>
    </w:p>
    <w:p>
      <w:pPr>
        <w:ind w:left="160"/>
        <w:spacing w:after="0" w:line="203" w:lineRule="auto"/>
        <w:tabs>
          <w:tab w:leader="none" w:pos="1480" w:val="left"/>
          <w:tab w:leader="none" w:pos="2020" w:val="left"/>
        </w:tabs>
        <w:rPr>
          <w:sz w:val="20"/>
          <w:szCs w:val="20"/>
          <w:color w:val="auto"/>
        </w:rPr>
      </w:pPr>
      <w:r>
        <w:rPr>
          <w:rFonts w:ascii="Times New Roman" w:cs="Times New Roman" w:eastAsia="Times New Roman" w:hAnsi="Times New Roman"/>
          <w:sz w:val="28"/>
          <w:szCs w:val="28"/>
          <w:color w:val="0000FF"/>
          <w:vertAlign w:val="subscript"/>
        </w:rPr>
        <w:t>0</w:t>
      </w:r>
      <w:r>
        <w:rPr>
          <w:rFonts w:ascii="Times New Roman" w:cs="Times New Roman" w:eastAsia="Times New Roman" w:hAnsi="Times New Roman"/>
          <w:sz w:val="10"/>
          <w:szCs w:val="10"/>
          <w:color w:val="008000"/>
        </w:rPr>
        <w:t>(30)(31)(32)</w:t>
      </w:r>
      <w:r>
        <w:rPr>
          <w:sz w:val="20"/>
          <w:szCs w:val="20"/>
          <w:color w:val="auto"/>
        </w:rPr>
        <w:tab/>
      </w:r>
      <w:r>
        <w:rPr>
          <w:rFonts w:ascii="Times New Roman" w:cs="Times New Roman" w:eastAsia="Times New Roman" w:hAnsi="Times New Roman"/>
          <w:sz w:val="28"/>
          <w:szCs w:val="28"/>
          <w:color w:val="0000FF"/>
          <w:vertAlign w:val="subscript"/>
        </w:rPr>
        <w:t>I</w:t>
      </w:r>
      <w:r>
        <w:rPr>
          <w:sz w:val="20"/>
          <w:szCs w:val="20"/>
          <w:color w:val="auto"/>
        </w:rPr>
        <w:tab/>
      </w:r>
      <w:r>
        <w:rPr>
          <w:rFonts w:ascii="Times New Roman" w:cs="Times New Roman" w:eastAsia="Times New Roman" w:hAnsi="Times New Roman"/>
          <w:sz w:val="25"/>
          <w:szCs w:val="25"/>
          <w:color w:val="0000FF"/>
          <w:vertAlign w:val="subscript"/>
        </w:rPr>
        <w:t>Growth</w:t>
      </w:r>
    </w:p>
    <w:p>
      <w:pPr>
        <w:spacing w:after="0" w:line="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7"/>
          <w:szCs w:val="17"/>
          <w:color w:val="0000FF"/>
        </w:rPr>
        <w:t>Fund II L.P.</w:t>
      </w:r>
    </w:p>
    <w:p>
      <w:pPr>
        <w:spacing w:after="0" w:line="1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Growth</w:t>
      </w:r>
    </w:p>
    <w:p>
      <w:pPr>
        <w:ind w:left="340"/>
        <w:spacing w:after="0" w:line="198" w:lineRule="auto"/>
        <w:tabs>
          <w:tab w:leader="none" w:pos="1480" w:val="left"/>
          <w:tab w:leader="none" w:pos="2020" w:val="left"/>
        </w:tabs>
        <w:rPr>
          <w:sz w:val="20"/>
          <w:szCs w:val="20"/>
          <w:color w:val="auto"/>
        </w:rPr>
      </w:pPr>
      <w:r>
        <w:rPr>
          <w:rFonts w:ascii="Times New Roman" w:cs="Times New Roman" w:eastAsia="Times New Roman" w:hAnsi="Times New Roman"/>
          <w:sz w:val="16"/>
          <w:szCs w:val="16"/>
          <w:color w:val="0000FF"/>
        </w:rPr>
        <w:t>0</w:t>
      </w:r>
      <w:r>
        <w:rPr>
          <w:rFonts w:ascii="Times New Roman" w:cs="Times New Roman" w:eastAsia="Times New Roman" w:hAnsi="Times New Roman"/>
          <w:sz w:val="10"/>
          <w:szCs w:val="10"/>
          <w:color w:val="008000"/>
        </w:rPr>
        <w:t>(33)</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25"/>
          <w:szCs w:val="25"/>
          <w:color w:val="0000FF"/>
          <w:vertAlign w:val="superscript"/>
        </w:rPr>
        <w:t>Fund II</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Strategic</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Partners</w:t>
      </w:r>
    </w:p>
    <w:p>
      <w:pPr>
        <w:spacing w:after="0" w:line="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L.P.</w:t>
      </w:r>
    </w:p>
    <w:p>
      <w:pPr>
        <w:spacing w:after="0" w:line="13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Growth</w:t>
      </w:r>
    </w:p>
    <w:p>
      <w:pPr>
        <w:ind w:left="340"/>
        <w:spacing w:after="0" w:line="190" w:lineRule="auto"/>
        <w:tabs>
          <w:tab w:leader="none" w:pos="1480" w:val="left"/>
          <w:tab w:leader="none" w:pos="2020" w:val="left"/>
        </w:tabs>
        <w:rPr>
          <w:sz w:val="20"/>
          <w:szCs w:val="20"/>
          <w:color w:val="auto"/>
        </w:rPr>
      </w:pPr>
      <w:r>
        <w:rPr>
          <w:rFonts w:ascii="Times New Roman" w:cs="Times New Roman" w:eastAsia="Times New Roman" w:hAnsi="Times New Roman"/>
          <w:sz w:val="16"/>
          <w:szCs w:val="16"/>
          <w:color w:val="0000FF"/>
        </w:rPr>
        <w:t>0</w:t>
      </w:r>
      <w:r>
        <w:rPr>
          <w:rFonts w:ascii="Times New Roman" w:cs="Times New Roman" w:eastAsia="Times New Roman" w:hAnsi="Times New Roman"/>
          <w:sz w:val="10"/>
          <w:szCs w:val="10"/>
          <w:color w:val="008000"/>
        </w:rPr>
        <w:t>(34)</w:t>
      </w:r>
      <w:r>
        <w:rPr>
          <w:sz w:val="20"/>
          <w:szCs w:val="20"/>
          <w:color w:val="auto"/>
        </w:rPr>
        <w:tab/>
      </w:r>
      <w:r>
        <w:rPr>
          <w:rFonts w:ascii="Times New Roman" w:cs="Times New Roman" w:eastAsia="Times New Roman" w:hAnsi="Times New Roman"/>
          <w:sz w:val="16"/>
          <w:szCs w:val="16"/>
          <w:color w:val="0000FF"/>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2013</w:t>
      </w:r>
    </w:p>
    <w:p>
      <w:pPr>
        <w:spacing w:after="0" w:line="1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180"/>
        <w:spacing w:after="0"/>
        <w:tabs>
          <w:tab w:leader="none" w:pos="1440" w:val="left"/>
        </w:tabs>
        <w:rPr>
          <w:sz w:val="20"/>
          <w:szCs w:val="20"/>
          <w:color w:val="auto"/>
        </w:rPr>
      </w:pPr>
      <w:r>
        <w:rPr>
          <w:rFonts w:ascii="Times New Roman" w:cs="Times New Roman" w:eastAsia="Times New Roman" w:hAnsi="Times New Roman"/>
          <w:sz w:val="17"/>
          <w:szCs w:val="17"/>
          <w:color w:val="0000FF"/>
        </w:rPr>
        <w:t>8,003</w:t>
      </w:r>
      <w:r>
        <w:rPr>
          <w:rFonts w:ascii="Times New Roman" w:cs="Times New Roman" w:eastAsia="Times New Roman" w:hAnsi="Times New Roman"/>
          <w:sz w:val="22"/>
          <w:szCs w:val="22"/>
          <w:color w:val="008000"/>
          <w:vertAlign w:val="superscript"/>
        </w:rPr>
        <w:t>(35)</w:t>
      </w:r>
      <w:r>
        <w:rPr>
          <w:sz w:val="20"/>
          <w:szCs w:val="20"/>
          <w:color w:val="auto"/>
        </w:rPr>
        <w:tab/>
      </w:r>
      <w:r>
        <w:rPr>
          <w:rFonts w:ascii="Times New Roman" w:cs="Times New Roman" w:eastAsia="Times New Roman" w:hAnsi="Times New Roman"/>
          <w:sz w:val="16"/>
          <w:szCs w:val="16"/>
          <w:color w:val="0000FF"/>
        </w:rPr>
        <w:t>D</w:t>
      </w:r>
    </w:p>
    <w:p>
      <w:pPr>
        <w:spacing w:after="0" w:line="119" w:lineRule="exact"/>
        <w:rPr>
          <w:sz w:val="20"/>
          <w:szCs w:val="20"/>
          <w:color w:val="auto"/>
        </w:rPr>
      </w:pPr>
    </w:p>
    <w:p>
      <w:pPr>
        <w:sectPr>
          <w:pgSz w:w="11900" w:h="16838" w:orient="portrait"/>
          <w:cols w:equalWidth="0" w:num="2">
            <w:col w:w="7300" w:space="720"/>
            <w:col w:w="2980"/>
          </w:cols>
          <w:pgMar w:left="460" w:top="191"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June 27, 2025.</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$765.40 to $766.35.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holdings have been updated to reflect 13,154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$766.85 to $767.76.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$767.86 to $768.85.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$768.89 to $769.84.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$769.90 to $770.89.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$771.00 to $771.98.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$772.01 to $772.97.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$773.02 to $774.00.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$774.13 to $775.07.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$775.13 to $776.12.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$776.13 to $777.07.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$777.14 to $778.08.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00"/>
          </w:cols>
          <w:pgMar w:left="460" w:top="191" w:right="439" w:bottom="0" w:gutter="0" w:footer="0" w:header="0"/>
          <w:type w:val="continuous"/>
        </w:sectPr>
      </w:pPr>
    </w:p>
    <w:bookmarkStart w:id="3" w:name="page4"/>
    <w:bookmarkEnd w:id="3"/>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$778.21 to $779.19.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$779.20 to $780.06.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$780.20 to $781.12.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$781.26 to $782.02.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$782.40 to $783.21.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$783.48 to $783.88.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holdings have been updated to reflect 162 shares that have been distributed by various Accel-affiliated funds, in each case to the limited partners or members of the distributing entity for no consideration, representing each limited partner's or member's pro-rata interest in such shares in accordance with the exemptions afforded by Rule 16a-13 of the Securities Exchange Act of 1934, as amended.</w:t>
      </w:r>
    </w:p>
    <w:p>
      <w:pPr>
        <w:spacing w:after="0" w:line="20" w:lineRule="exact"/>
        <w:rPr>
          <w:rFonts w:ascii="Times New Roman" w:cs="Times New Roman" w:eastAsia="Times New Roman" w:hAnsi="Times New Roman"/>
          <w:sz w:val="13"/>
          <w:szCs w:val="13"/>
          <w:color w:val="008000"/>
        </w:rPr>
      </w:pPr>
    </w:p>
    <w:p>
      <w:pPr>
        <w:ind w:right="40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right="38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Section16 or any other purpose.</w:t>
      </w:r>
    </w:p>
    <w:p>
      <w:pPr>
        <w:spacing w:after="0" w:line="20" w:lineRule="exact"/>
        <w:rPr>
          <w:rFonts w:ascii="Times New Roman" w:cs="Times New Roman" w:eastAsia="Times New Roman" w:hAnsi="Times New Roman"/>
          <w:sz w:val="13"/>
          <w:szCs w:val="13"/>
          <w:color w:val="008000"/>
        </w:rPr>
      </w:pPr>
    </w:p>
    <w:p>
      <w:pPr>
        <w:ind w:right="20" w:firstLine="7"/>
        <w:spacing w:after="0" w:line="244"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L.P. Accel Leaders Fund Associates L.L.C. (&amp;quot;Accel Leaders Fund GP&amp;quot;) is the general partner of Accel Leaders Fund L.P. (the &amp;quot;Accel Leader Fund Entity&amp;quot;). Accel Leaders Fund GP has sole voting and dispositive power with regard to the shares held by the Accel Leaders Fund Entity. The Reporting Person is one of five Managing Members of Accel Leaders Fund GP, who share voting and dispositive powers over the shares held by the Accel Leaders Fund Entity. Each of such Managing Members, the Reporting Person and Accel Leaders Fund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p>
      <w:pPr>
        <w:spacing w:after="0" w:line="26"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holdings have been updated to reflect 143,160 shares that have been distributed by the Accel Leaders Fund L.P. to the limited partners or members of the distributing entity for no consideration.</w:t>
      </w:r>
    </w:p>
    <w:p>
      <w:pPr>
        <w:spacing w:after="0" w:line="50" w:lineRule="exact"/>
        <w:rPr>
          <w:rFonts w:ascii="Times New Roman" w:cs="Times New Roman" w:eastAsia="Times New Roman" w:hAnsi="Times New Roman"/>
          <w:sz w:val="13"/>
          <w:szCs w:val="13"/>
          <w:color w:val="008000"/>
        </w:rPr>
      </w:pPr>
    </w:p>
    <w:p>
      <w:pPr>
        <w:jc w:val="center"/>
        <w:ind w:right="18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Investors 2016 L.L.C. The Reporting Person is one of five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holdings have been updated to reflect 6,840 shares that have been distributed by the Accel Leaders Fund Investors 2016 L.L.C. to the limited partners or members of the distributing entity for no consideration.</w:t>
      </w:r>
    </w:p>
    <w:p>
      <w:pPr>
        <w:spacing w:after="0" w:line="7" w:lineRule="exact"/>
        <w:rPr>
          <w:rFonts w:ascii="Times New Roman" w:cs="Times New Roman" w:eastAsia="Times New Roman" w:hAnsi="Times New Roman"/>
          <w:sz w:val="13"/>
          <w:szCs w:val="13"/>
          <w:color w:val="008000"/>
        </w:rPr>
      </w:pPr>
    </w:p>
    <w:p>
      <w:pPr>
        <w:ind w:right="14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7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holdings have been updated to reflect 169,519 shares that have been distributed by the Accel Growth Fund II L.P. to the limited partners or members of the distributing entity for no consideration.</w:t>
      </w:r>
    </w:p>
    <w:p>
      <w:pPr>
        <w:spacing w:after="0" w:line="7" w:lineRule="exact"/>
        <w:rPr>
          <w:rFonts w:ascii="Times New Roman" w:cs="Times New Roman" w:eastAsia="Times New Roman" w:hAnsi="Times New Roman"/>
          <w:sz w:val="13"/>
          <w:szCs w:val="13"/>
          <w:color w:val="008000"/>
        </w:rPr>
      </w:pPr>
    </w:p>
    <w:p>
      <w:pPr>
        <w:ind w:right="4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L.P. Accel Growth Fund II Associates L.L.C. ("Accel Growth Fund II GP") is the general partner of each of Accel Growth Fund II L.P. and Accel Growth Fund II Strategic Partners L.P. (together, the "Accel Growth Fund II Entities"). Accel Growth Fund II GP has sole voting and dispositive power with regard to the shares held by the Accel Growth Fund II Entities. The Reporting Person is one of five Managing Members of Accel Growth Fund II GP, who share voting and dispositive powers over the shares held by the Accel Growth Fund II Entities (continued on Footnote 32).</w:t>
      </w:r>
    </w:p>
    <w:p>
      <w:pPr>
        <w:spacing w:after="0" w:line="24" w:lineRule="exact"/>
        <w:rPr>
          <w:rFonts w:ascii="Times New Roman" w:cs="Times New Roman" w:eastAsia="Times New Roman" w:hAnsi="Times New Roman"/>
          <w:sz w:val="13"/>
          <w:szCs w:val="13"/>
          <w:color w:val="008000"/>
        </w:rPr>
      </w:pPr>
    </w:p>
    <w:p>
      <w:pPr>
        <w:jc w:val="both"/>
        <w:ind w:right="260"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31)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Growth Fund II GP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6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Strategic Partners L.P. and have been updated to reflect 12,281 shares that have been distributed by the Accel Growth Fund II Strategic Partners L.P. to the limited partners or members of the distributing entity for no consideration.</w:t>
      </w:r>
    </w:p>
    <w:p>
      <w:pPr>
        <w:spacing w:after="0" w:line="7" w:lineRule="exact"/>
        <w:rPr>
          <w:rFonts w:ascii="Times New Roman" w:cs="Times New Roman" w:eastAsia="Times New Roman" w:hAnsi="Times New Roman"/>
          <w:sz w:val="13"/>
          <w:szCs w:val="13"/>
          <w:color w:val="008000"/>
        </w:rPr>
      </w:pPr>
    </w:p>
    <w:p>
      <w:pPr>
        <w:ind w:right="180" w:firstLine="7"/>
        <w:spacing w:after="0" w:line="247"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Investors 2013 L.L.C and have been updated to reflect 18,200 shares that have been distributed by the Accel Growth Fund Investors 2013 L.L.C. to the limited partners or members of the distributing entity for no consideration. The Reporting Person is one of five Managing Members of Accel Growth Fund Investors 2013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2026-07-02T19:01:56Z</dcterms:created>
  <dcterms:modified xsi:type="dcterms:W3CDTF">2026-07-02T19:01:56Z</dcterms:modified>
</cp:coreProperties>
</file>