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April 30, 2026 </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001-38933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CROWDSTRIKE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w:t>
      </w:r>
    </w:p>
    <w:tbl>
      <w:tblPr>
        <w:tblW w:w="5635" w:type="dxa"/>
        <w:jc w:val="center"/>
        <w:tblInd w:w="0" w:type="dxa"/>
        <w:tblLayout w:type="fixed"/>
        <w:tblCellMar>
          <w:top w:w="28" w:type="dxa"/>
          <w:left w:w="28" w:type="dxa"/>
          <w:bottom w:w="28" w:type="dxa"/>
          <w:right w:w="28" w:type="dxa"/>
        </w:tblCellMar>
      </w:tblPr>
      <w:tblGrid>
        <w:gridCol w:w="411"/>
        <w:gridCol w:w="362"/>
        <w:gridCol w:w="362"/>
        <w:gridCol w:w="362"/>
        <w:gridCol w:w="362"/>
        <w:gridCol w:w="373"/>
        <w:gridCol w:w="109"/>
        <w:gridCol w:w="109"/>
        <w:gridCol w:w="109"/>
        <w:gridCol w:w="109"/>
        <w:gridCol w:w="109"/>
        <w:gridCol w:w="109"/>
        <w:gridCol w:w="109"/>
        <w:gridCol w:w="109"/>
        <w:gridCol w:w="109"/>
        <w:gridCol w:w="109"/>
        <w:gridCol w:w="109"/>
        <w:gridCol w:w="109"/>
        <w:gridCol w:w="109"/>
        <w:gridCol w:w="109"/>
        <w:gridCol w:w="109"/>
        <w:gridCol w:w="273"/>
        <w:gridCol w:w="273"/>
        <w:gridCol w:w="273"/>
        <w:gridCol w:w="273"/>
        <w:gridCol w:w="273"/>
        <w:gridCol w:w="403"/>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45-3788918</w:t>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w:t>
              <w:br/>
              <w:t>Identification Number)</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206 E. 9th Street, Suite 1400, Austin, Texas 78701</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512-8906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8" w:type="dxa"/>
        <w:jc w:val="center"/>
        <w:tblInd w:w="0" w:type="dxa"/>
        <w:tblLayout w:type="fixed"/>
        <w:tblCellMar>
          <w:top w:w="28" w:type="dxa"/>
          <w:left w:w="28" w:type="dxa"/>
          <w:bottom w:w="28" w:type="dxa"/>
          <w:right w:w="28" w:type="dxa"/>
        </w:tblCellMar>
      </w:tblPr>
      <w:tblGrid>
        <w:gridCol w:w="1380"/>
        <w:gridCol w:w="1213"/>
        <w:gridCol w:w="1232"/>
        <w:gridCol w:w="474"/>
        <w:gridCol w:w="474"/>
        <w:gridCol w:w="476"/>
        <w:gridCol w:w="956"/>
        <w:gridCol w:w="956"/>
        <w:gridCol w:w="1357"/>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Title of each class </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825"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$0.0005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CRWD</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Nasdaq Stock Market LLC </w:t>
            </w:r>
          </w:p>
        </w:tc>
      </w:tr>
      <w:tr>
        <w:trPr/>
        <w:tc>
          <w:tcPr>
            <w:tcW w:w="3825"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42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8"/>
        </w:rPr>
        <w:t>large accelerated filer,</w:t>
      </w:r>
      <w:r>
        <w:rPr>
          <w:color w:val="000000"/>
        </w:rPr>
        <w:t>” “</w:t>
      </w:r>
      <w:r>
        <w:rPr>
          <w:rFonts w:ascii="Times New Roman;serif" w:hAnsi="Times New Roman;serif"/>
          <w:b w:val="false"/>
          <w:color w:val="000000"/>
          <w:sz w:val="18"/>
        </w:rPr>
        <w:t>accelerated filer,</w:t>
      </w:r>
      <w:r>
        <w:rPr>
          <w:color w:val="000000"/>
        </w:rPr>
        <w:t>” “</w:t>
      </w:r>
      <w:r>
        <w:rPr>
          <w:rFonts w:ascii="Times New Roman;serif" w:hAnsi="Times New Roman;serif"/>
          <w:b w:val="false"/>
          <w:color w:val="000000"/>
          <w:sz w:val="18"/>
        </w:rPr>
        <w:t>smaller reporting company</w:t>
      </w:r>
      <w:r>
        <w:rPr>
          <w:color w:val="000000"/>
        </w:rPr>
        <w:t xml:space="preserve">” </w:t>
      </w:r>
      <w:r>
        <w:rPr>
          <w:rFonts w:ascii="Times New Roman;serif" w:hAnsi="Times New Roman;serif"/>
          <w:b w:val="false"/>
          <w:color w:val="000000"/>
          <w:sz w:val="18"/>
        </w:rPr>
        <w:t xml:space="preserve">and </w:t>
      </w:r>
      <w:r>
        <w:rPr>
          <w:color w:val="000000"/>
        </w:rPr>
        <w:t>“</w:t>
      </w:r>
      <w:r>
        <w:rPr>
          <w:rFonts w:ascii="Times New Roman;serif" w:hAnsi="Times New Roman;serif"/>
          <w:b w:val="false"/>
          <w:color w:val="000000"/>
          <w:sz w:val="18"/>
        </w:rPr>
        <w:t>emerging growth company</w:t>
      </w:r>
      <w:r>
        <w:rPr>
          <w:color w:val="000000"/>
        </w:rPr>
        <w:t xml:space="preserve">” </w:t>
      </w:r>
      <w:r>
        <w:rPr>
          <w:rFonts w:ascii="Times New Roman;serif" w:hAnsi="Times New Roman;serif"/>
          <w:b w:val="false"/>
          <w:color w:val="000000"/>
          <w:sz w:val="18"/>
        </w:rPr>
        <w:t>in Rule 12b-2 of the Exchange Act.</w:t>
      </w:r>
    </w:p>
    <w:tbl>
      <w:tblPr>
        <w:tblW w:w="450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283"/>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May 28, 2026, the number of shares of the registrant’s common stock outstanding was 254,564,820.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892"/>
        <w:gridCol w:w="2892"/>
        <w:gridCol w:w="2899"/>
        <w:gridCol w:w="206"/>
        <w:gridCol w:w="206"/>
        <w:gridCol w:w="29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3">
              <w:r>
                <w:rPr>
                  <w:rStyle w:val="InternetLink"/>
                  <w:rFonts w:ascii="Times New Roman;serif" w:hAnsi="Times New Roman;serif"/>
                  <w:b w:val="false"/>
                  <w:color w:val="0000FF"/>
                  <w:sz w:val="20"/>
                  <w:u w:val="single"/>
                </w:rPr>
                <w:t>PART I. FINANCIAL INFORMATION</w:t>
              </w:r>
            </w:hyperlink>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6">
              <w:r>
                <w:rPr>
                  <w:rStyle w:val="InternetLink"/>
                  <w:rFonts w:ascii="Times New Roman;serif" w:hAnsi="Times New Roman;serif"/>
                  <w:b w:val="false"/>
                  <w:color w:val="0000FF"/>
                  <w:sz w:val="20"/>
                  <w:u w:val="single"/>
                </w:rPr>
                <w:t>Item 1.</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6">
              <w:r>
                <w:rPr>
                  <w:rStyle w:val="InternetLink"/>
                  <w:rFonts w:ascii="Times New Roman;serif" w:hAnsi="Times New Roman;serif"/>
                  <w:b w:val="false"/>
                  <w:color w:val="0000FF"/>
                  <w:sz w:val="20"/>
                  <w:u w:val="single"/>
                </w:rPr>
                <w:t>Financial Statements (unaudited)</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9">
              <w:r>
                <w:rPr>
                  <w:rStyle w:val="InternetLink"/>
                  <w:rFonts w:ascii="Times New Roman;serif" w:hAnsi="Times New Roman;serif"/>
                  <w:b w:val="false"/>
                  <w:color w:val="0000FF"/>
                  <w:sz w:val="20"/>
                  <w:u w:val="single"/>
                </w:rPr>
                <w:t>Condensed Consolidated Balance Sheets as of April 30, 2026 and January 31, 2026</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9">
              <w:r>
                <w:rPr>
                  <w:rStyle w:val="InternetLink"/>
                  <w:rFonts w:ascii="Times New Roman;serif" w:hAnsi="Times New Roman;serif"/>
                  <w:b w:val="false"/>
                  <w:strike w:val="false"/>
                  <w:dstrike w:val="false"/>
                  <w:color w:val="000000"/>
                  <w:sz w:val="20"/>
                  <w:u w:val="none"/>
                  <w:effect w:val="none"/>
                </w:rPr>
                <w:t>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22">
              <w:r>
                <w:rPr>
                  <w:rStyle w:val="InternetLink"/>
                  <w:rFonts w:ascii="Times New Roman;serif" w:hAnsi="Times New Roman;serif"/>
                  <w:b w:val="false"/>
                  <w:color w:val="0000FF"/>
                  <w:sz w:val="20"/>
                  <w:u w:val="single"/>
                </w:rPr>
                <w:t>Condensed Consolidated Statements of Operations for the Three Months Ended April 30, 2026 and April 30, 2025</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22">
              <w:r>
                <w:rPr>
                  <w:rStyle w:val="InternetLink"/>
                  <w:rFonts w:ascii="Times New Roman;serif" w:hAnsi="Times New Roman;serif"/>
                  <w:b w:val="false"/>
                  <w:strike w:val="false"/>
                  <w:dstrike w:val="false"/>
                  <w:color w:val="000000"/>
                  <w:sz w:val="20"/>
                  <w:u w:val="none"/>
                  <w:effect w:val="none"/>
                </w:rPr>
                <w:t>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25">
              <w:r>
                <w:rPr>
                  <w:rStyle w:val="InternetLink"/>
                  <w:rFonts w:ascii="Times New Roman;serif" w:hAnsi="Times New Roman;serif"/>
                  <w:b w:val="false"/>
                  <w:color w:val="0000FF"/>
                  <w:sz w:val="20"/>
                  <w:u w:val="single"/>
                </w:rPr>
                <w:t>Condensed Consolidated Statements of Comprehensive Income (Loss) for the Three Months Ended April 30, 2026 and April 30, 2025</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25">
              <w:r>
                <w:rPr>
                  <w:rStyle w:val="InternetLink"/>
                  <w:rFonts w:ascii="Times New Roman;serif" w:hAnsi="Times New Roman;serif"/>
                  <w:b w:val="false"/>
                  <w:strike w:val="false"/>
                  <w:dstrike w:val="false"/>
                  <w:color w:val="000000"/>
                  <w:sz w:val="20"/>
                  <w:u w:val="none"/>
                  <w:effect w:val="none"/>
                </w:rPr>
                <w:t>8</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5236bd5094545d7ad83952098988b7a_31">
              <w:r>
                <w:rPr>
                  <w:rStyle w:val="InternetLink"/>
                  <w:rFonts w:ascii="Times New Roman;serif" w:hAnsi="Times New Roman;serif"/>
                  <w:b w:val="false"/>
                  <w:color w:val="0000FF"/>
                  <w:sz w:val="20"/>
                  <w:u w:val="single"/>
                </w:rPr>
                <w:t>Condensed Consolidated Statements of Stockholders’ Equity for the Three Months Ended April 30, 2026 and April 30, 2025</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5236bd5094545d7ad83952098988b7a_31">
              <w:r>
                <w:rPr>
                  <w:rStyle w:val="InternetLink"/>
                  <w:rFonts w:ascii="Times New Roman;serif" w:hAnsi="Times New Roman;serif"/>
                  <w:b w:val="false"/>
                  <w:strike w:val="false"/>
                  <w:dstrike w:val="false"/>
                  <w:color w:val="000000"/>
                  <w:sz w:val="20"/>
                  <w:u w:val="none"/>
                  <w:effect w:val="none"/>
                </w:rPr>
                <w:t>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34">
              <w:r>
                <w:rPr>
                  <w:rStyle w:val="InternetLink"/>
                  <w:rFonts w:ascii="Times New Roman;serif" w:hAnsi="Times New Roman;serif"/>
                  <w:b w:val="false"/>
                  <w:color w:val="0000FF"/>
                  <w:sz w:val="20"/>
                  <w:u w:val="single"/>
                </w:rPr>
                <w:t>Condensed Consolidated Statements of Cash Flows for the Three Months Ended April 30, 2026 and April 30, 2025</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34">
              <w:r>
                <w:rPr>
                  <w:rStyle w:val="InternetLink"/>
                  <w:rFonts w:ascii="Times New Roman;serif" w:hAnsi="Times New Roman;serif"/>
                  <w:b w:val="false"/>
                  <w:strike w:val="false"/>
                  <w:dstrike w:val="false"/>
                  <w:color w:val="000000"/>
                  <w:sz w:val="20"/>
                  <w:u w:val="none"/>
                  <w:effect w:val="none"/>
                </w:rPr>
                <w:t>10</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37">
              <w:r>
                <w:rPr>
                  <w:rStyle w:val="InternetLink"/>
                  <w:rFonts w:ascii="Times New Roman;serif" w:hAnsi="Times New Roman;serif"/>
                  <w:b w:val="false"/>
                  <w:color w:val="0000FF"/>
                  <w:sz w:val="20"/>
                  <w:u w:val="single"/>
                </w:rPr>
                <w:t>Notes to Unaudited Condensed Consolidated Financial Statements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37">
              <w:r>
                <w:rPr>
                  <w:rStyle w:val="InternetLink"/>
                  <w:rFonts w:ascii="Times New Roman;serif" w:hAnsi="Times New Roman;serif"/>
                  <w:b w:val="false"/>
                  <w:strike w:val="false"/>
                  <w:dstrike w:val="false"/>
                  <w:color w:val="000000"/>
                  <w:sz w:val="20"/>
                  <w:u w:val="none"/>
                  <w:effect w:val="none"/>
                </w:rPr>
                <w:t>11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88">
              <w:r>
                <w:rPr>
                  <w:rStyle w:val="InternetLink"/>
                  <w:rFonts w:ascii="Times New Roman;serif" w:hAnsi="Times New Roman;serif"/>
                  <w:b w:val="false"/>
                  <w:color w:val="0000FF"/>
                  <w:sz w:val="20"/>
                  <w:u w:val="single"/>
                </w:rPr>
                <w:t>Item 2.</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88">
              <w:r>
                <w:rPr>
                  <w:rStyle w:val="InternetLink"/>
                  <w:rFonts w:ascii="Times New Roman;serif" w:hAnsi="Times New Roman;serif"/>
                  <w:b w:val="false"/>
                  <w:strike w:val="false"/>
                  <w:dstrike w:val="false"/>
                  <w:color w:val="000000"/>
                  <w:sz w:val="20"/>
                  <w:u w:val="none"/>
                  <w:effect w:val="none"/>
                </w:rPr>
                <w:t>35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24">
              <w:r>
                <w:rPr>
                  <w:rStyle w:val="InternetLink"/>
                  <w:rFonts w:ascii="Times New Roman;serif" w:hAnsi="Times New Roman;serif"/>
                  <w:b w:val="false"/>
                  <w:color w:val="0000FF"/>
                  <w:sz w:val="20"/>
                  <w:u w:val="single"/>
                </w:rPr>
                <w:t>Item 3.</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24">
              <w:r>
                <w:rPr>
                  <w:rStyle w:val="InternetLink"/>
                  <w:rFonts w:ascii="Times New Roman;serif" w:hAnsi="Times New Roman;serif"/>
                  <w:b w:val="false"/>
                  <w:color w:val="0000FF"/>
                  <w:sz w:val="20"/>
                  <w:u w:val="single"/>
                </w:rPr>
                <w:t>Quantitative and Qualitative Disclosures about Market Risk</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24">
              <w:r>
                <w:rPr>
                  <w:rStyle w:val="InternetLink"/>
                  <w:rFonts w:ascii="Times New Roman;serif" w:hAnsi="Times New Roman;serif"/>
                  <w:b w:val="false"/>
                  <w:strike w:val="false"/>
                  <w:dstrike w:val="false"/>
                  <w:color w:val="000000"/>
                  <w:sz w:val="20"/>
                  <w:u w:val="none"/>
                  <w:effect w:val="none"/>
                </w:rPr>
                <w:t>48</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27">
              <w:r>
                <w:rPr>
                  <w:rStyle w:val="InternetLink"/>
                  <w:rFonts w:ascii="Times New Roman;serif" w:hAnsi="Times New Roman;serif"/>
                  <w:b w:val="false"/>
                  <w:color w:val="0000FF"/>
                  <w:sz w:val="20"/>
                  <w:u w:val="single"/>
                </w:rPr>
                <w:t>Item 4.</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27">
              <w:r>
                <w:rPr>
                  <w:rStyle w:val="InternetLink"/>
                  <w:rFonts w:ascii="Times New Roman;serif" w:hAnsi="Times New Roman;serif"/>
                  <w:b w:val="false"/>
                  <w:color w:val="0000FF"/>
                  <w:sz w:val="20"/>
                  <w:u w:val="single"/>
                </w:rPr>
                <w:t>Controls and Procedures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27">
              <w:r>
                <w:rPr>
                  <w:rStyle w:val="InternetLink"/>
                  <w:rFonts w:ascii="Times New Roman;serif" w:hAnsi="Times New Roman;serif"/>
                  <w:b w:val="false"/>
                  <w:strike w:val="false"/>
                  <w:dstrike w:val="false"/>
                  <w:color w:val="000000"/>
                  <w:sz w:val="20"/>
                  <w:u w:val="none"/>
                  <w:effect w:val="none"/>
                </w:rPr>
                <w:t>48</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30">
              <w:r>
                <w:rPr>
                  <w:rStyle w:val="InternetLink"/>
                  <w:rFonts w:ascii="Times New Roman;serif" w:hAnsi="Times New Roman;serif"/>
                  <w:b w:val="false"/>
                  <w:color w:val="0000FF"/>
                  <w:sz w:val="20"/>
                  <w:u w:val="single"/>
                </w:rPr>
                <w:t>PART II. OTHER INFORMATION</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33">
              <w:r>
                <w:rPr>
                  <w:rStyle w:val="InternetLink"/>
                  <w:rFonts w:ascii="Times New Roman;serif" w:hAnsi="Times New Roman;serif"/>
                  <w:b w:val="false"/>
                  <w:color w:val="0000FF"/>
                  <w:sz w:val="20"/>
                  <w:u w:val="single"/>
                </w:rPr>
                <w:t>Item 1.</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33">
              <w:r>
                <w:rPr>
                  <w:rStyle w:val="InternetLink"/>
                  <w:rFonts w:ascii="Times New Roman;serif" w:hAnsi="Times New Roman;serif"/>
                  <w:b w:val="false"/>
                  <w:color w:val="0000FF"/>
                  <w:sz w:val="20"/>
                  <w:u w:val="single"/>
                </w:rPr>
                <w:t>Legal Proceedings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33">
              <w:r>
                <w:rPr>
                  <w:rStyle w:val="InternetLink"/>
                  <w:rFonts w:ascii="Times New Roman;serif" w:hAnsi="Times New Roman;serif"/>
                  <w:b w:val="false"/>
                  <w:strike w:val="false"/>
                  <w:dstrike w:val="false"/>
                  <w:color w:val="000000"/>
                  <w:sz w:val="20"/>
                  <w:u w:val="none"/>
                  <w:effect w:val="none"/>
                </w:rPr>
                <w:t>49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36">
              <w:r>
                <w:rPr>
                  <w:rStyle w:val="InternetLink"/>
                  <w:rFonts w:ascii="Times New Roman;serif" w:hAnsi="Times New Roman;serif"/>
                  <w:b w:val="false"/>
                  <w:color w:val="0000FF"/>
                  <w:sz w:val="20"/>
                  <w:u w:val="single"/>
                </w:rPr>
                <w:t>Item 1A.</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36">
              <w:r>
                <w:rPr>
                  <w:rStyle w:val="InternetLink"/>
                  <w:rFonts w:ascii="Times New Roman;serif" w:hAnsi="Times New Roman;serif"/>
                  <w:b w:val="false"/>
                  <w:color w:val="0000FF"/>
                  <w:sz w:val="20"/>
                  <w:u w:val="single"/>
                </w:rPr>
                <w:t>Risk Factors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36">
              <w:r>
                <w:rPr>
                  <w:rStyle w:val="InternetLink"/>
                  <w:rFonts w:ascii="Times New Roman;serif" w:hAnsi="Times New Roman;serif"/>
                  <w:b w:val="false"/>
                  <w:strike w:val="false"/>
                  <w:dstrike w:val="false"/>
                  <w:color w:val="000000"/>
                  <w:sz w:val="20"/>
                  <w:u w:val="none"/>
                  <w:effect w:val="none"/>
                </w:rPr>
                <w:t>49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39">
              <w:r>
                <w:rPr>
                  <w:rStyle w:val="InternetLink"/>
                  <w:rFonts w:ascii="Times New Roman;serif" w:hAnsi="Times New Roman;serif"/>
                  <w:b w:val="false"/>
                  <w:color w:val="0000FF"/>
                  <w:sz w:val="20"/>
                  <w:u w:val="single"/>
                </w:rPr>
                <w:t>Item 2.</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39">
              <w:r>
                <w:rPr>
                  <w:rStyle w:val="InternetLink"/>
                  <w:rFonts w:ascii="Times New Roman;serif" w:hAnsi="Times New Roman;serif"/>
                  <w:b w:val="false"/>
                  <w:color w:val="0000FF"/>
                  <w:sz w:val="20"/>
                  <w:u w:val="single"/>
                </w:rPr>
                <w:t>Unregistered Shares of Equity Securities and Use of Proceeds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39">
              <w:r>
                <w:rPr>
                  <w:rStyle w:val="InternetLink"/>
                  <w:rFonts w:ascii="Times New Roman;serif" w:hAnsi="Times New Roman;serif"/>
                  <w:b w:val="false"/>
                  <w:strike w:val="false"/>
                  <w:dstrike w:val="false"/>
                  <w:color w:val="000000"/>
                  <w:sz w:val="20"/>
                  <w:u w:val="none"/>
                  <w:effect w:val="none"/>
                </w:rPr>
                <w:t>83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42">
              <w:r>
                <w:rPr>
                  <w:rStyle w:val="InternetLink"/>
                  <w:rFonts w:ascii="Times New Roman;serif" w:hAnsi="Times New Roman;serif"/>
                  <w:b w:val="false"/>
                  <w:color w:val="0000FF"/>
                  <w:sz w:val="20"/>
                  <w:u w:val="single"/>
                </w:rPr>
                <w:t>Item 3.</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42">
              <w:r>
                <w:rPr>
                  <w:rStyle w:val="InternetLink"/>
                  <w:rFonts w:ascii="Times New Roman;serif" w:hAnsi="Times New Roman;serif"/>
                  <w:b w:val="false"/>
                  <w:color w:val="0000FF"/>
                  <w:sz w:val="20"/>
                  <w:u w:val="single"/>
                </w:rPr>
                <w:t>Defaults Upon Senior Securities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42">
              <w:r>
                <w:rPr>
                  <w:rStyle w:val="InternetLink"/>
                  <w:rFonts w:ascii="Times New Roman;serif" w:hAnsi="Times New Roman;serif"/>
                  <w:b w:val="false"/>
                  <w:strike w:val="false"/>
                  <w:dstrike w:val="false"/>
                  <w:color w:val="000000"/>
                  <w:sz w:val="20"/>
                  <w:u w:val="none"/>
                  <w:effect w:val="none"/>
                </w:rPr>
                <w:t>83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45">
              <w:r>
                <w:rPr>
                  <w:rStyle w:val="InternetLink"/>
                  <w:rFonts w:ascii="Times New Roman;serif" w:hAnsi="Times New Roman;serif"/>
                  <w:b w:val="false"/>
                  <w:color w:val="0000FF"/>
                  <w:sz w:val="20"/>
                  <w:u w:val="single"/>
                </w:rPr>
                <w:t>Item 4.</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45">
              <w:r>
                <w:rPr>
                  <w:rStyle w:val="InternetLink"/>
                  <w:rFonts w:ascii="Times New Roman;serif" w:hAnsi="Times New Roman;serif"/>
                  <w:b w:val="false"/>
                  <w:color w:val="0000FF"/>
                  <w:sz w:val="20"/>
                  <w:u w:val="single"/>
                </w:rPr>
                <w:t>Mine Safety Disclosures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45">
              <w:r>
                <w:rPr>
                  <w:rStyle w:val="InternetLink"/>
                  <w:rFonts w:ascii="Times New Roman;serif" w:hAnsi="Times New Roman;serif"/>
                  <w:b w:val="false"/>
                  <w:strike w:val="false"/>
                  <w:dstrike w:val="false"/>
                  <w:color w:val="000000"/>
                  <w:sz w:val="20"/>
                  <w:u w:val="none"/>
                  <w:effect w:val="none"/>
                </w:rPr>
                <w:t>83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48">
              <w:r>
                <w:rPr>
                  <w:rStyle w:val="InternetLink"/>
                  <w:rFonts w:ascii="Times New Roman;serif" w:hAnsi="Times New Roman;serif"/>
                  <w:b w:val="false"/>
                  <w:color w:val="0000FF"/>
                  <w:sz w:val="20"/>
                  <w:u w:val="single"/>
                </w:rPr>
                <w:t>Item 5.</w:t>
              </w:r>
            </w:hyperlink>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48">
              <w:r>
                <w:rPr>
                  <w:rStyle w:val="InternetLink"/>
                  <w:rFonts w:ascii="Times New Roman;serif" w:hAnsi="Times New Roman;serif"/>
                  <w:b w:val="false"/>
                  <w:color w:val="0000FF"/>
                  <w:sz w:val="20"/>
                  <w:u w:val="single"/>
                </w:rPr>
                <w:t>Other Information</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48">
              <w:r>
                <w:rPr>
                  <w:rStyle w:val="InternetLink"/>
                  <w:rFonts w:ascii="Times New Roman;serif" w:hAnsi="Times New Roman;serif"/>
                  <w:b w:val="false"/>
                  <w:strike w:val="false"/>
                  <w:dstrike w:val="false"/>
                  <w:color w:val="000000"/>
                  <w:sz w:val="20"/>
                  <w:u w:val="none"/>
                  <w:effect w:val="none"/>
                </w:rPr>
                <w:t>83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54">
              <w:r>
                <w:rPr>
                  <w:rStyle w:val="InternetLink"/>
                  <w:rFonts w:ascii="Times New Roman;serif" w:hAnsi="Times New Roman;serif"/>
                  <w:b w:val="false"/>
                  <w:color w:val="0000FF"/>
                  <w:sz w:val="20"/>
                  <w:u w:val="single"/>
                </w:rPr>
                <w:t>Item 6.</w:t>
              </w:r>
            </w:hyperlink>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54">
              <w:r>
                <w:rPr>
                  <w:rStyle w:val="InternetLink"/>
                  <w:rFonts w:ascii="Times New Roman;serif" w:hAnsi="Times New Roman;serif"/>
                  <w:b w:val="false"/>
                  <w:color w:val="0000FF"/>
                  <w:sz w:val="20"/>
                  <w:u w:val="single"/>
                </w:rPr>
                <w:t>Exhibits</w:t>
              </w:r>
            </w:hyperlink>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54">
              <w:r>
                <w:rPr>
                  <w:rStyle w:val="InternetLink"/>
                  <w:rFonts w:ascii="Times New Roman;serif" w:hAnsi="Times New Roman;serif"/>
                  <w:b w:val="false"/>
                  <w:strike w:val="false"/>
                  <w:dstrike w:val="false"/>
                  <w:color w:val="000000"/>
                  <w:sz w:val="20"/>
                  <w:u w:val="none"/>
                  <w:effect w:val="none"/>
                </w:rPr>
                <w:t>83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85236bd5094545d7ad83952098988b7a_157">
              <w:r>
                <w:rPr>
                  <w:rStyle w:val="InternetLink"/>
                  <w:rFonts w:ascii="Times New Roman;serif" w:hAnsi="Times New Roman;serif"/>
                  <w:b w:val="false"/>
                  <w:color w:val="0000FF"/>
                  <w:sz w:val="20"/>
                  <w:u w:val="single"/>
                </w:rPr>
                <w:t>Signatures</w:t>
              </w:r>
            </w:hyperlink>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85236bd5094545d7ad83952098988b7a_157">
              <w:r>
                <w:rPr>
                  <w:rStyle w:val="InternetLink"/>
                  <w:rFonts w:ascii="Times New Roman;serif" w:hAnsi="Times New Roman;serif"/>
                  <w:b w:val="false"/>
                  <w:strike w:val="false"/>
                  <w:dstrike w:val="false"/>
                  <w:color w:val="000000"/>
                  <w:sz w:val="20"/>
                  <w:u w:val="none"/>
                  <w:effect w:val="none"/>
                </w:rPr>
                <w:t>85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but are not limited to, statements concerning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effects of increased competition in our markets and our ability to compete effectively;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the security and availability of our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our customer base, including by attracting new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new solutions, or enhancements to our existing solutions, and bring them to market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trends, growth rates and challenges in our business and in the markets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business plan and our ability to effectively manage our growth and associated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beliefs and objectives for future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relationships with third parties, including channel partners and technology alliance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 and respond to government investigations and inquiries;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expand in our existing markets and into new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sufficiency of cash and cash equivalents and cash flow from operations to meet cash needs for at least the next 12 months;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developments relating to our valuation allowances for our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develop, maintain, and improve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macroeconomic factors, including inflation and instability in the global credit and financial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close and integrate acquisitions to contribute to our growth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attraction and retention of qualified employees and key personnel;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expected impacts of the Strategic Plan (as defined below).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 </w:t>
      </w:r>
    </w:p>
    <w:p>
      <w:pPr>
        <w:pStyle w:val="TextBody"/>
        <w:bidi w:val="0"/>
        <w:spacing w:lineRule="auto" w:line="28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July 19 Incident has had, and is expected to continue to have, an adverse effect on our business, sales, customer and partner relations, reputation, results of operations and financial condition.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a history of losses, and while we have achieved profitability in certain periods, including the first quarter of fiscal 2027 and fiscal 2024, we may not be able to achieve or sustain profitability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attract new customers,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sales cycles can be long and unpredictable, and our sales efforts require considerable time and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face intense competition and could lose market share to our competitors,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attract and retain qualified personnel, our business could be harmed.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not able to maintain and enhance our CrowdStrike and Falcon brands and our reputation as a provider of high-efficacy security solutions,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currently, and may in the future become, involved in litigation that may adversely affect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CrowdStrike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24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996"/>
        <w:gridCol w:w="2171"/>
        <w:gridCol w:w="2133"/>
        <w:gridCol w:w="196"/>
        <w:gridCol w:w="961"/>
        <w:gridCol w:w="109"/>
        <w:gridCol w:w="109"/>
        <w:gridCol w:w="109"/>
        <w:gridCol w:w="109"/>
        <w:gridCol w:w="196"/>
        <w:gridCol w:w="961"/>
        <w:gridCol w:w="155"/>
      </w:tblGrid>
      <w:tr>
        <w:trPr/>
        <w:tc>
          <w:tcPr>
            <w:tcW w:w="2996"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w:t>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$3.1 million and $3.0 million as of April 30, 2026 and January 31, 2026,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1,361,844 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7,419,119 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11,086,684 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Liabilities and Stockholders’ Equity </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4,184,192 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Long-term debt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745,471 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10)</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Stockholders’ Equity </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$0.0005 par value; 100,000 shares authorized as of April 30, 2026 and January 31, 2026; no shares issued and outstanding as of April 30, 2026 and January 31, 2026.</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$0.0005 par value; 2,000,000 shares authorized as of April 30, 2026 and January 31, 2026; 254,537 shares and 253,363 shares issued and outstanding as of April 30, 2026 and January 31, 2026, respectively; Class B common stock, $0.0005 par value; 92,364 shares authorized as of April 30, 2026 and January 31, 2026; no shares issued and outstanding as of April 30, 2026 and January 31, 2026.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CrowdStrike Holdings, Inc. stockholders’ equity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4,428,390 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and stockholders’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11,270,100 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11,086,684 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63"/>
        <w:gridCol w:w="2112"/>
        <w:gridCol w:w="2128"/>
        <w:gridCol w:w="211"/>
        <w:gridCol w:w="976"/>
        <w:gridCol w:w="109"/>
        <w:gridCol w:w="109"/>
        <w:gridCol w:w="109"/>
        <w:gridCol w:w="109"/>
        <w:gridCol w:w="211"/>
        <w:gridCol w:w="976"/>
        <w:gridCol w:w="109"/>
        <w:gridCol w:w="109"/>
        <w:gridCol w:w="109"/>
        <w:gridCol w:w="109"/>
        <w:gridCol w:w="156"/>
      </w:tblGrid>
      <w:tr>
        <w:trPr/>
        <w:tc>
          <w:tcPr>
            <w:tcW w:w="2563"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bookmarkStart w:id="0" w:name="i700419e1c7754be9b694115009349ceb_29-0-1"/>
            <w:bookmarkEnd w:id="0"/>
            <w:r>
              <w:rPr>
                <w:rFonts w:ascii="Times New Roman;serif" w:hAnsi="Times New Roman;serif"/>
                <w:b w:val="false"/>
                <w:color w:val="000000"/>
                <w:sz w:val="20"/>
              </w:rPr>
              <w:t>Net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attributable to CrowdStrike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234" w:type="dxa"/>
        <w:jc w:val="center"/>
        <w:tblInd w:w="0" w:type="dxa"/>
        <w:tblLayout w:type="fixed"/>
        <w:tblCellMar>
          <w:top w:w="28" w:type="dxa"/>
          <w:left w:w="28" w:type="dxa"/>
          <w:bottom w:w="28" w:type="dxa"/>
          <w:right w:w="28" w:type="dxa"/>
        </w:tblCellMar>
      </w:tblPr>
      <w:tblGrid>
        <w:gridCol w:w="2233"/>
        <w:gridCol w:w="1958"/>
        <w:gridCol w:w="1973"/>
        <w:gridCol w:w="211"/>
        <w:gridCol w:w="721"/>
        <w:gridCol w:w="109"/>
        <w:gridCol w:w="109"/>
        <w:gridCol w:w="109"/>
        <w:gridCol w:w="109"/>
        <w:gridCol w:w="211"/>
        <w:gridCol w:w="901"/>
        <w:gridCol w:w="109"/>
        <w:gridCol w:w="109"/>
        <w:gridCol w:w="109"/>
        <w:gridCol w:w="109"/>
        <w:gridCol w:w="154"/>
      </w:tblGrid>
      <w:tr>
        <w:trPr/>
        <w:tc>
          <w:tcPr>
            <w:tcW w:w="223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cash equivalents and short-term investments,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CrowdStrike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CrowdStrike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April 30, 2026 and 2025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647"/>
        <w:gridCol w:w="229"/>
        <w:gridCol w:w="230"/>
        <w:gridCol w:w="109"/>
        <w:gridCol w:w="109"/>
        <w:gridCol w:w="109"/>
        <w:gridCol w:w="323"/>
        <w:gridCol w:w="323"/>
        <w:gridCol w:w="171"/>
        <w:gridCol w:w="109"/>
        <w:gridCol w:w="109"/>
        <w:gridCol w:w="109"/>
        <w:gridCol w:w="181"/>
        <w:gridCol w:w="376"/>
        <w:gridCol w:w="109"/>
        <w:gridCol w:w="109"/>
        <w:gridCol w:w="109"/>
        <w:gridCol w:w="109"/>
        <w:gridCol w:w="181"/>
        <w:gridCol w:w="769"/>
        <w:gridCol w:w="109"/>
        <w:gridCol w:w="109"/>
        <w:gridCol w:w="109"/>
        <w:gridCol w:w="109"/>
        <w:gridCol w:w="181"/>
        <w:gridCol w:w="767"/>
        <w:gridCol w:w="109"/>
        <w:gridCol w:w="109"/>
        <w:gridCol w:w="109"/>
        <w:gridCol w:w="109"/>
        <w:gridCol w:w="216"/>
        <w:gridCol w:w="684"/>
        <w:gridCol w:w="131"/>
        <w:gridCol w:w="109"/>
        <w:gridCol w:w="109"/>
        <w:gridCol w:w="109"/>
        <w:gridCol w:w="224"/>
        <w:gridCol w:w="708"/>
        <w:gridCol w:w="136"/>
        <w:gridCol w:w="109"/>
        <w:gridCol w:w="109"/>
        <w:gridCol w:w="109"/>
        <w:gridCol w:w="181"/>
        <w:gridCol w:w="769"/>
        <w:gridCol w:w="162"/>
      </w:tblGrid>
      <w:tr>
        <w:trPr/>
        <w:tc>
          <w:tcPr>
            <w:tcW w:w="6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253,363 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5,694,549 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(1,283,042)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44,215 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4,472,605 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founders holdbacks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payment of board of director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 expense, net of founder revest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293,231 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Fair value of replacement equity awards attributable to pre-acquisition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45,966 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254,537 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5,853,369 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(1,255,268)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35,649 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41,455 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4,675,332 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5"/>
        <w:gridCol w:w="227"/>
        <w:gridCol w:w="228"/>
        <w:gridCol w:w="109"/>
        <w:gridCol w:w="109"/>
        <w:gridCol w:w="109"/>
        <w:gridCol w:w="323"/>
        <w:gridCol w:w="323"/>
        <w:gridCol w:w="171"/>
        <w:gridCol w:w="109"/>
        <w:gridCol w:w="109"/>
        <w:gridCol w:w="109"/>
        <w:gridCol w:w="181"/>
        <w:gridCol w:w="376"/>
        <w:gridCol w:w="109"/>
        <w:gridCol w:w="109"/>
        <w:gridCol w:w="109"/>
        <w:gridCol w:w="109"/>
        <w:gridCol w:w="181"/>
        <w:gridCol w:w="769"/>
        <w:gridCol w:w="109"/>
        <w:gridCol w:w="109"/>
        <w:gridCol w:w="109"/>
        <w:gridCol w:w="109"/>
        <w:gridCol w:w="181"/>
        <w:gridCol w:w="767"/>
        <w:gridCol w:w="109"/>
        <w:gridCol w:w="109"/>
        <w:gridCol w:w="109"/>
        <w:gridCol w:w="109"/>
        <w:gridCol w:w="238"/>
        <w:gridCol w:w="653"/>
        <w:gridCol w:w="144"/>
        <w:gridCol w:w="109"/>
        <w:gridCol w:w="109"/>
        <w:gridCol w:w="109"/>
        <w:gridCol w:w="224"/>
        <w:gridCol w:w="708"/>
        <w:gridCol w:w="136"/>
        <w:gridCol w:w="109"/>
        <w:gridCol w:w="109"/>
        <w:gridCol w:w="109"/>
        <w:gridCol w:w="181"/>
        <w:gridCol w:w="769"/>
        <w:gridCol w:w="164"/>
      </w:tblGrid>
      <w:tr>
        <w:trPr/>
        <w:tc>
          <w:tcPr>
            <w:tcW w:w="6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247,872 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(1,120,540)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(9,593)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39,423 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3,318,917 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for payment of board of director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 expense, net of founder revest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246,186 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(105,050)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at 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249,074 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4,669,701 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(1,224,804)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40,137 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3,491,014 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300"/>
        <w:jc w:val="center"/>
        <w:rPr>
          <w:rFonts w:ascii="Times New Roman;serif" w:hAnsi="Times New Roman;serif"/>
          <w:b w:val="false"/>
          <w:color w:val="000000"/>
          <w:sz w:val="15"/>
        </w:rPr>
      </w:pPr>
      <w:r>
        <w:rPr>
          <w:rFonts w:ascii="Times New Roman;serif" w:hAnsi="Times New Roman;serif"/>
          <w:b w:val="false"/>
          <w:color w:val="000000"/>
          <w:sz w:val="15"/>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before="240" w:after="3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center"/>
        <w:rPr>
          <w:rFonts w:ascii="Times New Roman;serif" w:hAnsi="Times New Roman;serif"/>
          <w:b/>
          <w:color w:val="000000"/>
          <w:sz w:val="16"/>
        </w:rPr>
      </w:pPr>
      <w:r>
        <w:rPr>
          <w:rFonts w:ascii="Times New Roman;serif" w:hAnsi="Times New Roman;serif"/>
          <w:b/>
          <w:color w:val="000000"/>
          <w:sz w:val="16"/>
        </w:rPr>
        <w:t>CrowdStrike Holdings, Inc.</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thousands)(unaudited)</w:t>
      </w:r>
    </w:p>
    <w:tbl>
      <w:tblPr>
        <w:tblW w:w="8829" w:type="dxa"/>
        <w:jc w:val="center"/>
        <w:tblInd w:w="0" w:type="dxa"/>
        <w:tblLayout w:type="fixed"/>
        <w:tblCellMar>
          <w:top w:w="28" w:type="dxa"/>
          <w:left w:w="28" w:type="dxa"/>
          <w:bottom w:w="28" w:type="dxa"/>
          <w:right w:w="28" w:type="dxa"/>
        </w:tblCellMar>
      </w:tblPr>
      <w:tblGrid>
        <w:gridCol w:w="2327"/>
        <w:gridCol w:w="2044"/>
        <w:gridCol w:w="2064"/>
        <w:gridCol w:w="181"/>
        <w:gridCol w:w="721"/>
        <w:gridCol w:w="109"/>
        <w:gridCol w:w="109"/>
        <w:gridCol w:w="109"/>
        <w:gridCol w:w="109"/>
        <w:gridCol w:w="181"/>
        <w:gridCol w:w="721"/>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April 30,</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(loss)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deferred contract acquisition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operating lease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gains on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 net of impact of acquisitions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contract acquisition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payroll and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internal-use software and website development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strategic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Business acquisitions, net of cash and restricted cash acquired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deferred compensation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sale of deferred compensation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(994,053)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upon exercise of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 contributions from non-controlling interest 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foreign exchange rates on cash, cash equivalents and 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(decrease) in cash, cash equivalents and restricted cash</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at beginning of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Cash, cash equivalents, and restricted cash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4,715,726 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4,615,623 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at the end of period:</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4,614,153 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prepaid expenses and 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other long-term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and restricted cash shown in the condensed consolidated statements of cash flows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4,715,726 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4,615,623 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cash flow information:</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paid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paid, net of refunds received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investing and 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(decrease) in property and equipment included in accounts payable and accrued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consideration for acquisitions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Operating lease liabilities arising from obtaining operating right-of-use assets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strategic investments not yet received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included in capitalized software development costs and fixed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held in escrow for purchase consideration for business combinations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pPr>
      <w:r>
        <w:rPr>
          <w:rFonts w:ascii="Times New Roman;serif" w:hAnsi="Times New Roman;serif"/>
          <w:b w:val="false"/>
          <w:color w:val="000000"/>
          <w:sz w:val="16"/>
        </w:rPr>
        <w:t>The accompanying notes are an integral part of these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CrowdStrike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 Description of Business and Significant Accounting Policies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 Holdings, Inc. (and/or its subsidiaries, as applicable, the “Company”) was formed on November 7, 2011. The Company is a global cybersecurity leader that delivers an AI-native platform designed for the agentic era and is purpose-built to stop breaches. The Company’s unified, cloud-delivered platform provides protection across endpoints, cloud workloads, identity, and data through a software as a service (“SaaS”) subscription-based model, spanning multiple large and strategic markets, including endpoint protection, security and IT operations, managed detection and response, Next-Gen SIEM, cloud and identity security, threat intelligence, data protection, exposure management, and AI security capabilities. The Company conducts its business in the United States and internationally, including Australia, Canada, Germany, India, Israel, Japan, Romania, Spain, and the United Kingdom.</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2026,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months ended April 30, 2026 are not necessarily indicative of the results to be expected for the year ending January 31, 2027 or for any other interim period or for any other future year.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2026, filed with the SEC on March 5, 2026.</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completed an assessment of the estimated period of benefit of commissions earned upon the initial acquisition of a contract, or subsequent upsell, and determined that it should increase from four to five years. This change in estimate was effective beginning in fiscal year 2027. Based on the carrying value of the related deferred contract acquisition costs as of January 31, 2026, the effect of this change in estimate for the three months ended April 30, 2026 was a reduction in sales commission expense of $27.9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 of Credit Risk and Geographic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or strategic investments. The Company performs periodic credit evaluations of its customers and generally does not require collateral.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channel partners or direct customers who represented 10% or more of the Company’s accounts receivable as of April 30, 2026 or January 31,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channel partners or direct customers who represented 10% or more of the Company’s total revenue for each of the three months ended April 30, 2026 or April 30,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one end user represented 13% of the Company’s financing receivables. As of January 31, 2026, two end users represented 10% or more of the Company’s financing receivables, and in aggregate represented 27% of the Company’s financing receivables.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the Company’s Annual Report on Form 10-K for the year ended January 31, 2026. There have been no significant changes to these policies that have had a material impact on the Company’s condensed consolidated financial statements and related notes for the three months ended April 30, 2026.</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Revision of Prior Period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the Fiscal 2026 Annual Report on Form 10-K, in connection with the preparation of its fiscal year 2026 financial statements, the Company identified an immaterial error related to the timing of recognition of stock-based compensation expense associated with certain awards granted in the fiscal years ended January 31, 2022 and 2023. Further information regarding the error and related revisions is included in Note 16, “Revision of Prior Period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The standard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 adopted ASU 2025-05 on February 1, 2026 and the adoption of this standard did not have a material impact on the Company’s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Recently Issued Accounting Pronouncements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standard intends to modernize the recognition and capitalization framework by removing the previous “development stage” model and introducing a more judgment-based approach. The standard can be applied prospectively, using a modified transition method based on the status of the project and whether software costs were capitalized prior to the date of adoption, or retrospectively, and is effective for annual periods beginning after December 15, 2027, and interim periods within those annual reporting periods. Early adoption is permitted as of the beginning of an annual reporting period. The Company is currently evaluating the impact of this guidance on its consolidated financial statements and related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with a subsequent clarification of its effective date through ASU 2025-01, Income Statement—Reporting Comprehensive Income—Expense Disaggregation Disclosures (Subtopic 220-40): Clarifying the Effective Date in January 2025, requiring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within annual reporting periods beginning after December 15, 2027. Early adoption is permitted. The Company is currently evaluating the impact of this new guidance on its disclosures within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 Investments and Fair Value Measurements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Company follows ASC 820</w:t>
      </w:r>
      <w:r>
        <w:rPr>
          <w:rFonts w:ascii="Times New Roman;serif" w:hAnsi="Times New Roman;serif"/>
          <w:b w:val="false"/>
          <w:i/>
          <w:color w:val="000000"/>
          <w:sz w:val="20"/>
        </w:rPr>
        <w:t>, Fair Value Measurements</w:t>
      </w:r>
      <w:r>
        <w:rPr>
          <w:rFonts w:ascii="Times New Roman;serif" w:hAnsi="Times New Roman;serif"/>
          <w:b w:val="false"/>
          <w:color w:val="000000"/>
          <w:sz w:val="20"/>
        </w:rPr>
        <w:t>,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hierarchy is broken down into three levels as follows: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1    Assets and liabilities whose values are based on unadjusted quoted market prices for identical assets and liabilities in active markets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2    Assets and liabilities whose values are based on quoted prices in markets that are not active or inputs that are observable for substantially the full term of the asset or liability</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Level 3    Assets and liabilities whose values are based on prices or valuation techniques that require inputs that are both unobservable and significant to the overall fair value measurement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Categorization within the valuation hierarchy is based upon the lowest level of input that is significant to the fair value measurement.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fair value hierarchy for its financial assets and liabilities that are measured at fair value on a recurring basis are as follows (in thousands):</w:t>
      </w:r>
    </w:p>
    <w:tbl>
      <w:tblPr>
        <w:tblW w:w="11503" w:type="dxa"/>
        <w:jc w:val="left"/>
        <w:tblInd w:w="0" w:type="dxa"/>
        <w:tblLayout w:type="fixed"/>
        <w:tblCellMar>
          <w:top w:w="28" w:type="dxa"/>
          <w:left w:w="28" w:type="dxa"/>
          <w:bottom w:w="28" w:type="dxa"/>
          <w:right w:w="28" w:type="dxa"/>
        </w:tblCellMar>
      </w:tblPr>
      <w:tblGrid>
        <w:gridCol w:w="482"/>
        <w:gridCol w:w="305"/>
        <w:gridCol w:w="30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406"/>
        <w:gridCol w:w="109"/>
        <w:gridCol w:w="109"/>
        <w:gridCol w:w="109"/>
        <w:gridCol w:w="109"/>
        <w:gridCol w:w="196"/>
        <w:gridCol w:w="871"/>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998" w:type="dxa"/>
            <w:gridSpan w:val="3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equivalents</w:t>
            </w:r>
            <w:r>
              <w:rPr>
                <w:rFonts w:ascii="Times New Roman;serif" w:hAnsi="Times New Roman;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(1)Cash equivalents exclude $1.4 billion of time deposits, which are carried at cost and approximate fair value as of April 30,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the levels of the fair value hierarchy during the periods presented.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30, 2026 and January 31, 2026, the Company’s U.S. Treasury securities are carried at fair value and there were no material realized or unrealized gains or losses, either individually or in aggregate.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estimated fair value of the Company’s financing receivables approximates their carrying amounts as of April 30, 2026 and January 31, 2026. The fair value of the Company’s financing receivables is considered to be a Level 3 measurement as unobservable inputs are used in determining discounted cash flows to estimate fair value.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investments of privately held securities as of April 30, 2026, consisted of the following (in thousands):</w:t>
      </w:r>
    </w:p>
    <w:tbl>
      <w:tblPr>
        <w:tblW w:w="5865" w:type="dxa"/>
        <w:jc w:val="left"/>
        <w:tblInd w:w="0" w:type="dxa"/>
        <w:tblLayout w:type="fixed"/>
        <w:tblCellMar>
          <w:top w:w="28" w:type="dxa"/>
          <w:left w:w="28" w:type="dxa"/>
          <w:bottom w:w="28" w:type="dxa"/>
          <w:right w:w="28" w:type="dxa"/>
        </w:tblCellMar>
      </w:tblPr>
      <w:tblGrid>
        <w:gridCol w:w="966"/>
        <w:gridCol w:w="849"/>
        <w:gridCol w:w="854"/>
        <w:gridCol w:w="550"/>
        <w:gridCol w:w="1881"/>
        <w:gridCol w:w="284"/>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Privately held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total cost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64,438 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gains</w:t>
            </w:r>
          </w:p>
        </w:tc>
        <w:tc>
          <w:tcPr>
            <w:tcW w:w="2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end of period</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66,263 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investments of privately held securities as of January 31, 2026, consisted of the following (in thousands):</w:t>
      </w:r>
    </w:p>
    <w:tbl>
      <w:tblPr>
        <w:tblW w:w="5865" w:type="dxa"/>
        <w:jc w:val="left"/>
        <w:tblInd w:w="0" w:type="dxa"/>
        <w:tblLayout w:type="fixed"/>
        <w:tblCellMar>
          <w:top w:w="28" w:type="dxa"/>
          <w:left w:w="28" w:type="dxa"/>
          <w:bottom w:w="28" w:type="dxa"/>
          <w:right w:w="28" w:type="dxa"/>
        </w:tblCellMar>
      </w:tblPr>
      <w:tblGrid>
        <w:gridCol w:w="966"/>
        <w:gridCol w:w="849"/>
        <w:gridCol w:w="854"/>
        <w:gridCol w:w="550"/>
        <w:gridCol w:w="1881"/>
        <w:gridCol w:w="284"/>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Privately held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total cost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gains</w:t>
            </w:r>
          </w:p>
        </w:tc>
        <w:tc>
          <w:tcPr>
            <w:tcW w:w="2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end of period</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76,832 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and January 31, 2026, the cumulative net gains of $1.8 million are comprised of upward adjustments of $7.3 million, less downward adjustments and impairment of $5.5 million.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Gains and Losses on 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gains and losses on strategic investments were as follows (in thousands):</w:t>
      </w:r>
    </w:p>
    <w:tbl>
      <w:tblPr>
        <w:tblW w:w="10205" w:type="dxa"/>
        <w:jc w:val="left"/>
        <w:tblInd w:w="0" w:type="dxa"/>
        <w:tblLayout w:type="fixed"/>
        <w:tblCellMar>
          <w:top w:w="28" w:type="dxa"/>
          <w:left w:w="28" w:type="dxa"/>
          <w:bottom w:w="28" w:type="dxa"/>
          <w:right w:w="28" w:type="dxa"/>
        </w:tblCellMar>
      </w:tblPr>
      <w:tblGrid>
        <w:gridCol w:w="2617"/>
        <w:gridCol w:w="2269"/>
        <w:gridCol w:w="2282"/>
        <w:gridCol w:w="228"/>
        <w:gridCol w:w="780"/>
        <w:gridCol w:w="117"/>
        <w:gridCol w:w="117"/>
        <w:gridCol w:w="117"/>
        <w:gridCol w:w="117"/>
        <w:gridCol w:w="228"/>
        <w:gridCol w:w="729"/>
        <w:gridCol w:w="117"/>
        <w:gridCol w:w="109"/>
        <w:gridCol w:w="109"/>
        <w:gridCol w:w="109"/>
        <w:gridCol w:w="160"/>
      </w:tblGrid>
      <w:tr>
        <w:trPr/>
        <w:tc>
          <w:tcPr>
            <w:tcW w:w="2617"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on privately held equity securities, including impairment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recognized on sales of privately held equity securities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strategic investments, net</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during the reporting period on privately held equity securities still held at the reporting date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gains recognized on privately held equity securities include upward adjustments from equity securities accounted for under the measurement alternative while unrealized losses recognized on privately held equity securities include downward adjustments and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and losses recognized on sales of privately held equity securities reflect the difference between the sale proceeds and the carrying value of the security at the beginning of the period or the purchase date, if later.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3. Financing Receivables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short-term and long-term financing receivables were as follows (in thousands):</w:t>
      </w:r>
    </w:p>
    <w:tbl>
      <w:tblPr>
        <w:tblW w:w="6550" w:type="dxa"/>
        <w:jc w:val="left"/>
        <w:tblInd w:w="0" w:type="dxa"/>
        <w:tblLayout w:type="fixed"/>
        <w:tblCellMar>
          <w:top w:w="28" w:type="dxa"/>
          <w:left w:w="28" w:type="dxa"/>
          <w:bottom w:w="28" w:type="dxa"/>
          <w:right w:w="28" w:type="dxa"/>
        </w:tblCellMar>
      </w:tblPr>
      <w:tblGrid>
        <w:gridCol w:w="1183"/>
        <w:gridCol w:w="1040"/>
        <w:gridCol w:w="1046"/>
        <w:gridCol w:w="243"/>
        <w:gridCol w:w="952"/>
        <w:gridCol w:w="125"/>
        <w:gridCol w:w="109"/>
        <w:gridCol w:w="109"/>
        <w:gridCol w:w="109"/>
        <w:gridCol w:w="289"/>
        <w:gridCol w:w="1134"/>
        <w:gridCol w:w="211"/>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gross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gross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239,472 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amortized cost basis of financing receivables categorized by internal risk rating and year of origination was as follows (in thousands):</w:t>
      </w:r>
    </w:p>
    <w:tbl>
      <w:tblPr>
        <w:tblW w:w="10750" w:type="dxa"/>
        <w:jc w:val="left"/>
        <w:tblInd w:w="0" w:type="dxa"/>
        <w:tblLayout w:type="fixed"/>
        <w:tblCellMar>
          <w:top w:w="28" w:type="dxa"/>
          <w:left w:w="28" w:type="dxa"/>
          <w:bottom w:w="28" w:type="dxa"/>
          <w:right w:w="28" w:type="dxa"/>
        </w:tblCellMar>
      </w:tblPr>
      <w:tblGrid>
        <w:gridCol w:w="557"/>
        <w:gridCol w:w="239"/>
        <w:gridCol w:w="240"/>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Risk Rating</w:t>
            </w:r>
            <w:r>
              <w:rPr>
                <w:rFonts w:ascii="Times New Roman;serif" w:hAnsi="Times New Roman;serif"/>
                <w:b w:val="false"/>
                <w:color w:val="000000"/>
                <w:sz w:val="13"/>
              </w:rPr>
              <w:t>(1)</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to 6</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to 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 basis of financing receivables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significant activity in allowance for credit losses during the three months ended April 30, 2026 and April 30, 2025. Past due amounts on financing receivables were not material as of April 30, 2026 or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4. Balance Sheet Components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were $274.4 million and $232.2 million as of April 30, 2026 and April 30, 2025, respectively. Other current assets were $186.6 million and $64.0 million as of April 30, 2026 and April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8446" w:type="dxa"/>
        <w:jc w:val="left"/>
        <w:tblInd w:w="0" w:type="dxa"/>
        <w:tblLayout w:type="fixed"/>
        <w:tblCellMar>
          <w:top w:w="28" w:type="dxa"/>
          <w:left w:w="28" w:type="dxa"/>
          <w:bottom w:w="28" w:type="dxa"/>
          <w:right w:w="28" w:type="dxa"/>
        </w:tblCellMar>
      </w:tblPr>
      <w:tblGrid>
        <w:gridCol w:w="1939"/>
        <w:gridCol w:w="1702"/>
        <w:gridCol w:w="1713"/>
        <w:gridCol w:w="211"/>
        <w:gridCol w:w="976"/>
        <w:gridCol w:w="109"/>
        <w:gridCol w:w="109"/>
        <w:gridCol w:w="109"/>
        <w:gridCol w:w="109"/>
        <w:gridCol w:w="231"/>
        <w:gridCol w:w="1070"/>
        <w:gridCol w:w="168"/>
      </w:tblGrid>
      <w:tr>
        <w:trPr/>
        <w:tc>
          <w:tcPr>
            <w:tcW w:w="19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 and other 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website development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383,119 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976,331 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Construction in progress primarily includes data center equipment purchased that has not yet been placed in service. Data center equipment that was purchased but not yet been placed into service was $225.0 million as of April 30,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was $75.5 million and $56.4 million during the three months ended April 30, 2026 and April 30,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impairment of property and equipment during the three months ended April 30, 2026 and April 30, 2025. The Company capitalized $21.4 million and $29.5 million in internal-use software and website development costs during the three months ended April 30, 2026 and April 30, 2025, respectively. Amortization expense associated with internal-use software and website development costs totaled $23.5 million and $17.5 million during the three months ended April 30, 2026 and April 30, 2025, respectively. The net book value of capitalized internal-use software and website development costs was $182.6 million and $184.7 million as of April 30, 2026 and January 31, 2026, respectively.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intangible assets, net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1223"/>
        <w:gridCol w:w="1029"/>
        <w:gridCol w:w="1036"/>
        <w:gridCol w:w="290"/>
        <w:gridCol w:w="1138"/>
        <w:gridCol w:w="149"/>
        <w:gridCol w:w="109"/>
        <w:gridCol w:w="109"/>
        <w:gridCol w:w="109"/>
        <w:gridCol w:w="311"/>
        <w:gridCol w:w="1221"/>
        <w:gridCol w:w="160"/>
        <w:gridCol w:w="109"/>
        <w:gridCol w:w="109"/>
        <w:gridCol w:w="109"/>
        <w:gridCol w:w="211"/>
        <w:gridCol w:w="826"/>
        <w:gridCol w:w="109"/>
        <w:gridCol w:w="109"/>
        <w:gridCol w:w="109"/>
        <w:gridCol w:w="109"/>
        <w:gridCol w:w="444"/>
        <w:gridCol w:w="444"/>
        <w:gridCol w:w="633"/>
      </w:tblGrid>
      <w:tr>
        <w:trPr/>
        <w:tc>
          <w:tcPr>
            <w:tcW w:w="12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w:t>
              <w:br/>
              <w:t>Useful</w:t>
              <w:br/>
              <w:t>Life</w:t>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months)</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acquired intangible assets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405,310 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3"/>
        <w:gridCol w:w="1029"/>
        <w:gridCol w:w="1036"/>
        <w:gridCol w:w="290"/>
        <w:gridCol w:w="1138"/>
        <w:gridCol w:w="149"/>
        <w:gridCol w:w="109"/>
        <w:gridCol w:w="109"/>
        <w:gridCol w:w="109"/>
        <w:gridCol w:w="311"/>
        <w:gridCol w:w="1221"/>
        <w:gridCol w:w="160"/>
        <w:gridCol w:w="109"/>
        <w:gridCol w:w="109"/>
        <w:gridCol w:w="109"/>
        <w:gridCol w:w="211"/>
        <w:gridCol w:w="826"/>
        <w:gridCol w:w="109"/>
        <w:gridCol w:w="109"/>
        <w:gridCol w:w="109"/>
        <w:gridCol w:w="109"/>
        <w:gridCol w:w="444"/>
        <w:gridCol w:w="444"/>
        <w:gridCol w:w="633"/>
      </w:tblGrid>
      <w:tr>
        <w:trPr/>
        <w:tc>
          <w:tcPr>
            <w:tcW w:w="12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w:t>
              <w:br/>
              <w:t>Useful</w:t>
              <w:br/>
              <w:t>Life</w:t>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months)</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acquired intangible assets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243,798 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107,096 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$12.4 million and $7.6 million during the three months ended April 30, 2026 and April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aggregate future amortization expense of intangible assets as of April 30, 2026 was as follows (in thousands):</w:t>
      </w:r>
    </w:p>
    <w:tbl>
      <w:tblPr>
        <w:tblW w:w="4341" w:type="dxa"/>
        <w:jc w:val="left"/>
        <w:tblInd w:w="0" w:type="dxa"/>
        <w:tblLayout w:type="fixed"/>
        <w:tblCellMar>
          <w:top w:w="28" w:type="dxa"/>
          <w:left w:w="28" w:type="dxa"/>
          <w:bottom w:w="28" w:type="dxa"/>
          <w:right w:w="28" w:type="dxa"/>
        </w:tblCellMar>
      </w:tblPr>
      <w:tblGrid>
        <w:gridCol w:w="1140"/>
        <w:gridCol w:w="1002"/>
        <w:gridCol w:w="1008"/>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Fiscal 2027 (remaining nine months)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customer relationships, intellectual property and other acquired intangible assets are amortized over their estimated useful lives, generally on a straight-line basis, for periods ranging from 2 to 20 years.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goodwill during the three months ended April 30, 2026 consisted of the following (in thousands):</w:t>
      </w:r>
    </w:p>
    <w:tbl>
      <w:tblPr>
        <w:tblW w:w="4085" w:type="dxa"/>
        <w:jc w:val="left"/>
        <w:tblInd w:w="0" w:type="dxa"/>
        <w:tblLayout w:type="fixed"/>
        <w:tblCellMar>
          <w:top w:w="28" w:type="dxa"/>
          <w:left w:w="28" w:type="dxa"/>
          <w:bottom w:w="28" w:type="dxa"/>
          <w:right w:w="28" w:type="dxa"/>
        </w:tblCellMar>
      </w:tblPr>
      <w:tblGrid>
        <w:gridCol w:w="995"/>
        <w:gridCol w:w="872"/>
        <w:gridCol w:w="877"/>
        <w:gridCol w:w="211"/>
        <w:gridCol w:w="97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as of January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acquired</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as of April 30, 2026</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2,267,493 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8"/>
        </w:rPr>
        <w:t xml:space="preserve">(1)Goodwill acquired resulted from the acquisitions of </w:t>
      </w:r>
      <w:r>
        <w:rPr>
          <w:rFonts w:ascii="Times New Roman;serif" w:hAnsi="Times New Roman;serif"/>
          <w:b w:val="false"/>
          <w:color w:val="000000"/>
          <w:sz w:val="20"/>
        </w:rPr>
        <w:t>SGNL.AI, Inc. (“SGNL”)</w:t>
      </w:r>
      <w:r>
        <w:rPr>
          <w:rFonts w:ascii="Times New Roman;serif" w:hAnsi="Times New Roman;serif"/>
          <w:b w:val="false"/>
          <w:color w:val="000000"/>
          <w:sz w:val="18"/>
        </w:rPr>
        <w:t xml:space="preserve">, and </w:t>
      </w:r>
      <w:r>
        <w:rPr>
          <w:rFonts w:ascii="Times New Roman;serif" w:hAnsi="Times New Roman;serif"/>
          <w:b w:val="false"/>
          <w:color w:val="000000"/>
          <w:sz w:val="20"/>
        </w:rPr>
        <w:t>Seraphic Algorithms Ltd. (“Seraphic”)</w:t>
      </w:r>
      <w:r>
        <w:rPr>
          <w:rFonts w:ascii="Times New Roman;serif" w:hAnsi="Times New Roman;serif"/>
          <w:b w:val="false"/>
          <w:color w:val="000000"/>
          <w:sz w:val="18"/>
        </w:rPr>
        <w:t>. Refer to Note 11 for additional information.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Payroll and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 consisted of the following (in thousands):</w:t>
      </w:r>
    </w:p>
    <w:tbl>
      <w:tblPr>
        <w:tblW w:w="6130" w:type="dxa"/>
        <w:jc w:val="left"/>
        <w:tblInd w:w="0" w:type="dxa"/>
        <w:tblLayout w:type="fixed"/>
        <w:tblCellMar>
          <w:top w:w="28" w:type="dxa"/>
          <w:left w:w="28" w:type="dxa"/>
          <w:bottom w:w="28" w:type="dxa"/>
          <w:right w:w="28" w:type="dxa"/>
        </w:tblCellMar>
      </w:tblPr>
      <w:tblGrid>
        <w:gridCol w:w="1140"/>
        <w:gridCol w:w="1004"/>
        <w:gridCol w:w="1005"/>
        <w:gridCol w:w="218"/>
        <w:gridCol w:w="854"/>
        <w:gridCol w:w="112"/>
        <w:gridCol w:w="109"/>
        <w:gridCol w:w="109"/>
        <w:gridCol w:w="109"/>
        <w:gridCol w:w="260"/>
        <w:gridCol w:w="1020"/>
        <w:gridCol w:w="190"/>
      </w:tblGrid>
      <w:tr>
        <w:trPr/>
        <w:tc>
          <w:tcPr>
            <w:tcW w:w="1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372,055 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5. Debt</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any credit agreement the Company may enter into in the future that replaces the Amended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equal to 100.75% of the principal amount; and 4) at any time on or after February 15, 2026 at a prepayment price equal to 100.00% of the principal amount; in each case, plus accrued and unpaid interest, if any, to but excluding, the date of redemption.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April 30, 2026 and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Senior Notes are rated investment grade by Fitch Ratings, Inc. (“Fitch”), Moody’s Investors Service, Inc. (“Moody’s”), and Standard &amp; Poor’s Ratings Services (“S&amp;P”).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the Company was in compliance with all of its financial covenants under the Indenture associated with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trading prices of the Senior Notes, the fair value of the Senior Notes was approximately $715.4 million and $718.2 million as of April 30, 2026 and January 31, 2026,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6.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income tax expense (benefit) of $(6.9) million and $21.1 million for the three months ended April 30, 2026 and April 30, 2025, respectively. The tax benefit for the three months ended April 30, 2026 was primarily attributable to income tax benefit recognized in the current period resulting from the realization of deferred tax assets in connection with recent acquisitions and excess tax benefits offset by income taxes in the jurisdictions where the Company operates. The tax expense for the three months ended April 30, 2025 was primarily attributable to income taxes on earnings and withholding taxes in certain foreign jurisdictions.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were (17.7)% and (25.1)% for the three months ended April 30, 2026 and April 30, 2025, respectively. The difference in the effective tax rate for the three months ended April 30, 2026 from the U.S. statutory tax rate is primarily due to income tax benefits recognized in the current period resulting from the realization of deferred tax assets in connection with recent acquisitions and excess tax benefits offset by income taxes in the jurisdictions where the Company operates. The effective tax rate for the three months ended April 30, 2025 differs from the U.S. statutory tax rate primarily due to income taxes in foreign jurisdictions, withholding taxes related to customer payments in certain foreign jurisdictions in which the Company conducts business, and certain foreign jurisdictions where the Company does not benefit from losses and tax credits.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gross unrecognized tax benefits were $141.3 million and $137.8 million as of April 30, 2026 and January 31, 2026, respectively, which is primarily attributable to research and development credits. As of April 30, 2026 and January 31, 2026, there were approximately $42.8 million and $41.0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$7.4 million and $6.6 million of interest and penalties related to unrecognized tax benefits as of April 30, 2026 and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full valuation allowance on U.S. federal and state and certain foreign deferred tax assets, including net operating loss carryforwards and tax credits, which the Company has determined are not realizable on a more-likely-than-not basis. The Company evaluates the need for a valuation allowance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7. Leases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lease agreements with various expiration dates through fiscal 2039. Certain lease agreements include options to renew or terminate the lease, which are not reasonably certain to be exercised and therefore are not factored into the determination of lease payments.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maturities of the Company’s non-cancelable operating lease liabilities are as follows (in thousands):</w:t>
      </w:r>
    </w:p>
    <w:tbl>
      <w:tblPr>
        <w:tblW w:w="4595" w:type="dxa"/>
        <w:jc w:val="left"/>
        <w:tblInd w:w="0" w:type="dxa"/>
        <w:tblLayout w:type="fixed"/>
        <w:tblCellMar>
          <w:top w:w="28" w:type="dxa"/>
          <w:left w:w="28" w:type="dxa"/>
          <w:bottom w:w="28" w:type="dxa"/>
          <w:right w:w="28" w:type="dxa"/>
        </w:tblCellMar>
      </w:tblPr>
      <w:tblGrid>
        <w:gridCol w:w="1270"/>
        <w:gridCol w:w="1116"/>
        <w:gridCol w:w="1123"/>
        <w:gridCol w:w="211"/>
        <w:gridCol w:w="72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Fiscal 2027 (remaining nine months)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the Company has entered into non-cancelable operating leases, with lease terms greater than 12 months that have not yet commenced, with undiscounted future minimum payments of $103.7 million, which have been excluded from the table above. The operating leases are expected to commence in October 2026 and August 2027, with lease terms between 11.2 and 11.3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8. Stock-Based Compensation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performance-based stock units (“PSUs”), and the Special PSU Awards ( as defined below).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2011 Plan was terminated on June 10, 2019, which was the business day prior to the effectiveness of the Company’s registration statement on Form S-1 used in connection with the Company’s initial public offering (“IPO”), and stock-based awards are no longer granted under the 2011 Plan. Any shares underlying stock options that expire, terminate, or are forfeited or repurchased under the 2011 Plan will be automatically transferred to the 2019 Plan.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compensation expense for employee stock options based on the estimated fair value of the options on the date of grant using the Black-Scholes option-pricing model.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granted during the three months ended April 30, 2026 were immaterial. There were no stock options granted during the three months ended April 30,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stock option activity for the three months ended April 30, 2026:</w:t>
      </w:r>
    </w:p>
    <w:tbl>
      <w:tblPr>
        <w:tblW w:w="7512" w:type="dxa"/>
        <w:jc w:val="left"/>
        <w:tblInd w:w="0" w:type="dxa"/>
        <w:tblLayout w:type="fixed"/>
        <w:tblCellMar>
          <w:top w:w="28" w:type="dxa"/>
          <w:left w:w="28" w:type="dxa"/>
          <w:bottom w:w="28" w:type="dxa"/>
          <w:right w:w="28" w:type="dxa"/>
        </w:tblCellMar>
      </w:tblPr>
      <w:tblGrid>
        <w:gridCol w:w="1644"/>
        <w:gridCol w:w="1448"/>
        <w:gridCol w:w="1452"/>
        <w:gridCol w:w="374"/>
        <w:gridCol w:w="374"/>
        <w:gridCol w:w="377"/>
        <w:gridCol w:w="109"/>
        <w:gridCol w:w="109"/>
        <w:gridCol w:w="109"/>
        <w:gridCol w:w="326"/>
        <w:gridCol w:w="951"/>
        <w:gridCol w:w="239"/>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br/>
              <w:t>Per Share</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January 31,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April 30, 2026</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at April 30, 2026</w:t>
            </w:r>
          </w:p>
        </w:tc>
        <w:tc>
          <w:tcPr>
            <w:tcW w:w="7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3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April 30, 2026</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options that were unvested and exercisable as of April 30,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vested and exercisable was $362.5 million and $381.0 million as of April 30, 2026 and January 31, 2026, respectively. The weighted-average remaining contractual term of options vested and exercisable was 2.5 years and 2.6 years as of April 30, 2026 and January 31, 2026,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 share weighted-average grant date fair value of all options granted was $381.90 during the three months ended April 30, 2026 and none during the three months ended April 30, 2025. The total intrinsic value of all options exercised was $26.0 million and $26.7 million during the three months ended April 30, 2026 and April 30, 2025,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outstanding as of April 30, 2026 and January 31, 2026 was $414.1 million and $399.9 million, respectively, which represents the excess of the fair value of the Company’s common stock over the exercise price of the options multiplied by the number of options outstanding. The weighted-average remaining contractual term of stock options outstanding was 3.3 years and 2.9 years as of April 30, 2026 and January 31, 2026, respectively.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options was $42.0 million as of April 30, 2026. This expense is expected to be amortized over a weighted-average vesting period of 2.4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or (ii) vesting in sixteen equal quarterly installments, subject to continued service. The valuation of these RSUs is based solely on the fair value of the Company’s stock on the date of grant.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RSUs was $2.4 billion as of April 30, 2026. This expense is expected to be amortized over a weighted-average vesting period of 2.6 years.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Performance-based Stock Units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PSUs was $351.5 million as of April 30, 2026, which reflects the Company’s updated assessment of the likelihood of satisfying the performance conditions. This expense is expected to be amortized over a weighted-average vesting period of 1.4 years.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Special PSU Awards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2026 and 2027, the Company’s board of directors approved performance-based equity awards (the “2026 Special PSU Award” and “2027 Special PSU Awards,” respectively) under the Company’s 2019 Plan, consisting of PSUs with targets of 300,000 and 175,000 PSUs, respectively, that can result in as few as zero shares of the Company’s Class A common stock being issued if the Company’s stock price performance is below the 25th percentile of the companies in the S&amp;P 500 over a three-year period beginning on December 22, 2025 and ending on December 22, 2028, and up to 600,000 and 350,000 shares, respectively, being issued if the Company’s stock price performance meets or exceeds the 90th percentile of the companies in the S&amp;P 500. The 2027 Special PSU Awards are subject to an additional service condition following the performance period, which will be satisfied in four equal quarterly installments on March 20, June 20, September 20, and December 20, 2029, subject to the grantees’ continued employment with the Company through each applicable vesting date.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measured the fair value of each award on the respective grant date using a Monte Carlo simulation valuation model. The risk-free interest rates used were 3.50% and 3.73%, respectively, based on the term-matched zero-coupon-risk-free interest rate derived from the Treasury Constant Maturities yield curve for a period commensurate with the expected term of the award on the grant date. The expected volatilities used were 44.83% and 45.95%, respectively, calculated based on the daily stock price returns for the Company over a lookback period commensurate with the expected term of the award on the grant date.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2022 the Company’s board of directors granted 655,000 PSUs (the “2022 Special PSU Awards” and, together with the 2026 Special PSU Award and 2027 Special PSU Awards, the “Special PSU Awards”). The 2022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2022 Special PSU Awards will be satisfied in installments as follows, subject to continued employment with the Company through each applicable vesting date: (i) 50% of the 2022 Special PSU Awards underlying the applicable tranche will service vest on the first anniversary of the vesting commencement date applicable to such tranche of the 2022 Special PSU Awards (i.e., February 1, 2022, February 1, 2023, February 1, 2024, and February 1, 2025) and (ii) the remaining PSUs with respect to such tranche will thereafter service vest in four equal quarterly installments of 12.5%.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measured the fair value of the 2022 Special PSU Awards on the respective grant dates using a Monte Carlo simulation valuation model. The risk-free interest rates used were 0.85% - 1.51%, which were based on the zero-coupon-risk-free interest rate derived from the Treasury Constant Maturities yield curve for a period commensurate with the expected term of the award on the grant date. The expected volatilities used were 54.89% - 55.36%, which were calculated based on an equal blend of the Company’s historical volatility calculated from daily stock price returns over a 2.21 - 2.58 year lookback from the grant date and the Company’s implied volatility as of the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the unvested portion of the Special PSU Awards was $258.0 million as of April 30, 2026. This expense is expected to be amortized over a weighted-average vesting period of 2.6 years.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RSUs, PSUs and the Special PSU Awards activities for the three months ended April 30, 2026:</w:t>
      </w:r>
    </w:p>
    <w:tbl>
      <w:tblPr>
        <w:tblW w:w="7226" w:type="dxa"/>
        <w:jc w:val="left"/>
        <w:tblInd w:w="0" w:type="dxa"/>
        <w:tblLayout w:type="fixed"/>
        <w:tblCellMar>
          <w:top w:w="28" w:type="dxa"/>
          <w:left w:w="28" w:type="dxa"/>
          <w:bottom w:w="28" w:type="dxa"/>
          <w:right w:w="28" w:type="dxa"/>
        </w:tblCellMar>
      </w:tblPr>
      <w:tblGrid>
        <w:gridCol w:w="1612"/>
        <w:gridCol w:w="1419"/>
        <w:gridCol w:w="1423"/>
        <w:gridCol w:w="374"/>
        <w:gridCol w:w="374"/>
        <w:gridCol w:w="377"/>
        <w:gridCol w:w="109"/>
        <w:gridCol w:w="109"/>
        <w:gridCol w:w="109"/>
        <w:gridCol w:w="256"/>
        <w:gridCol w:w="877"/>
        <w:gridCol w:w="187"/>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January 31, 2026</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adjustment</w:t>
            </w:r>
            <w:r>
              <w:rPr>
                <w:color w:val="000000"/>
              </w:rPr>
              <w:t> </w:t>
            </w:r>
            <w:r>
              <w:rPr>
                <w:rFonts w:ascii="Times New Roman;serif" w:hAnsi="Times New Roman;serif"/>
                <w:b w:val="false"/>
                <w:color w:val="000000"/>
                <w:sz w:val="13"/>
              </w:rPr>
              <w:t>(1)</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April 30, 2026</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RSUs and PSUs expected to vest at April 30, 2026 </w:t>
            </w:r>
            <w:r>
              <w:rPr>
                <w:rFonts w:ascii="Times New Roman;serif" w:hAnsi="Times New Roman;serif"/>
                <w:b/>
                <w:color w:val="000000"/>
                <w:sz w:val="13"/>
              </w:rPr>
              <w:t>(2)</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8,987 </w:t>
            </w:r>
          </w:p>
        </w:tc>
        <w:tc>
          <w:tcPr>
            <w:tcW w:w="3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performance adjustment represents adjustments in shares outstanding due to the actual achievement of performance-based awards, the achievement of which was based upon pre-defined financial performance targets.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(2)Excludes in progress PSUs, the 2026 Special PSU Award, and the 2027 Special PSU Awards where pre-defined targets have not yet been achieved.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Employee payroll contributions ultimately used to purchase shares are reclassified to stockholders’ equity on the purchase date. ESPP employee payroll contributions accrued as of April 30, 2026 and January 31, 2026 totaled $78.5 million and $36.2 million, respectively, and are included within accrued payroll and benefits in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assumptions used in the Black-Scholes option-pricing model to determine the fair value of employee stock purchase rights granted under the Company’s ESPP:</w:t>
      </w:r>
    </w:p>
    <w:tbl>
      <w:tblPr>
        <w:tblW w:w="6072" w:type="dxa"/>
        <w:jc w:val="left"/>
        <w:tblInd w:w="0" w:type="dxa"/>
        <w:tblLayout w:type="fixed"/>
        <w:tblCellMar>
          <w:top w:w="28" w:type="dxa"/>
          <w:left w:w="28" w:type="dxa"/>
          <w:bottom w:w="28" w:type="dxa"/>
          <w:right w:w="28" w:type="dxa"/>
        </w:tblCellMar>
      </w:tblPr>
      <w:tblGrid>
        <w:gridCol w:w="951"/>
        <w:gridCol w:w="835"/>
        <w:gridCol w:w="839"/>
        <w:gridCol w:w="301"/>
        <w:gridCol w:w="301"/>
        <w:gridCol w:w="748"/>
        <w:gridCol w:w="219"/>
        <w:gridCol w:w="219"/>
        <w:gridCol w:w="219"/>
        <w:gridCol w:w="294"/>
        <w:gridCol w:w="294"/>
        <w:gridCol w:w="852"/>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 5.2%</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 – 5.3%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41.0% – 59.8%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40.8% – 59.8% </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condensed consolidated statements of operations is as follows (in thousands):</w:t>
      </w:r>
    </w:p>
    <w:tbl>
      <w:tblPr>
        <w:tblW w:w="6599" w:type="dxa"/>
        <w:jc w:val="left"/>
        <w:tblInd w:w="0" w:type="dxa"/>
        <w:tblLayout w:type="fixed"/>
        <w:tblCellMar>
          <w:top w:w="28" w:type="dxa"/>
          <w:left w:w="28" w:type="dxa"/>
          <w:bottom w:w="28" w:type="dxa"/>
          <w:right w:w="28" w:type="dxa"/>
        </w:tblCellMar>
      </w:tblPr>
      <w:tblGrid>
        <w:gridCol w:w="1251"/>
        <w:gridCol w:w="1097"/>
        <w:gridCol w:w="1101"/>
        <w:gridCol w:w="215"/>
        <w:gridCol w:w="842"/>
        <w:gridCol w:w="111"/>
        <w:gridCol w:w="111"/>
        <w:gridCol w:w="111"/>
        <w:gridCol w:w="111"/>
        <w:gridCol w:w="215"/>
        <w:gridCol w:w="842"/>
        <w:gridCol w:w="111"/>
        <w:gridCol w:w="109"/>
        <w:gridCol w:w="109"/>
        <w:gridCol w:w="109"/>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cost of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297,703 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247,661 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9. Revenue, Deferred Revenue and Remaining Performance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region based on the shipping address of customers who have contracted to use the Company’s platform or service (in thousands, except percentages):</w:t>
      </w:r>
    </w:p>
    <w:tbl>
      <w:tblPr>
        <w:tblW w:w="8646" w:type="dxa"/>
        <w:jc w:val="left"/>
        <w:tblInd w:w="0" w:type="dxa"/>
        <w:tblLayout w:type="fixed"/>
        <w:tblCellMar>
          <w:top w:w="28" w:type="dxa"/>
          <w:left w:w="28" w:type="dxa"/>
          <w:bottom w:w="28" w:type="dxa"/>
          <w:right w:w="28" w:type="dxa"/>
        </w:tblCellMar>
      </w:tblPr>
      <w:tblGrid>
        <w:gridCol w:w="871"/>
        <w:gridCol w:w="767"/>
        <w:gridCol w:w="776"/>
        <w:gridCol w:w="196"/>
        <w:gridCol w:w="871"/>
        <w:gridCol w:w="109"/>
        <w:gridCol w:w="109"/>
        <w:gridCol w:w="109"/>
        <w:gridCol w:w="109"/>
        <w:gridCol w:w="227"/>
        <w:gridCol w:w="227"/>
        <w:gridCol w:w="537"/>
        <w:gridCol w:w="109"/>
        <w:gridCol w:w="109"/>
        <w:gridCol w:w="109"/>
        <w:gridCol w:w="196"/>
        <w:gridCol w:w="871"/>
        <w:gridCol w:w="109"/>
        <w:gridCol w:w="109"/>
        <w:gridCol w:w="109"/>
        <w:gridCol w:w="109"/>
        <w:gridCol w:w="227"/>
        <w:gridCol w:w="227"/>
        <w:gridCol w:w="537"/>
        <w:gridCol w:w="109"/>
        <w:gridCol w:w="109"/>
        <w:gridCol w:w="109"/>
        <w:gridCol w:w="109"/>
        <w:gridCol w:w="109"/>
        <w:gridCol w:w="109"/>
        <w:gridCol w:w="109"/>
        <w:gridCol w:w="154"/>
      </w:tblGrid>
      <w:tr>
        <w:trPr/>
        <w:tc>
          <w:tcPr>
            <w:tcW w:w="87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single country other than the United States represented 10% or more of the Company’s total revenue during the three months ended April 30, 2026 and April 30,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deferred revenue and include payments received in advance of performance under the contract. Such amounts are recognized as revenue over the contractual period. The Company recognized revenue of $1.2 billion and $950.9 million for the three months ended April 30, 2026 and April 30, 2025, respectively, which was included in the corresponding contract liability balance at the beginning of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deferred revenue were as follows (in thousands):</w:t>
      </w:r>
    </w:p>
    <w:tbl>
      <w:tblPr>
        <w:tblW w:w="6144" w:type="dxa"/>
        <w:jc w:val="left"/>
        <w:tblInd w:w="0" w:type="dxa"/>
        <w:tblLayout w:type="fixed"/>
        <w:tblCellMar>
          <w:top w:w="28" w:type="dxa"/>
          <w:left w:w="28" w:type="dxa"/>
          <w:bottom w:w="28" w:type="dxa"/>
          <w:right w:w="28" w:type="dxa"/>
        </w:tblCellMar>
      </w:tblPr>
      <w:tblGrid>
        <w:gridCol w:w="994"/>
        <w:gridCol w:w="873"/>
        <w:gridCol w:w="877"/>
        <w:gridCol w:w="211"/>
        <w:gridCol w:w="976"/>
        <w:gridCol w:w="109"/>
        <w:gridCol w:w="109"/>
        <w:gridCol w:w="109"/>
        <w:gridCol w:w="109"/>
        <w:gridCol w:w="211"/>
        <w:gridCol w:w="976"/>
        <w:gridCol w:w="109"/>
        <w:gridCol w:w="109"/>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4,722,193 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3,771,395 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Company’s subscription contracts with its customers have a typical term of one to three years and most subscription contracts are non-cancelable. Customers generally have the right to terminate their contracts for cause as a result of the Company’s failure to perform. As of April 30, 2026, the aggregate </w:t>
      </w:r>
      <w:r>
        <w:rPr>
          <w:rFonts w:ascii="Times New Roman;serif" w:hAnsi="Times New Roman;serif"/>
          <w:b w:val="false"/>
          <w:color w:val="000000"/>
          <w:sz w:val="20"/>
          <w:shd w:fill="FFFFFF" w:val="clear"/>
        </w:rPr>
        <w:t xml:space="preserve">amount of the transaction price allocated to remaining performance obligations was $8.8 billion. The Company expects to recognize approximately 52% of the remaining performance obligations in the 12 months following </w:t>
      </w:r>
      <w:r>
        <w:rPr>
          <w:rFonts w:ascii="Times New Roman;serif" w:hAnsi="Times New Roman;serif"/>
          <w:b w:val="false"/>
          <w:color w:val="000000"/>
          <w:sz w:val="20"/>
        </w:rPr>
        <w:t>April 30, 2026,</w:t>
      </w:r>
      <w:r>
        <w:rPr>
          <w:color w:val="000000"/>
          <w:shd w:fill="FFFFFF" w:val="clear"/>
        </w:rPr>
        <w:t xml:space="preserve"> </w:t>
      </w:r>
      <w:r>
        <w:rPr>
          <w:rFonts w:ascii="Times New Roman;serif" w:hAnsi="Times New Roman;serif"/>
          <w:b w:val="false"/>
          <w:color w:val="000000"/>
          <w:sz w:val="20"/>
          <w:shd w:fill="FFFFFF" w:val="clear"/>
        </w:rPr>
        <w:t xml:space="preserve">and 42% of the remaining performance obligations between </w:t>
      </w:r>
      <w:r>
        <w:rPr>
          <w:rFonts w:ascii="Times New Roman;serif" w:hAnsi="Times New Roman;serif"/>
          <w:b w:val="false"/>
          <w:color w:val="000000"/>
          <w:sz w:val="20"/>
        </w:rPr>
        <w:t>13</w:t>
      </w:r>
      <w:r>
        <w:rPr>
          <w:color w:val="000000"/>
          <w:shd w:fill="FFFFFF" w:val="clear"/>
        </w:rPr>
        <w:t xml:space="preserve"> </w:t>
      </w:r>
      <w:r>
        <w:rPr>
          <w:rFonts w:ascii="Times New Roman;serif" w:hAnsi="Times New Roman;serif"/>
          <w:b w:val="false"/>
          <w:color w:val="000000"/>
          <w:sz w:val="20"/>
          <w:shd w:fill="FFFFFF" w:val="clear"/>
        </w:rPr>
        <w:t xml:space="preserve">to 36 months, with the remainder to be recognized thereafter.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Costs to Obtain and Fulfill a Contract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five years, while commissions earned for renewal contracts are amortized over the contractual term of the renewals. Sales commissions associated with professional service contracts are amortized ratably over an estimated period of benefit of less than one year. Commissions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2026 or April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deferred contract acquisition costs (in thousands):</w:t>
      </w:r>
    </w:p>
    <w:tbl>
      <w:tblPr>
        <w:tblW w:w="7479" w:type="dxa"/>
        <w:jc w:val="left"/>
        <w:tblInd w:w="0" w:type="dxa"/>
        <w:tblLayout w:type="fixed"/>
        <w:tblCellMar>
          <w:top w:w="28" w:type="dxa"/>
          <w:left w:w="28" w:type="dxa"/>
          <w:bottom w:w="28" w:type="dxa"/>
          <w:right w:w="28" w:type="dxa"/>
        </w:tblCellMar>
      </w:tblPr>
      <w:tblGrid>
        <w:gridCol w:w="1533"/>
        <w:gridCol w:w="1344"/>
        <w:gridCol w:w="1352"/>
        <w:gridCol w:w="211"/>
        <w:gridCol w:w="976"/>
        <w:gridCol w:w="109"/>
        <w:gridCol w:w="109"/>
        <w:gridCol w:w="109"/>
        <w:gridCol w:w="109"/>
        <w:gridCol w:w="211"/>
        <w:gridCol w:w="826"/>
        <w:gridCol w:w="109"/>
        <w:gridCol w:w="109"/>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contract acquisition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10. Commitments and Contingencies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July 19 Incident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pStyle w:val="TextBody"/>
        <w:bidi w:val="0"/>
        <w:spacing w:before="240" w:after="283"/>
        <w:ind w:left="0" w:right="0" w:firstLine="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 unspecified monetary damages, certain injunctive relief, costs, and attorneys’ fees. On February 4, 2025, the Company and CrowdStrike, Inc. filed a motion to dismiss the consolidated complaint. On June 18, 2025, the district court granted the Company and CrowdStrike, Inc.’s motion to dismiss the consolidated complaint and entered a final judgment.</w:t>
      </w:r>
      <w:r>
        <w:rPr>
          <w:color w:val="000000"/>
        </w:rPr>
        <w:t xml:space="preserve"> </w:t>
      </w:r>
      <w:r>
        <w:rPr>
          <w:rFonts w:ascii="Times New Roman;serif" w:hAnsi="Times New Roman;serif"/>
          <w:b w:val="false"/>
          <w:color w:val="000000"/>
          <w:sz w:val="20"/>
        </w:rPr>
        <w:t xml:space="preserve">On June 25, 2025, the plaintiffs filed a notice of appeal to the United States Court of Appeals for the Fifth Circuit (the “Fifth Circuit”). </w:t>
      </w:r>
      <w:r>
        <w:rPr>
          <w:rFonts w:ascii="Times New Roman;serif" w:hAnsi="Times New Roman;serif"/>
          <w:b w:val="false"/>
          <w:color w:val="000000"/>
          <w:sz w:val="20"/>
          <w:shd w:fill="FFFFFF" w:val="clear"/>
        </w:rPr>
        <w:t>On May 20, 2026, the Fifth Circuit affirmed the district court’s dismissal.</w:t>
      </w:r>
    </w:p>
    <w:p>
      <w:pPr>
        <w:pStyle w:val="TextBody"/>
        <w:bidi w:val="0"/>
        <w:spacing w:before="0" w:after="0"/>
        <w:ind w:left="0" w:right="0" w:hanging="36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On November 21, 2024, all three cases were consolidated and stayed pending resolution of the putative securities class action described above. On April 16, 2026, the court ordered the consolidated lawsuits dismissed.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On July 18, 2025, these consolidated lawsuits were stayed pending resolution of the putative securities class action described above. On April 7, 2026, the court ordered the consolidated lawsuits dismissed. 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 On March 18, 2026, the court ordered the consolidated lawsuits dismissed.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 Discovery is ongoing.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some customers and third parties have asserted claims against the Company. The Company has also received inquiries from other governmental authorities and third parties related to the July 19 Incident. The Company is cooperating and providing information in connection with these inquiries.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accrued and expenses incurred, net of insurance receivable recorded, associated with the July 19 Incident and related matters during the three months ended April 30, 2026 were as follows (in thousands):</w:t>
      </w:r>
    </w:p>
    <w:tbl>
      <w:tblPr>
        <w:tblW w:w="5916" w:type="dxa"/>
        <w:jc w:val="left"/>
        <w:tblInd w:w="0" w:type="dxa"/>
        <w:tblLayout w:type="fixed"/>
        <w:tblCellMar>
          <w:top w:w="28" w:type="dxa"/>
          <w:left w:w="28" w:type="dxa"/>
          <w:bottom w:w="28" w:type="dxa"/>
          <w:right w:w="28" w:type="dxa"/>
        </w:tblCellMar>
      </w:tblPr>
      <w:tblGrid>
        <w:gridCol w:w="1750"/>
        <w:gridCol w:w="1534"/>
        <w:gridCol w:w="1546"/>
        <w:gridCol w:w="211"/>
        <w:gridCol w:w="72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Expenses incurred, net of insurance receivable recorded </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 cash received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April 30, 2026</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These expenses are included in the Company’s condensed consolidated statements of operations as sales and marketing expenses, research and development expenses, and general and administrative expenses. Accruals are recorded in accrued expenses in the Company’s condensed consolidated balance sheets. Insurance receivable is recorded in prepaid expenses and other current assets in the Company’s condensed consolidated balance sheets.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condensed consolidated statement of operations during the three months ended April 30, 2026. The customer payables and insurance receivables were recorded as accrued expenses and as prepaid expenses and other current assets in the Company’s condensed consolidated balance sheet as of April 30,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Other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Purchase Obligations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non-cancelable purchase commitments with various parties to purchase products and services such as data center capacity, advertising, technology, equipment, office renovations, corporate events, and consulting services. A summary of non-cancelable purchase obligations in excess of one year as of April 30, 2026, with expected date of payment is as follows (in thousands):</w:t>
      </w:r>
    </w:p>
    <w:tbl>
      <w:tblPr>
        <w:tblW w:w="4445" w:type="dxa"/>
        <w:jc w:val="left"/>
        <w:tblInd w:w="0" w:type="dxa"/>
        <w:tblLayout w:type="fixed"/>
        <w:tblCellMar>
          <w:top w:w="28" w:type="dxa"/>
          <w:left w:w="28" w:type="dxa"/>
          <w:bottom w:w="28" w:type="dxa"/>
          <w:right w:w="28" w:type="dxa"/>
        </w:tblCellMar>
      </w:tblPr>
      <w:tblGrid>
        <w:gridCol w:w="1123"/>
        <w:gridCol w:w="987"/>
        <w:gridCol w:w="994"/>
        <w:gridCol w:w="211"/>
        <w:gridCol w:w="97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Commitments</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(remaining nine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Subsequent to April 30, 2026, the Company entered into a non-cancellable purchase commitment in the amount of $1.7 billion, commencing from the second quarter of fiscal 2027 through fiscal 2037. This commitment is excluded from the table above and will be included in the table in subsequent periods.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Unfunded Loan Commitments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cancelable by the Company. As of April 30, 2026, the Company had non-cancelable unfunded commitments totaling approximately $34.8 million.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Warranties and Indemnification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April 30, 2026 or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2026 or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11. Acquisitions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SGNL.AI, Inc.</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acquired 100% of the equity interest of SGNL.AI, Inc. (“SGNL”), a leader in continuous identity security.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$627.9 million in cash, net of $9.4 million of cash and restricted cash acquired, and $9.2 million representing the fair value of replacement equity awards attributable to pre-acquisition service, subject to customary net working capital and purchase price adjustments. The remaining fair value of these replacement awards attributed to post-combination service was excluded from the purchase price. The cash consideration included cash held back in an escrow fund for a partial security for post-closing true-up adjustments and post-closing indemnification claims. The purchase price was allocated on a preliminary basis, subject to working capital adjustment and continuing management analysis, to developed technology of $87.9 million with a useful life of 96 months, net tangible liabilities of $11.9 million, and goodwill of $561.1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SGNL, planned growth in new markets, and synergies expected to be achieved from the integration of SGNL.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SGNL, certain unvested stock options held by SGNL employees were canceled and exchanged for replacement stock options under the 2019 Plan. Additionally, certain shares of SGNL stock held by SGNL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three months ended April 30, 2026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SGNL did not have a material impact on the Company’s condensed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Seraphic Algorithms Ltd.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3, 2026, the Company completed the acquisition of the remaining 90.6% of the equity interest in Seraphic Algorithms Ltd. (“Seraphic”), a leader in browser runtime security. Prior to the acquisition, the Falcon Funds held 9.4% of the outstanding equity interests of Seraphic, which was accounted for under the measurement alternative.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has been accounted for as a business combination. The total consideration transferred consisted of $327.5 million in cash, net of $1.1 million of cash and restricted cash acquired, and $13.7 million representing the fair value of replacement equity awards attributable to pre-acquisition service, subject to customary net working capital and purchase price adjustments. The remaining fair value of these replacement awards attributed to post-combination service was excluded from the purchase price. On the acquisition date, CrowdStrike remeasured its previously held equity interest in Seraphic to a fair value of $38.1 million, resulting in a realized gain of $15.5 million, net of non-controlling interest of $15.5 million. The purchase price was allocated on a preliminary basis, subject to working capital adjustment and continuing management analysis, to developed technology of $69.8 million with a useful life of 96 months, net tangible liabilities of $16.0 million, and goodwill of $325.5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Seraphic, planned growth in new markets, and synergies expected to be achieved from the integration of Seraphic.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Seraphic, certain unvested stock options held by Seraphic employees were canceled and exchanged for replacement stock options under the 2019 Plan. Additionally, certain shares of Seraphic stock held by Seraphic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three months ended April 30, 2026 were $1.4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Seraphic did not have a material impact on the Company’s condensed consolidated financial statements, and therefore historical and pro forma disclosures have not been presented.</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Pangea Cyber Corporation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26, 2025, the Company acquired 100% of the equity interest of Pangea Cyber Corporation (“Pangea”), a company that offers AI detection and response solutions.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$212.1 million in cash, net of $9.4 million of cash and restricted cash acquired, and $0.3 million and $10.3 million representing the fair value of replacement equity and liability awards, respectively, attributable to pre-acquisition service. The remaining fair value of these replacement awards attributed to post-combination service was excluded from the purchase price. The cash consideration included (i) cash held back in an escrow fund for a partial security for post-closing true-up adjustments, which was released from escrow in January 2026, and (ii) cash held back in an escrow fund for a partial security for post-closing indemnification claims, which is expected to be released in fiscal year 2028 and is reflected within restricted cash. The purchase price was allocated on a preliminary basis, subject to working capital adjustment and continuing management analysis, to developed technology of $13.2 million with a useful life of 72 months, net tangible liabilities of $0.4 million, and goodwill of $209.9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Pangea, planned growth in new markets, and synergies expected to be achieved from the integration of Pangea.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Pangea, certain unvested stock options held by Pangea employees were canceled and exchanged for replacement stock options under the 2019 Plan. Additionally, certain shares of Pangea stock held by Pangea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three months ended April 30, 2026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Pangea did not have a material impact on the Company’s condensed consolidated financial statements, and therefore historical and pro forma disclosures have not been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Onum Technology Inc.</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12, 2025, the Company acquired 100% of the equity interest of Onum Technology Inc. (“Onum”), a leader in real-time telemetry pipeline management.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The total consideration transferred consisted of $252.7 million in cash, net of $15.2 million of cash and restricted cash acquired, and $2.0 million representing the fair value of replacement equity awards attributable to pre-acquisition service. The remaining fair value of these replacement awards attributed to post-combination service was excluded from the purchase price. The cash consideration included cash held back in an escrow fund for a partial security for post-closing indemnification claims. Escrow amounts are reflected within restricted cash and are expected to be released in fiscal year 2028. The purchase price was allocated on a preliminary basis, subject to working capital adjustment and continuing management analysis, to identifiable intangible assets, which include developed technology and customer relationships of $21.4 million, net tangible assets acquired of $0.2 million, and goodwill of $233.1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In addition, the fair value of customer relationships was estimated using the with-and-without method. The goodwill was primarily attributable to the assembled workforce of Onum, planned growth in new markets, and synergies expected to be achieved from the integration of Onum. Goodwill is not deductible for income tax purposes.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 the terms of the merger agreement with Onum, certain unvested stock options held by Onum employees were canceled and exchanged for replacement stock options under the 2019 Plan. Additionally, certain shares of Onum stock held by Onum employees were exchanged for shares 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 (dollars in thousands):</w:t>
      </w:r>
    </w:p>
    <w:tbl>
      <w:tblPr>
        <w:tblW w:w="5201" w:type="dxa"/>
        <w:jc w:val="left"/>
        <w:tblInd w:w="0" w:type="dxa"/>
        <w:tblLayout w:type="fixed"/>
        <w:tblCellMar>
          <w:top w:w="28" w:type="dxa"/>
          <w:left w:w="28" w:type="dxa"/>
          <w:bottom w:w="28" w:type="dxa"/>
          <w:right w:w="28" w:type="dxa"/>
        </w:tblCellMar>
      </w:tblPr>
      <w:tblGrid>
        <w:gridCol w:w="978"/>
        <w:gridCol w:w="858"/>
        <w:gridCol w:w="863"/>
        <w:gridCol w:w="216"/>
        <w:gridCol w:w="738"/>
        <w:gridCol w:w="111"/>
        <w:gridCol w:w="109"/>
        <w:gridCol w:w="109"/>
        <w:gridCol w:w="109"/>
        <w:gridCol w:w="325"/>
        <w:gridCol w:w="325"/>
        <w:gridCol w:w="46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Useful Life </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months)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acquired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 costs incurred during the three months ended April 30, 2026 were immaterial.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acquisition have been included in the Company’s condensed consolidated financial statements from the date of acquisition. The acquisition of Onum did not have a material impact on the Company’s condensed consolidated financial statements, and therefore historical and pro forma disclosures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12. Net Income (Loss) Per Share Attributable to Common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 Awards, ESPP obligations, and founders’ holdbacks, and are computed using the treasury stock method. The effects of the outstanding stock options, RSUs, PSUs, Special PSU Awards, ESPP obligations, and founders holdbacks are excluded from the computation of the diluted net income per share in periods in which the effect would be anti-dilutive. Diluted net loss per share is the same as basic net loss per share for the three months ended April 30, 2025, because the effects of potentially dilutive items were antidilutive given the Company’s net loss position during that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 attributable to CrowdStrike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685"/>
        <w:gridCol w:w="2204"/>
        <w:gridCol w:w="2222"/>
        <w:gridCol w:w="214"/>
        <w:gridCol w:w="734"/>
        <w:gridCol w:w="110"/>
        <w:gridCol w:w="110"/>
        <w:gridCol w:w="110"/>
        <w:gridCol w:w="110"/>
        <w:gridCol w:w="214"/>
        <w:gridCol w:w="894"/>
        <w:gridCol w:w="110"/>
        <w:gridCol w:w="109"/>
        <w:gridCol w:w="109"/>
        <w:gridCol w:w="109"/>
        <w:gridCol w:w="161"/>
      </w:tblGrid>
      <w:tr>
        <w:trPr/>
        <w:tc>
          <w:tcPr>
            <w:tcW w:w="2685"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 basic</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common stock equivalents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CrowdStrike common stockholders, dilutive</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 basic</w:t>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CrowdStrike common stockholders, diluted</w:t>
            </w:r>
          </w:p>
        </w:tc>
        <w:tc>
          <w:tcPr>
            <w:tcW w:w="2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tbl>
      <w:tblPr>
        <w:tblW w:w="9192" w:type="dxa"/>
        <w:jc w:val="left"/>
        <w:tblInd w:w="0" w:type="dxa"/>
        <w:tblLayout w:type="fixed"/>
        <w:tblCellMar>
          <w:top w:w="28" w:type="dxa"/>
          <w:left w:w="28" w:type="dxa"/>
          <w:bottom w:w="28" w:type="dxa"/>
          <w:right w:w="28" w:type="dxa"/>
        </w:tblCellMar>
      </w:tblPr>
      <w:tblGrid>
        <w:gridCol w:w="2237"/>
        <w:gridCol w:w="1964"/>
        <w:gridCol w:w="1979"/>
        <w:gridCol w:w="380"/>
        <w:gridCol w:w="288"/>
        <w:gridCol w:w="288"/>
        <w:gridCol w:w="288"/>
        <w:gridCol w:w="288"/>
        <w:gridCol w:w="288"/>
        <w:gridCol w:w="497"/>
        <w:gridCol w:w="288"/>
        <w:gridCol w:w="407"/>
      </w:tblGrid>
      <w:tr>
        <w:trPr/>
        <w:tc>
          <w:tcPr>
            <w:tcW w:w="2237"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 subject to future vesting</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issuable from stock options</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under the Employee Stock Purchase Plan</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 excluded from diluted net income (loss) per share</w:t>
            </w:r>
          </w:p>
        </w:tc>
        <w:tc>
          <w:tcPr>
            <w:tcW w:w="6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4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 table excludes founders holdbacks related to business combinations where a variable number of shares will be issued upon vesting to settle a fixed monetary amount of $43.8 million, contingent upon continued employment with the Company. The share price will be determined based on the Company’s average stock price or the volume weighted average stock price five days prior to each vesting date. During the three months ended April 30, 2026, 3,492 shares were issued to settle founders holdbacks at a weighted average price of $439.30 per share.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the above table also excludes 501,434 outstanding shares of in progress PSUs where pre-defined targets have not yet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13. Segment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(expense), net, and provision for income taxes, which are each separately disclosed and presented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net and operating lease right-of-use assets are summarized by geographic area as follows (in thousands):</w:t>
      </w:r>
    </w:p>
    <w:tbl>
      <w:tblPr>
        <w:tblW w:w="9106" w:type="dxa"/>
        <w:jc w:val="left"/>
        <w:tblInd w:w="0" w:type="dxa"/>
        <w:tblLayout w:type="fixed"/>
        <w:tblCellMar>
          <w:top w:w="28" w:type="dxa"/>
          <w:left w:w="28" w:type="dxa"/>
          <w:bottom w:w="28" w:type="dxa"/>
          <w:right w:w="28" w:type="dxa"/>
        </w:tblCellMar>
      </w:tblPr>
      <w:tblGrid>
        <w:gridCol w:w="2181"/>
        <w:gridCol w:w="1912"/>
        <w:gridCol w:w="1921"/>
        <w:gridCol w:w="211"/>
        <w:gridCol w:w="976"/>
        <w:gridCol w:w="109"/>
        <w:gridCol w:w="109"/>
        <w:gridCol w:w="109"/>
        <w:gridCol w:w="109"/>
        <w:gridCol w:w="231"/>
        <w:gridCol w:w="1070"/>
        <w:gridCol w:w="168"/>
      </w:tblGrid>
      <w:tr>
        <w:trPr/>
        <w:tc>
          <w:tcPr>
            <w:tcW w:w="218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 and operating lease right-of-use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1,046,191 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9 for additional information about the Company’s revenue by geographic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14. Strategic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2025, the Company announced a strategic plan (the “Strategic Plan”) to evolve its operations to yield greater efficiencies as the Company continues to scale its business with focus and discipline to meet its goals. The Strategic Plan resulted in a reduction of roles representing approximately 500 positions, or 5%, of the Company’s global workforce.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actions associated with the Strategic Plan were substantially completed as of April 30,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related to the Strategic Plan for the three months ended April 30, 2026 (in thousands):</w:t>
      </w:r>
    </w:p>
    <w:tbl>
      <w:tblPr>
        <w:tblW w:w="7986" w:type="dxa"/>
        <w:jc w:val="left"/>
        <w:tblInd w:w="0" w:type="dxa"/>
        <w:tblLayout w:type="fixed"/>
        <w:tblCellMar>
          <w:top w:w="28" w:type="dxa"/>
          <w:left w:w="28" w:type="dxa"/>
          <w:bottom w:w="28" w:type="dxa"/>
          <w:right w:w="28" w:type="dxa"/>
        </w:tblCellMar>
      </w:tblPr>
      <w:tblGrid>
        <w:gridCol w:w="885"/>
        <w:gridCol w:w="778"/>
        <w:gridCol w:w="781"/>
        <w:gridCol w:w="715"/>
        <w:gridCol w:w="1209"/>
        <w:gridCol w:w="400"/>
        <w:gridCol w:w="122"/>
        <w:gridCol w:w="122"/>
        <w:gridCol w:w="122"/>
        <w:gridCol w:w="530"/>
        <w:gridCol w:w="897"/>
        <w:gridCol w:w="297"/>
        <w:gridCol w:w="122"/>
        <w:gridCol w:w="122"/>
        <w:gridCol w:w="122"/>
        <w:gridCol w:w="219"/>
        <w:gridCol w:w="371"/>
        <w:gridCol w:w="172"/>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 2026</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and Related Costs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Non-Employee Costs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beginning of the period</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end of the period</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the liability associated with the Strategic Plan is included in accrued payroll and benefits and accounts payable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15. Share Repurchases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3, 2025, the Company announced that its board of directors approved a share repurchase program for the repurchase of up to $1.0 billion of the Company’s Class A common stock (the “Share Repurchase Program”). On April 6, 2026, the Company announced that its board of directors authorized the repurchase of up to an additional $500.0 million of the Company’s Class A common stock, bringing the total authorization under the Share Repurchase Program to $1.5 billion. The share repurchase program does not have a fixed expiration date and does not obligate the Company to acquire any specific number of shares. The Company may repurchase shares of Class A common stock from time to time using a variety of methods, including through open market purchases, privately negotiated transactions, and other means, including through the use of trading plans intended to qualify under Rule 10b5-1 under the Exchange 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manner, price, and amount of any repurchases will be determined by the Company at its discretion and will depend on a variety of factors, including legal requirements, price, and economic and market conditions. As of April 30, 2026, $1.3 billion remained available for future share repurchases under the Share Repurchase Program.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shares repurchased and subsequently retired (in thousands):</w:t>
      </w:r>
    </w:p>
    <w:tbl>
      <w:tblPr>
        <w:tblW w:w="5342" w:type="dxa"/>
        <w:jc w:val="left"/>
        <w:tblInd w:w="0" w:type="dxa"/>
        <w:tblLayout w:type="fixed"/>
        <w:tblCellMar>
          <w:top w:w="28" w:type="dxa"/>
          <w:left w:w="28" w:type="dxa"/>
          <w:bottom w:w="28" w:type="dxa"/>
          <w:right w:w="28" w:type="dxa"/>
        </w:tblCellMar>
      </w:tblPr>
      <w:tblGrid>
        <w:gridCol w:w="728"/>
        <w:gridCol w:w="639"/>
        <w:gridCol w:w="643"/>
        <w:gridCol w:w="239"/>
        <w:gridCol w:w="239"/>
        <w:gridCol w:w="241"/>
        <w:gridCol w:w="187"/>
        <w:gridCol w:w="187"/>
        <w:gridCol w:w="187"/>
        <w:gridCol w:w="363"/>
        <w:gridCol w:w="1424"/>
        <w:gridCol w:w="265"/>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repurchases</w:t>
            </w:r>
          </w:p>
        </w:tc>
        <w:tc>
          <w:tcPr>
            <w:tcW w:w="4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175,622 </w:t>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16. Revision of Prior Period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during the fourth quarter of the fiscal year ended January 31, 2026, the Company identified an immaterial error related to the timing of recognition of stock-based compensation expense in prior periods associated with certain awards granted in the fiscal years ended January 31, 2022 and 2023. To correct the immaterial error, the Company revised its previously issued unaudited Condensed Consolidated Financial Statements as of and for the three months ended April 30, 2025.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impacts of the revision to the previously filed financial statements for the three months ended April 30, 2025 (in thousands, except per share data):</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Consolidated Statements of Stockholders’ Equity </w:t>
      </w:r>
    </w:p>
    <w:tbl>
      <w:tblPr>
        <w:tblW w:w="6841" w:type="dxa"/>
        <w:jc w:val="left"/>
        <w:tblInd w:w="0" w:type="dxa"/>
        <w:tblLayout w:type="fixed"/>
        <w:tblCellMar>
          <w:top w:w="28" w:type="dxa"/>
          <w:left w:w="28" w:type="dxa"/>
          <w:bottom w:w="28" w:type="dxa"/>
          <w:right w:w="28" w:type="dxa"/>
        </w:tblCellMar>
      </w:tblPr>
      <w:tblGrid>
        <w:gridCol w:w="696"/>
        <w:gridCol w:w="610"/>
        <w:gridCol w:w="614"/>
        <w:gridCol w:w="291"/>
        <w:gridCol w:w="1407"/>
        <w:gridCol w:w="162"/>
        <w:gridCol w:w="109"/>
        <w:gridCol w:w="109"/>
        <w:gridCol w:w="109"/>
        <w:gridCol w:w="225"/>
        <w:gridCol w:w="760"/>
        <w:gridCol w:w="126"/>
        <w:gridCol w:w="109"/>
        <w:gridCol w:w="109"/>
        <w:gridCol w:w="109"/>
        <w:gridCol w:w="196"/>
        <w:gridCol w:w="94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April 30, 2025</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revised</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4,633,211 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(1,188,314)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(1,224,804)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Statements of Operations</w:t>
      </w:r>
    </w:p>
    <w:tbl>
      <w:tblPr>
        <w:tblW w:w="9585" w:type="dxa"/>
        <w:jc w:val="left"/>
        <w:tblInd w:w="0" w:type="dxa"/>
        <w:tblLayout w:type="fixed"/>
        <w:tblCellMar>
          <w:top w:w="28" w:type="dxa"/>
          <w:left w:w="28" w:type="dxa"/>
          <w:bottom w:w="28" w:type="dxa"/>
          <w:right w:w="28" w:type="dxa"/>
        </w:tblCellMar>
      </w:tblPr>
      <w:tblGrid>
        <w:gridCol w:w="1814"/>
        <w:gridCol w:w="1594"/>
        <w:gridCol w:w="1601"/>
        <w:gridCol w:w="308"/>
        <w:gridCol w:w="1276"/>
        <w:gridCol w:w="171"/>
        <w:gridCol w:w="109"/>
        <w:gridCol w:w="109"/>
        <w:gridCol w:w="109"/>
        <w:gridCol w:w="225"/>
        <w:gridCol w:w="655"/>
        <w:gridCol w:w="126"/>
        <w:gridCol w:w="109"/>
        <w:gridCol w:w="109"/>
        <w:gridCol w:w="109"/>
        <w:gridCol w:w="196"/>
        <w:gridCol w:w="811"/>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 2025</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cost of revenue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Professional services cost of services </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938,947 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CrowdStrike</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CrowdStrike common stockholders:</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impact to the consolidated statements of cash flows from operating activities, investing activities, or financing activities for any period. The impact to the consolidated statements of comprehensive income (loss) is limited to the impact to net loss as detailed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17. Subsequent Event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3, 2026, the Company announced that its board of directors had approved and declared a four-for-one forward stock split of the Company’s outstanding shares of Class A common stock to be effected in the form of a stock dividend. Each stockholder of record at the close of business on June 25, 2026 (the “record date”), will receive, after the close of business on July 1, 2026, three additional shares for every share held on the record date, and trading is expected to begin on a split-adjusted basis on July 2, 2026. The following table reflects basic and diluted weighted average shares and net income (loss) per share attributable to CrowdStrike common stockholders on an unaudited pro forma basis giving effect to the stock split as if it had been effective for all periods presented (in thousands, except per share data): </w:t>
      </w:r>
    </w:p>
    <w:tbl>
      <w:tblPr>
        <w:tblW w:w="10205" w:type="dxa"/>
        <w:jc w:val="left"/>
        <w:tblInd w:w="0" w:type="dxa"/>
        <w:tblLayout w:type="fixed"/>
        <w:tblCellMar>
          <w:top w:w="28" w:type="dxa"/>
          <w:left w:w="28" w:type="dxa"/>
          <w:bottom w:w="28" w:type="dxa"/>
          <w:right w:w="28" w:type="dxa"/>
        </w:tblCellMar>
      </w:tblPr>
      <w:tblGrid>
        <w:gridCol w:w="1527"/>
        <w:gridCol w:w="1118"/>
        <w:gridCol w:w="1128"/>
        <w:gridCol w:w="202"/>
        <w:gridCol w:w="669"/>
        <w:gridCol w:w="109"/>
        <w:gridCol w:w="109"/>
        <w:gridCol w:w="109"/>
        <w:gridCol w:w="109"/>
        <w:gridCol w:w="197"/>
        <w:gridCol w:w="776"/>
        <w:gridCol w:w="109"/>
        <w:gridCol w:w="109"/>
        <w:gridCol w:w="109"/>
        <w:gridCol w:w="109"/>
        <w:gridCol w:w="196"/>
        <w:gridCol w:w="768"/>
        <w:gridCol w:w="109"/>
        <w:gridCol w:w="109"/>
        <w:gridCol w:w="109"/>
        <w:gridCol w:w="109"/>
        <w:gridCol w:w="196"/>
        <w:gridCol w:w="678"/>
        <w:gridCol w:w="109"/>
        <w:gridCol w:w="109"/>
        <w:gridCol w:w="109"/>
        <w:gridCol w:w="109"/>
        <w:gridCol w:w="196"/>
        <w:gridCol w:w="646"/>
        <w:gridCol w:w="164"/>
      </w:tblGrid>
      <w:tr>
        <w:trPr/>
        <w:tc>
          <w:tcPr>
            <w:tcW w:w="15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(Unaudited)</w:t>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January 31,</w:t>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CrowdStrike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(loss) per share attributable to CrowdStrike common stockholders, basic</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954,548 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common stock equivalents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(loss) per share attributable to CrowdStrike common stockholders, dilutive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974,540 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CrowdStrike common stockholders:</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2026,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As discussed in Note 1 and Note 16 to the unaudited Condensed Consolidated Financial Statements included in this report, the Company revised its previously issued unaudited Condensed Consolidated Financial Statements as of and for the three months ended April 30, 2025 to correct for an immaterial error discovered during the fourth quarter of fiscal 2026. The revisions are intended to ensure comparability across all periods reflected herein.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sensor.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Our Go-To-Market Strategy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sell our Falcon platform via a partner-first subscription model to organizations of all sizes across multiple industries globally, including financial services, healthcare, manufacturing, retail, federal government, state and local governments, and education. We sell through our sales team supported by a robust partner ecosystem including resellers, MSSPs, system integrators, distributors, and cloud marketplace partners.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land-and-expand sales strategy where customers start with any number of modules and easily add capabilities over time. Our AI security advantage begins with our platform breadth and single sensor visibility — delivering unified protection across endpoints, cloud workloads, identities, SaaS environments, browsers, and the prompt and agentic interaction layer. One sensor, one console, one platform covering all attack surfaces.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key component of our enterprise strategy is Falcon Flex, our enterprise licensing model that enables customers to commit to a broader platform investment upfront and draw down that commitment across multiple products over time. Falcon Flex is tailored to the customer environment, delivering full financial visibility with low friction procurement and the flexibility to shift spend across security domains as priorities evolve.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subscriptions are priced based on the unit of measure most relevant to each product, including per-endpoint, per-identity, per-cloud sensor, per-user, per-device, and per-gigabyte of daily ingestion.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Certain Factors Affecting Our Performance</w:t>
      </w:r>
    </w:p>
    <w:p>
      <w:pPr>
        <w:pStyle w:val="TextBody"/>
        <w:bidi w:val="0"/>
        <w:spacing w:lineRule="auto" w:line="288" w:before="240" w:after="283"/>
        <w:ind w:left="0" w:right="0" w:firstLine="360"/>
        <w:jc w:val="left"/>
        <w:rPr/>
      </w:pPr>
      <w:r>
        <w:rPr>
          <w:rFonts w:ascii="Times New Roman;serif" w:hAnsi="Times New Roman;serif"/>
          <w:b/>
          <w:i/>
          <w:color w:val="000000"/>
          <w:sz w:val="20"/>
        </w:rPr>
        <w:t>Adoption of Our Solutions. </w:t>
      </w:r>
      <w:r>
        <w:rPr>
          <w:rFonts w:ascii="Times New Roman;serif" w:hAnsi="Times New Roman;serif"/>
          <w:b w:val="false"/>
          <w:color w:val="000000"/>
          <w:sz w:val="20"/>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pStyle w:val="TextBody"/>
        <w:bidi w:val="0"/>
        <w:spacing w:lineRule="auto" w:line="288" w:before="240" w:after="283"/>
        <w:ind w:left="0" w:right="0" w:firstLine="360"/>
        <w:jc w:val="left"/>
        <w:rPr/>
      </w:pPr>
      <w:r>
        <w:rPr>
          <w:rFonts w:ascii="Times New Roman;serif" w:hAnsi="Times New Roman;serif"/>
          <w:b/>
          <w:i/>
          <w:color w:val="000000"/>
          <w:sz w:val="20"/>
        </w:rPr>
        <w:t>New Customer Acquisition. </w:t>
      </w:r>
      <w:r>
        <w:rPr>
          <w:rFonts w:ascii="Times New Roman;serif" w:hAnsi="Times New Roman;serif"/>
          <w:b w:val="false"/>
          <w:color w:val="000000"/>
          <w:sz w:val="20"/>
        </w:rPr>
        <w:t>Our future growth depends in large part on our ability to acquire new customers. If our efforts to attract new 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pStyle w:val="TextBody"/>
        <w:bidi w:val="0"/>
        <w:spacing w:lineRule="auto" w:line="288" w:before="240" w:after="283"/>
        <w:ind w:left="0" w:right="0" w:firstLine="360"/>
        <w:jc w:val="left"/>
        <w:rPr/>
      </w:pPr>
      <w:r>
        <w:rPr>
          <w:rFonts w:ascii="Times New Roman;serif" w:hAnsi="Times New Roman;serif"/>
          <w:b/>
          <w:i/>
          <w:color w:val="000000"/>
          <w:sz w:val="20"/>
        </w:rPr>
        <w:t xml:space="preserve">Maintain Customer Retention and Increase Sales. </w:t>
      </w:r>
      <w:r>
        <w:rPr>
          <w:rFonts w:ascii="Times New Roman;serif" w:hAnsi="Times New Roman;serif"/>
          <w:b w:val="false"/>
          <w:color w:val="000000"/>
          <w:sz w:val="20"/>
        </w:rPr>
        <w:t xml:space="preserve">Our ability to increase revenue depends in large part on our ability to retain our existing customers 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 </w:t>
      </w:r>
    </w:p>
    <w:p>
      <w:pPr>
        <w:pStyle w:val="TextBody"/>
        <w:bidi w:val="0"/>
        <w:spacing w:lineRule="auto" w:line="288" w:before="240" w:after="283"/>
        <w:ind w:left="0" w:right="0" w:firstLine="360"/>
        <w:jc w:val="left"/>
        <w:rPr/>
      </w:pPr>
      <w:r>
        <w:rPr>
          <w:rFonts w:ascii="Times New Roman;serif" w:hAnsi="Times New Roman;serif"/>
          <w:b/>
          <w:i/>
          <w:color w:val="000000"/>
          <w:sz w:val="20"/>
        </w:rPr>
        <w:t>Invest in Growth. </w:t>
      </w:r>
      <w:r>
        <w:rPr>
          <w:rFonts w:ascii="Times New Roman;serif" w:hAnsi="Times New Roman;serif"/>
          <w:b w:val="false"/>
          <w:color w:val="000000"/>
          <w:sz w:val="20"/>
        </w:rPr>
        <w:t>We believe that our market opportunity is large and requires us to continue to invest significantly 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w:t>
      </w:r>
    </w:p>
    <w:p>
      <w:pPr>
        <w:pStyle w:val="TextBody"/>
        <w:bidi w:val="0"/>
        <w:spacing w:lineRule="auto" w:line="288" w:before="240" w:after="283"/>
        <w:ind w:left="0" w:right="0" w:firstLine="360"/>
        <w:jc w:val="left"/>
        <w:rPr/>
      </w:pPr>
      <w:r>
        <w:rPr>
          <w:rFonts w:ascii="Times New Roman;serif" w:hAnsi="Times New Roman;serif"/>
          <w:b/>
          <w:i/>
          <w:color w:val="000000"/>
          <w:sz w:val="20"/>
        </w:rPr>
        <w:t>July 19 Incident</w:t>
      </w:r>
      <w:r>
        <w:rPr>
          <w:rFonts w:ascii="Times New Roman;serif" w:hAnsi="Times New Roman;serif"/>
          <w:b w:val="false"/>
          <w:color w:val="000000"/>
          <w:sz w:val="20"/>
        </w:rPr>
        <w:t>. On July 19, 2024, we released a content configuration update for our Falcon sensor that resulted in system crashes for certain Windows systems (the “July 19 Incident”). As a result of the July 19 Incident, we are subject to lawsuits, claims and inquiries as described in Note 10, “Commitments and Contingencies,” to our condensed consolidated financial statements in Part I, Item 1 of this Quarterly Report on Form 10-Q.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Sales cycles may be elongated in future periods. In addition, because our customers typically sign contracts with terms over one year,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metrics to help us evaluate our business, identify trends affecting our business, formulate business plans, and make strategic decisions.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ARR as of the dates presented (dollars in thousands):</w:t>
      </w:r>
    </w:p>
    <w:tbl>
      <w:tblPr>
        <w:tblW w:w="5478" w:type="dxa"/>
        <w:jc w:val="left"/>
        <w:tblInd w:w="0" w:type="dxa"/>
        <w:tblLayout w:type="fixed"/>
        <w:tblCellMar>
          <w:top w:w="28" w:type="dxa"/>
          <w:left w:w="28" w:type="dxa"/>
          <w:bottom w:w="28" w:type="dxa"/>
          <w:right w:w="28" w:type="dxa"/>
        </w:tblCellMar>
      </w:tblPr>
      <w:tblGrid>
        <w:gridCol w:w="793"/>
        <w:gridCol w:w="696"/>
        <w:gridCol w:w="701"/>
        <w:gridCol w:w="211"/>
        <w:gridCol w:w="976"/>
        <w:gridCol w:w="271"/>
        <w:gridCol w:w="109"/>
        <w:gridCol w:w="109"/>
        <w:gridCol w:w="109"/>
        <w:gridCol w:w="211"/>
        <w:gridCol w:w="976"/>
        <w:gridCol w:w="316"/>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April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recurring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5,508,596 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4,435,596 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growth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ARR grew to $5.5 billion as of April 30, 2026, of which $255.8 million was net new ARR added for the three months ended April 30, 2026. ARR grew to $4.4 billion as of April 30, 2025, of which $193.8 million was net new ARR added for the three months ended April 30, 2025.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Dollar-Based Net Retention 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dollar-based net retention rate continued to be strong during the three months ended April 30, 2026. 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Subscription revenue primarily consists of subscription fees for our Falcon platform and 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Professional Services Revenue. </w:t>
      </w:r>
      <w:r>
        <w:rPr>
          <w:rFonts w:ascii="Times New Roman;serif" w:hAnsi="Times New Roman;serif"/>
          <w:b w:val="false"/>
          <w:color w:val="000000"/>
          <w:sz w:val="20"/>
        </w:rPr>
        <w:t>Professional services revenue includes incident response and proactive services, forensic and malware analysis, 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Subscription Cost of Revenue. </w:t>
      </w:r>
      <w:r>
        <w:rPr>
          <w:rFonts w:ascii="Times New Roman;serif" w:hAnsi="Times New Roman;serif"/>
          <w:b w:val="false"/>
          <w:color w:val="000000"/>
          <w:sz w:val="20"/>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Professional Services Cost of Revenue. </w:t>
      </w:r>
      <w:r>
        <w:rPr>
          <w:rFonts w:ascii="Times New Roman;serif" w:hAnsi="Times New Roman;serif"/>
          <w:b w:val="false"/>
          <w:color w:val="000000"/>
          <w:sz w:val="20"/>
        </w:rPr>
        <w:t>Professional services cost of revenue consists primarily of employee-related costs, such as salaries and bonuses, stock-based compensation expense, consulting expense, and an allocated portion of facilities and administrative costs.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other administrative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i/>
          <w:color w:val="000000"/>
          <w:sz w:val="20"/>
        </w:rPr>
        <w:t>Sales and Marketing. </w:t>
      </w:r>
      <w:r>
        <w:rPr>
          <w:rFonts w:ascii="Times New Roman;serif" w:hAnsi="Times New Roman;serif"/>
          <w:b w:val="false"/>
          <w:color w:val="000000"/>
          <w:sz w:val="20"/>
        </w:rPr>
        <w:t>Sales and marketing expenses primarily consist of employee-related expenses such as salaries, commissions, and bonuses. Sales 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Research and Development. </w:t>
      </w:r>
      <w:r>
        <w:rPr>
          <w:rFonts w:ascii="Times New Roman;serif" w:hAnsi="Times New Roman;serif"/>
          <w:b w:val="false"/>
          <w:color w:val="000000"/>
          <w:sz w:val="20"/>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General and Administrative. </w:t>
      </w:r>
      <w:r>
        <w:rPr>
          <w:rFonts w:ascii="Times New Roman;serif" w:hAnsi="Times New Roman;serif"/>
          <w:b w:val="false"/>
          <w:color w:val="000000"/>
          <w:sz w:val="20"/>
        </w:rPr>
        <w:t>General and administrative expenses consist of employee-related expenses such as 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consists primarily of amortization of debt issuance costs and contractual interest expense for our Senior Notes issued in January 2021.</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Interest income consists primarily of income earned on our cash and cash equivalents. </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consists primarily of gains and losses on strategic investments and foreign currency transaction gains and losses.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 xml:space="preserve">Provision (Benefit) for Income Taxes. </w:t>
      </w:r>
      <w:r>
        <w:rPr>
          <w:rFonts w:ascii="Times New Roman;serif" w:hAnsi="Times New Roman;serif"/>
          <w:b w:val="false"/>
          <w:color w:val="000000"/>
          <w:sz w:val="20"/>
        </w:rPr>
        <w:t>Provision (benefit) for income taxes consists of income tax benefits recognized in the current period resulting from the realization of deferred tax assets in connection with recent acquisitions, offset by state income taxes in the United States, foreign income taxes, and withholding taxes 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evaluate the need for a valuation allowance on a quarterly basis.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Net Income (Loss) Attributable to Non-controlling Interest</w:t>
      </w:r>
      <w:r>
        <w:rPr>
          <w:rFonts w:ascii="Times New Roman;serif" w:hAnsi="Times New Roman;serif"/>
          <w:b w:val="false"/>
          <w:color w:val="000000"/>
          <w:sz w:val="20"/>
        </w:rPr>
        <w:t>. Net income (loss) attributable to non-controlling interest consists of the Falcon Funds’ non-controlling interest share of gains and losses and interest income from our strategic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for each period presented (in thousands, except percentages):</w:t>
      </w:r>
    </w:p>
    <w:tbl>
      <w:tblPr>
        <w:tblW w:w="10205" w:type="dxa"/>
        <w:jc w:val="left"/>
        <w:tblInd w:w="0" w:type="dxa"/>
        <w:tblLayout w:type="fixed"/>
        <w:tblCellMar>
          <w:top w:w="28" w:type="dxa"/>
          <w:left w:w="28" w:type="dxa"/>
          <w:bottom w:w="28" w:type="dxa"/>
          <w:right w:w="28" w:type="dxa"/>
        </w:tblCellMar>
      </w:tblPr>
      <w:tblGrid>
        <w:gridCol w:w="1418"/>
        <w:gridCol w:w="1236"/>
        <w:gridCol w:w="1250"/>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309"/>
        <w:gridCol w:w="317"/>
        <w:gridCol w:w="382"/>
        <w:gridCol w:w="109"/>
        <w:gridCol w:w="109"/>
        <w:gridCol w:w="109"/>
        <w:gridCol w:w="109"/>
        <w:gridCol w:w="109"/>
        <w:gridCol w:w="109"/>
        <w:gridCol w:w="109"/>
        <w:gridCol w:w="156"/>
      </w:tblGrid>
      <w:tr>
        <w:trPr/>
        <w:tc>
          <w:tcPr>
            <w:tcW w:w="141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Subscription</w:t>
            </w:r>
            <w:r>
              <w:rPr>
                <w:color w:val="000000"/>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CrowdStrike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condensed consolidated statements of operations as a percentage of total revenue for the periods presented:</w:t>
      </w:r>
    </w:p>
    <w:tbl>
      <w:tblPr>
        <w:tblW w:w="7779" w:type="dxa"/>
        <w:jc w:val="left"/>
        <w:tblInd w:w="0" w:type="dxa"/>
        <w:tblLayout w:type="fixed"/>
        <w:tblCellMar>
          <w:top w:w="28" w:type="dxa"/>
          <w:left w:w="28" w:type="dxa"/>
          <w:bottom w:w="28" w:type="dxa"/>
          <w:right w:w="28" w:type="dxa"/>
        </w:tblCellMar>
      </w:tblPr>
      <w:tblGrid>
        <w:gridCol w:w="1698"/>
        <w:gridCol w:w="1500"/>
        <w:gridCol w:w="1512"/>
        <w:gridCol w:w="265"/>
        <w:gridCol w:w="206"/>
        <w:gridCol w:w="514"/>
        <w:gridCol w:w="206"/>
        <w:gridCol w:w="206"/>
        <w:gridCol w:w="206"/>
        <w:gridCol w:w="265"/>
        <w:gridCol w:w="206"/>
        <w:gridCol w:w="514"/>
        <w:gridCol w:w="109"/>
        <w:gridCol w:w="109"/>
        <w:gridCol w:w="109"/>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CrowdStrike</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April 30, 2026 and 2025</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shows total revenue from subscriptions and professional services for the three months ended</w:t>
      </w:r>
      <w:r>
        <w:rPr>
          <w:color w:val="000000"/>
        </w:rPr>
        <w:t xml:space="preserve"> </w:t>
      </w:r>
      <w:r>
        <w:rPr>
          <w:rFonts w:ascii="Times New Roman;serif" w:hAnsi="Times New Roman;serif"/>
          <w:b w:val="false"/>
          <w:color w:val="000000"/>
          <w:sz w:val="20"/>
        </w:rPr>
        <w:t>April 30, 2026 as compared to the three months ended April 30, 2025 (in thousands, except percentages):</w:t>
      </w:r>
    </w:p>
    <w:tbl>
      <w:tblPr>
        <w:tblW w:w="7324" w:type="dxa"/>
        <w:jc w:val="left"/>
        <w:tblInd w:w="0" w:type="dxa"/>
        <w:tblLayout w:type="fixed"/>
        <w:tblCellMar>
          <w:top w:w="28" w:type="dxa"/>
          <w:left w:w="28" w:type="dxa"/>
          <w:bottom w:w="28" w:type="dxa"/>
          <w:right w:w="28" w:type="dxa"/>
        </w:tblCellMar>
      </w:tblPr>
      <w:tblGrid>
        <w:gridCol w:w="652"/>
        <w:gridCol w:w="573"/>
        <w:gridCol w:w="57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44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$282.2 million, or 26%, for the three months ended April 30, 2026 compared to the three months ended April 30, 2025. Subscription revenue accounted for 95% of total revenue for each of the three months ended April 30, 2026 and April 30, 2025. Professional services revenue accounted for 5% of our total revenue for each of the three months ended April 30, 2026 and April 30,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revenue increased by $270.1 million, or 26%, for the three months ended April 30, 2026 compared to the three months ended April 30, 2025, which was primarily driven by a combination of the addition of new customers and the sale of additional sensors and modules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revenue increased by $12.1 million, or 23%, for the three months ended April 30, 2026, compared to the three months ended April 30, 2025, which was primarily attributable to an increase in the number of professional service hours.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Gross Profit, and Gross Margin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cost of revenue related to subscriptions and professional services for the three months ended April 30, 2026 as compared to the three months ended April 30, 2025 (in thousands, except percentages):</w:t>
      </w:r>
    </w:p>
    <w:tbl>
      <w:tblPr>
        <w:tblW w:w="6950" w:type="dxa"/>
        <w:jc w:val="left"/>
        <w:tblInd w:w="0" w:type="dxa"/>
        <w:tblLayout w:type="fixed"/>
        <w:tblCellMar>
          <w:top w:w="28" w:type="dxa"/>
          <w:left w:w="28" w:type="dxa"/>
          <w:bottom w:w="28" w:type="dxa"/>
          <w:right w:w="28" w:type="dxa"/>
        </w:tblCellMar>
      </w:tblPr>
      <w:tblGrid>
        <w:gridCol w:w="663"/>
        <w:gridCol w:w="583"/>
        <w:gridCol w:w="58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increased by $54.4 million, or 19%, for the three months ended April 30, 2026 compared to the three months ended April 30, 2025. Subscription cost of revenue increased by $47.1 million, or 20%, for the three months ended April 30, 2026, compared to the three months ended April 30, 2025. The increase in subscription cost of revenue was primarily due to an increase in cloud hosting and related services costs of $10.9 million, an increase in depreciation of data center equipment of $9.7 million, an increase in employee-related expenses of $8.9 million driven by a 6% increase in average headcount, an increase in amortization of internal-use software of $6.0 million, an increase in allocated overhead costs of $4.5 million, and an increase in employee benefits of $2.1 million.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cost of revenue increased by $7.3 million, or 16%, for the three months ended April 30, 2026, compared to the three months ended April 30, 2025. The increase in professional services cost of revenue was primarily due to an increase in consulting expenses of $5.3 million, an increase in employee-related expenses of $0.9 million driven by a 1% increase in average headcount, and an increase in allocated overhead costs of $0.7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gross profit and gross margin for subscriptions and professional services for the three months ended April 30, 2026 as compared to the three months ended April 30, 2025 (in thousands, except percentages):</w:t>
      </w:r>
    </w:p>
    <w:tbl>
      <w:tblPr>
        <w:tblW w:w="8134" w:type="dxa"/>
        <w:jc w:val="left"/>
        <w:tblInd w:w="0" w:type="dxa"/>
        <w:tblLayout w:type="fixed"/>
        <w:tblCellMar>
          <w:top w:w="28" w:type="dxa"/>
          <w:left w:w="28" w:type="dxa"/>
          <w:bottom w:w="28" w:type="dxa"/>
          <w:right w:w="28" w:type="dxa"/>
        </w:tblCellMar>
      </w:tblPr>
      <w:tblGrid>
        <w:gridCol w:w="1000"/>
        <w:gridCol w:w="878"/>
        <w:gridCol w:w="88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profit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427" w:type="dxa"/>
        <w:jc w:val="left"/>
        <w:tblInd w:w="0" w:type="dxa"/>
        <w:tblLayout w:type="fixed"/>
        <w:tblCellMar>
          <w:top w:w="28" w:type="dxa"/>
          <w:left w:w="28" w:type="dxa"/>
          <w:bottom w:w="28" w:type="dxa"/>
          <w:right w:w="28" w:type="dxa"/>
        </w:tblCellMar>
      </w:tblPr>
      <w:tblGrid>
        <w:gridCol w:w="1044"/>
        <w:gridCol w:w="916"/>
        <w:gridCol w:w="919"/>
        <w:gridCol w:w="206"/>
        <w:gridCol w:w="206"/>
        <w:gridCol w:w="514"/>
        <w:gridCol w:w="206"/>
        <w:gridCol w:w="206"/>
        <w:gridCol w:w="206"/>
        <w:gridCol w:w="206"/>
        <w:gridCol w:w="206"/>
        <w:gridCol w:w="514"/>
        <w:gridCol w:w="109"/>
        <w:gridCol w:w="109"/>
        <w:gridCol w:w="109"/>
        <w:gridCol w:w="153"/>
        <w:gridCol w:w="153"/>
        <w:gridCol w:w="445"/>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gross margin</w:t>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gross margin increased by one percentage point for the three months ended April 30, 2026, compared to the three months ended April 30, 2025. The increase in subscription gross margin was primarily attributable to hosting efficiencies.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gross margin increased by five percentage points for the three months ended April 30, 2026, compared to the three months ended April 30, 2025. The increase in professional services gross margin was primarily due to an increase in utilization, partially offset by an increase in consulting expense during the three months ended April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sales and marketing expenses for the three months ended April 30, 2026 as compared to the three months ended April 30, 2025 (in thousands, except percentages):</w:t>
      </w:r>
    </w:p>
    <w:tbl>
      <w:tblPr>
        <w:tblW w:w="7654"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$49.5 million, or 11%, for the three months ended April 30, 2026 compared to the three months ended April 30, 2025. The increase in sales and marketing expenses was primarily due to an increase in employee-related expenses of $14.9 million driven by a 3% increase in average headcount, an increase in marketing programs of $8.3 million, an increase in allocated overhead costs of $6.1 million, an increase in stock-based compensation expense of $5.1 million, an increase in company event expenses of $5.1 million, an increase in travel expenses of $3.9 million, an increase in employee benefits of $3.6 million, an increase in cloud hosting and related costs of $0.9 million, and a decrease of $3.4 million in sales commission expense related to the change in estimated period of benefit, partially offset by an increase in capitalized sales commissions.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research and development expenses for the three months ended April 30, 2026 as compared to the three months ended April 30, 2025 (in thousands, except percentages):</w:t>
      </w:r>
    </w:p>
    <w:tbl>
      <w:tblPr>
        <w:tblW w:w="8209" w:type="dxa"/>
        <w:jc w:val="left"/>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5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$77.4 million, or 23%, for the three months ended April 30, 2026 compared to the three months ended April 30, 2025. This increase was primarily due to an increase in employee-related expenses of $33.3 million driven by a 13% increase in average headcount, an increase in stock-based compensation expense of $21.7 million, an increase in allocated overhead costs of $9.2 million, an increase in cloud hosting and related costs of $7.5 million, an increase in term-based software licenses of $3.9 million, an increase in employee benefits of $3.3 million, and an increase in depreciation of data center equipment of $1.6 million, partially offset by an increase in software capitalization of $4.2 million.</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general and administrative expenses for the three months ended April 30, 2026 as compared to the three months ended April 30, 2025 (in thousands, except percentages):</w:t>
      </w:r>
    </w:p>
    <w:tbl>
      <w:tblPr>
        <w:tblW w:w="8155"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53"/>
        <w:gridCol w:w="153"/>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78"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$12.8 million, or 8%, for the three months ended April 30, 2026 compared to the three months ended April 30, 2025. The increase in general and administrative expenses was primarily due to an increase in stock-based compensation expense of $23.9 million, an increase in consulting expense of $13.1 million, and an increase in legal expense of $1.8 million unrelated to the July 19 Incident or related matters, partially offset by a decrease in expenses associated with the July 19 Incident and related matters of $20.5 million and a decrease in charges related to the Strategic Plan of $6.6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Interest Income, and Other Income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interest expense, interest income, and other income (expense), net for the three months ended April 30, 2026 as compared to the three months ended April 30, 2025 (in thousands, except percentages):</w:t>
      </w:r>
    </w:p>
    <w:tbl>
      <w:tblPr>
        <w:tblW w:w="7435" w:type="dxa"/>
        <w:jc w:val="left"/>
        <w:tblInd w:w="0" w:type="dxa"/>
        <w:tblLayout w:type="fixed"/>
        <w:tblCellMar>
          <w:top w:w="28" w:type="dxa"/>
          <w:left w:w="28" w:type="dxa"/>
          <w:bottom w:w="28" w:type="dxa"/>
          <w:right w:w="28" w:type="dxa"/>
        </w:tblCellMar>
      </w:tblPr>
      <w:tblGrid>
        <w:gridCol w:w="864"/>
        <w:gridCol w:w="757"/>
        <w:gridCol w:w="764"/>
        <w:gridCol w:w="216"/>
        <w:gridCol w:w="741"/>
        <w:gridCol w:w="112"/>
        <w:gridCol w:w="112"/>
        <w:gridCol w:w="112"/>
        <w:gridCol w:w="112"/>
        <w:gridCol w:w="216"/>
        <w:gridCol w:w="741"/>
        <w:gridCol w:w="112"/>
        <w:gridCol w:w="109"/>
        <w:gridCol w:w="109"/>
        <w:gridCol w:w="109"/>
        <w:gridCol w:w="211"/>
        <w:gridCol w:w="721"/>
        <w:gridCol w:w="109"/>
        <w:gridCol w:w="109"/>
        <w:gridCol w:w="109"/>
        <w:gridCol w:w="109"/>
        <w:gridCol w:w="218"/>
        <w:gridCol w:w="218"/>
        <w:gridCol w:w="445"/>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8" w:type="dxa"/>
            <w:gridSpan w:val="6"/>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color w:val="000000"/>
              </w:rPr>
              <w:t xml:space="preserve"> </w:t>
            </w:r>
            <w:r>
              <w:rPr>
                <w:rFonts w:ascii="Times New Roman;serif" w:hAnsi="Times New Roman;serif"/>
                <w:b w:val="false"/>
                <w:color w:val="000000"/>
                <w:sz w:val="13"/>
              </w:rPr>
              <w:t>(1)</w:t>
            </w:r>
          </w:p>
        </w:tc>
      </w:tr>
    </w:tbl>
    <w:p>
      <w:pPr>
        <w:pStyle w:val="TextBody"/>
        <w:bidi w:val="0"/>
        <w:spacing w:lineRule="auto" w:line="268" w:before="24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(1)Not meaningful</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months ended April 30, 2026 compared to the three months ended April 30, 2025 was primarily due to no amortization of debt issuance costs in the current period related to our secured revolving credit facility, which expired in January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for the three months ended April 30, 2026 compared to the three months ended April 30, 2025 was driven by lower market rates and a lower cash balance.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(expense), net for the three months ended April 30, 2026 compared to the three months ended April 30, 2025 was primarily due to an increase in net realized gains on our strategic investments of $36.4 million, an increase of $1.6 million attributable to no downward adjustments or impairment charges on our strategic investments in the current period, and an increase of $1.0 million attributable to lower net foreign currency transaction losses.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shows the provision (benefit) for income taxes for the three months ended April 30, 2026 as compared to the three months ended April 30, 2025 (in thousands, except percentage):</w:t>
      </w:r>
    </w:p>
    <w:tbl>
      <w:tblPr>
        <w:tblW w:w="8242" w:type="dxa"/>
        <w:jc w:val="left"/>
        <w:tblInd w:w="0" w:type="dxa"/>
        <w:tblLayout w:type="fixed"/>
        <w:tblCellMar>
          <w:top w:w="28" w:type="dxa"/>
          <w:left w:w="28" w:type="dxa"/>
          <w:bottom w:w="28" w:type="dxa"/>
          <w:right w:w="28" w:type="dxa"/>
        </w:tblCellMar>
      </w:tblPr>
      <w:tblGrid>
        <w:gridCol w:w="1091"/>
        <w:gridCol w:w="960"/>
        <w:gridCol w:w="964"/>
        <w:gridCol w:w="219"/>
        <w:gridCol w:w="719"/>
        <w:gridCol w:w="113"/>
        <w:gridCol w:w="113"/>
        <w:gridCol w:w="113"/>
        <w:gridCol w:w="113"/>
        <w:gridCol w:w="219"/>
        <w:gridCol w:w="750"/>
        <w:gridCol w:w="113"/>
        <w:gridCol w:w="109"/>
        <w:gridCol w:w="109"/>
        <w:gridCol w:w="109"/>
        <w:gridCol w:w="211"/>
        <w:gridCol w:w="796"/>
        <w:gridCol w:w="109"/>
        <w:gridCol w:w="109"/>
        <w:gridCol w:w="109"/>
        <w:gridCol w:w="109"/>
        <w:gridCol w:w="269"/>
        <w:gridCol w:w="271"/>
        <w:gridCol w:w="445"/>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br/>
              <w:t>%</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312"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of $28.0 million in income tax provision to an income tax benefit during the three months ended April 30, 2026 compared to the three months ended April 30, 2025 was primarily driven by income tax benefits recognized in the current period resulting from the realization of deferred tax assets in connection with recent acquisitions and the application of interim period tax accounting methodology with our return to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as of April 30, 2026, consisted of: (i) $4.6 billion in cash and cash equivalents, which mainly consists of cash on hand and highly liquid investments in money market funds, U.S. Treasury bills, and time deposits, and (ii) cash we expect to generate from operations.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and cash flows from operations will be sufficient to meet our anticipated cash needs for working capital and capital expenditures for at least the next 12 months.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history of losses, and while we have achieved profitability in certain periods, including the first quarter of fiscal 2027 and fiscal 2024, our accumulated deficit was $1.3 billion as of April 30, 2026. We expect to continue to make investments, particularly in sales and marketing and research and development. As a result, we may require additional capital resources in the future to execute strategic initiatives to grow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invoice our subscription customers at the beginning of the subscription term, or in some instances, such as in multi-year arrangements, in installments.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2026, we had deferred revenue of $4.7 billion, of which $3.4 billion was recorded as a current liability and is expected to be recorded as revenue in the next 12 months, provided all other revenue recognition criteria have been met.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relationships with unconsolidated entities or financial partnerships, such as entities often referred to as structured finance or special purpose entities. As of April 30, 2026, we did not have any outstanding derivative financial instruments, off-balance sheet guarantees, interest rate swap transactions, or foreign currency forward contracts.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7349" w:type="dxa"/>
        <w:jc w:val="left"/>
        <w:tblInd w:w="0" w:type="dxa"/>
        <w:tblLayout w:type="fixed"/>
        <w:tblCellMar>
          <w:top w:w="28" w:type="dxa"/>
          <w:left w:w="28" w:type="dxa"/>
          <w:bottom w:w="28" w:type="dxa"/>
          <w:right w:w="28" w:type="dxa"/>
        </w:tblCellMar>
      </w:tblPr>
      <w:tblGrid>
        <w:gridCol w:w="1677"/>
        <w:gridCol w:w="1477"/>
        <w:gridCol w:w="1480"/>
        <w:gridCol w:w="215"/>
        <w:gridCol w:w="842"/>
        <w:gridCol w:w="111"/>
        <w:gridCol w:w="111"/>
        <w:gridCol w:w="111"/>
        <w:gridCol w:w="111"/>
        <w:gridCol w:w="215"/>
        <w:gridCol w:w="842"/>
        <w:gridCol w:w="157"/>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April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547"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(994,053)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(598,891)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290,957 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three months ended April 30, 2026 was $590.9 million, which resulted from net income of $46.0 million, adjusted for non-cash charges of $442.7 million and a net cash inflow of $102.3 million from changes in operating assets and liabilities. Non-cash charges primarily consisted of $297.7 million in stock-based compensation expense, $98.9 million of amortization of deferred contract acquisition costs, $75.5 million of depreciation and amortization, $12.4 million of amortization of intangible assets, $4.9 million of non-cash operating lease costs, and $0.5 million of non-cash interest expense, partially offset by $36.4 million of realized gains on strategic investments and $10.8 million of deferred income taxes. The net cash inflow from changes in operating assets and liabilities was primarily due to a decrease of $428.8 million in accounts receivable, partially offset by an increase of $92.7 million in deferred contract acquisition costs, an increase of $75.0 million in prepaid expenses and other assets, a decrease of $54.4 million in accounts payable, a decrease of $44.0 million in accrued expenses and other liabilities, a decrease of $36.7 million in deferred revenue, a decrease of $19.6 million in accrued payroll and benefits, and a decrease of $4.2 million in operating lease liabilities.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$994.1 million during the three months ended April 30, 2026 was primarily due to business acquisitions, net of cash acquired, of $881.4 million, which was related to the Seraphic and SGNL acquisitions, purchases of property and equipment of $97.6 million, capitalized internal-use software and website development costs of $22.6 million, purchases of deferred compensation investments of $2.3 million, and purchases of strategic investments of $0.4 million, partially offset by proceeds from sales of strategic investments of $10.2 million.</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$195.9 million during the three months ended April 30, 2026 was primarily due to repurchases of common stock of $175.6 million and distributions to non-controlling interest holders of $21.0 million, partially offset by proceeds from the issuance of common stock upon exercise of stock options of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to our condensed consolidated financial statements in Part I, Item 1 of this Quarterly Report on Form 10-Q, for a brief description of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almost entirely through our subsidiaries. Accordingly, the Obligor Group’s cash flows and ability to service the Senior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tbl>
      <w:tblPr>
        <w:tblW w:w="4950" w:type="dxa"/>
        <w:jc w:val="left"/>
        <w:tblInd w:w="0" w:type="dxa"/>
        <w:tblLayout w:type="fixed"/>
        <w:tblCellMar>
          <w:top w:w="28" w:type="dxa"/>
          <w:left w:w="28" w:type="dxa"/>
          <w:bottom w:w="28" w:type="dxa"/>
          <w:right w:w="28" w:type="dxa"/>
        </w:tblCellMar>
      </w:tblPr>
      <w:tblGrid>
        <w:gridCol w:w="1097"/>
        <w:gridCol w:w="964"/>
        <w:gridCol w:w="969"/>
        <w:gridCol w:w="302"/>
        <w:gridCol w:w="1398"/>
        <w:gridCol w:w="22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April 30,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1,384,413 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367,546 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(59,372)</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CrowdStrike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13"/>
        <w:gridCol w:w="2207"/>
        <w:gridCol w:w="2222"/>
        <w:gridCol w:w="214"/>
        <w:gridCol w:w="992"/>
        <w:gridCol w:w="110"/>
        <w:gridCol w:w="109"/>
        <w:gridCol w:w="109"/>
        <w:gridCol w:w="109"/>
        <w:gridCol w:w="254"/>
        <w:gridCol w:w="1176"/>
        <w:gridCol w:w="190"/>
      </w:tblGrid>
      <w:tr>
        <w:trPr/>
        <w:tc>
          <w:tcPr>
            <w:tcW w:w="2513"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(excluding current intercompany receivables from non-Guarantors)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6,081,758 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intercompany receivables from non-Guarantors</w:t>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(excluding noncurrent intercompany receivables from non-Guarantors)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4,216,929 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3,354,831 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intercompany receivables from non-Guarantors</w:t>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625,943 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current intercompany payables to non-Guarantors)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3,923,446 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4,017,456 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intercompany payables to non-Guarantors</w:t>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(excluding noncurrent intercompany payables to non-Guarantors)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intercompany payables to non-Guarantors</w:t>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April 30, 2026, there were no significant changes to our debt obligations related to the Senior Notes, as presented in Part II, Item 7, Management’s Discussion and Analysis of Financial Condition and Results of Operations included in our Annual Report on Form 10-K for the fiscal year ended January 31, 2026.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non-cancelable purchase commitments with various parties to purchase products and services entered in the normal course of business totaling $2.6 billion as of April 30, 2026, with remaining terms in excess of 12 months. We expect to fund these obligations with cash flows from operations and cash on our balance sheet.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commitments also consist of obligations under non-cancelable real estate arrangements on an undiscounted basis, of which $21.7 million is due in the next 12 months and $64.2 million is due thereafter.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our unrecognized tax benefits included $50.7 million, which were classified as long-term liabilities due to the inherent uncertainty with respect to the timing of future cash outflows associated with our unrecognized tax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30, 2026, we had non-cancelable unfunded commitments from our financing arrangements totaling approximately $34.8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were prepared in accordance with U.S GAAP. The preparation of the condensed consolidated financial statements requires our management to make estimates and assumptions that affect the amounts reported in the condensed consolidated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we completed an assessment of the estimated period of benefit of commissions earned upon the initial acquisition of a contract, or subsequent upsell, and determined that it should increase from four to five years. This change in estimate was effective beginning in fiscal year 2027. Based on the carrying value of the related deferred contract acquisition costs as of January 31, 2026, the effect of this change in estimate for the three months ended April 30, 2026 was a reduction in sales commission expense of $27.9 million. There have been no other significant changes in our critical accounting policies and estimates during the three months ended April 30, 2026, as compared to the critical accounting policies and estimates disclosed in Management’s Discussion and Analysis of Financial Condition and Results of Operations included in our Annual Report on Form 10-K for the year ended January 31, 2026, filed with the SEC on 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condensed consolidated financial statements. As of April 30, 2026, we had backlog of approximately $4.0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we had 11,157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market risks during the three months ended April 30, 2026 compared to our disclosures in Part II, Item 7A of our Annual Report on Form 10-K for the fiscal year ended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of April 30, 2026. Based on such evaluation of our disclosure controls and procedures as of April 30,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10, “Commitments and Contingencies,” to our condensed consolidated financial statements in Part I, Item 1 of this Quarterly Report on Form 10-Q.</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any claims for which we believe a liability is both probable and reasonably estimable, we record a liability in the period in which we make this determination. Other than as disclosed in Note 10,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July 19 Incident has had, and is expected to continue to have, an adverse effect on our business, sales, customer and partner relations, reputation, results of operations and financial condition.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19, 2024, we released a content configuration update for our Falcon sensor that resulted in system crashes for certain Windows systems (the “July 19 Incident”). We have incurred, and expect to continue to incur, significant costs and expenses related to the incident. The July 19 Incident has harmed, and is expected to continue to harm, our business, sales, customer and partner relations, and our reputation. As a result of the July 19 Incident, certain of our existing or prospective customers have deferred or decided against purchases of our products and services and terminated or chosen not to renew their contracts with us, and others may take similar actions in the future.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July 19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Additional negative media coverage and publicity, whether directly or indirectly related to the July 19 Incident, may harm our reputation and brand further, exacerbating the effects discussed herein. These factors may result in harm to our business, results of operations and financial condition.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attract, integrate, and retain a large number of new employees, particularly members of our sales and marketing and research and development teams;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further improve our Falcon platform, including our cloud modules, and IT infrastructure, including expanding and optimizing our data centers, to support our business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information and communication systems to ensure that our employees and offices around the world are well coordinated and can effectively communicate with each other and our growing base of channel partners and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financial, management, and compliance systems and controls.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 history of losses, and while we have achieved profitability in certain periods, we may not be able to achieve or sustain profitability in the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each year prior to fiscal 2024, and we may not achieve or maintain profitability in the future. We experienced net losses of $162.5 million and $15.2 million for fiscal 2026 and 2025, respectively, and net income of $72.2 million for fiscal 2024. As of April 30, 2026, we had an accumulated deficit of $1.3 billion. While we have experienced significant growth in revenue in recent periods, and have achieved profitability during certain periods, including the first quarter of fiscal 2027 and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our future results of operations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considerable time and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may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capabilities, including performance and reliability, of our Falcon platform, including our cloud modules, services, and features compared to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and the ability of our competitors, to improve existing products, services, and features, or to develop new ones to address evolving customer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retain, and motivate talented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relationships with channel partners and direct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strength of our sales and marketing efforts;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of our reputation and brand, including the impact to our reputation and brand as a result of the July 19 Incident;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or consolidation within our industry, which may result in more formidable competitors.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competitors include the following by general category: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antivirus product providers who offer a broad range of approaches and solutions including traditional signature-based anti-virus protection;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alternative endpoint security providers who generally offer a mix of on-premise and cloud-hosted products that rely heavily on malware-only or application whitelisting techniques;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network security vendors who are supplementing their core perimeter-based offerings with endpoint or cloud security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cloud security vendors, including those who focus on public cloud infrastructure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identity security vendors that seek to identify and secure user accounts and related activities;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professional service providers who offer cybersecurity response services;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legacy SIEM vendors who offer a range of log management and security capabilities.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are changing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Competitive pricing pressure may reduce our gross profits and adversely affect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pStyle w:val="TextBody"/>
        <w:bidi w:val="0"/>
        <w:spacing w:lineRule="auto" w:line="288" w:before="240" w:after="283"/>
        <w:jc w:val="left"/>
        <w:rPr/>
      </w:pPr>
      <w:r>
        <w:rPr>
          <w:rFonts w:ascii="Times New Roman;serif" w:hAnsi="Times New Roman;serif"/>
          <w:b/>
          <w:i/>
          <w:color w:val="000000"/>
          <w:sz w:val="20"/>
        </w:rPr>
        <w:t>As a cybersecurity provider, we have been, and expect to continue to be, a target of cyberattacks. If our or our service providers</w:t>
      </w:r>
      <w:r>
        <w:rPr>
          <w:color w:val="000000"/>
        </w:rPr>
        <w:t xml:space="preserve">’ </w:t>
      </w:r>
      <w:r>
        <w:rPr>
          <w:rFonts w:ascii="Times New Roman;serif" w:hAnsi="Times New Roman;serif"/>
          <w:b/>
          <w:i/>
          <w:color w:val="000000"/>
          <w:sz w:val="20"/>
        </w:rPr>
        <w:t>internal networks, systems, or data are or are perceived to have been compromised, our reputation may be damaged and our financial results may be negatively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factors, many of which are beyond our control, can affect the delivery, availability, and the performance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maintenance of the infrastructure of the internet;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performance and availability of third-party providers of cloud infrastructure services, such as AWS, with the necessary speed, data capacity and security for providing reliable internet access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cyberattacks, including denial of service attacks, targeted at us, our data centers, or the infrastructure of the internet;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by us to maintain and update our cloud infrastructure to meet our data capacity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errors, defects or performance problems in our software, including third-party software incorporated in our software;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improper deployment or configuration of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our disaster recovery and business continuity arrangements.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attract and retain qualified personnel, our business could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Strategic Plan (as defined in the notes to our unaudited condensed consolidated financial statements) could negatively affect our ability to </w:t>
      </w:r>
      <w:r>
        <w:rPr>
          <w:rFonts w:ascii="Times New Roman;serif" w:hAnsi="Times New Roman;serif"/>
          <w:b w:val="false"/>
          <w:color w:val="000000"/>
          <w:sz w:val="20"/>
          <w:shd w:fill="FFFFFF" w:val="clear"/>
        </w:rPr>
        <w:t>recruit and retain skilled personnel</w:t>
      </w:r>
      <w:r>
        <w:rPr>
          <w:rFonts w:ascii="Times New Roman;serif" w:hAnsi="Times New Roman;serif"/>
          <w:b w:val="false"/>
          <w:color w:val="000000"/>
          <w:sz w:val="20"/>
        </w:rPr>
        <w:t>. Any failure to successfully attract, integrate or retain qualified personnel to fulfill our current or future needs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effectively expand and train our direct sales force, we may be unable to add new customers or increase sales to our existing customers, and our business will be adversely affected.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our direct sales force to obtain new customers and increase sales with existing customers. Our ability to achieve significant revenue growth will depend, in large part, on our success in recruiting, training, incentivizing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recognize revenue from subscriptions to our platform over the term of the subscription, downturns or upturns in new business will not be immediately reflected in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new and retain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budgeting cycles, seasonal buying patterns, and purchasing practices of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economic difficulties confronting our customers, which may impact the number of modules or endpoint deployments they are willing or able to purchase;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insolvency or credit difficulties confronting our customers, affecting their ability to purchase or pay for our solutions, including in connection with our customer and end-user financing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length of our sales cycles;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customer or channel partner requirements or market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disruption in our relationship with channel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growth rate of the cloud-based SaaS-delivered endpoint security solutions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of new product and service introductions by us or our competitors or any other competitive developments, including consolidation among our customers or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decisions by organizations to purchase security solutions from larger, more established security vendors or from their primary IT equipment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awareness of cybersecurity threats, particularly advanced cyberattacks, and the market adoption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of, technical difficulties with or interruptions to, the use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to our business from the July 19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media coverage or publicity;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expand our business domestically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amount and timing of operating costs (including new hires), tightening of labor markets and capital expenditures related to the expansion of our business;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regulatory or other dispute-related settlement payments or outcomes;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or decreases in our expenses caused by fluctuations in foreign currency exchange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 or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relating to our valuation allowances for our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events, geopolitical unrest or tension, acts of war and terrorism.</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CrowdStrike and Falcon brands and our reputation as a provider of high-efficacy security solutions, our business and results of operations may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legacy security solutions and, ultimately, our ability to detect and stop breaches. Although we believe it is important for our growth, our brand promotion activities may not be successful or yield increased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international operations and plans for future international expansion expose us to significant risks, and failure to manage those risks could adversely impact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derived approximately 32%, 32%, 33% and 34% of our total revenue from our international customers for fiscal 2024, fiscal 2025, fiscal 2026 and the three months ended April 30, 2026,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in negotiating contracts with standard terms, enforcing contracts and managing collections, and longer collection periods;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higher costs of doing business internationally, including costs incurred in establishing and maintaining office space and equipment for our international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management communication and integration problems resulting from cultural and geographic dispersion;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associated with trade restrictions and foreign legal requirements, including any importation, certification, and localization of our Falcon platform that may be required in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risk of unexpected changes, or threat of changes, in regulatory practices, tariffs, and tax laws and treaties or the application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heightened risk of unfair or corrupt business practices in certain geographies and of improper or fraudulent sales arrangements that may impact financial results and result in restatements of, or irregularities in, financial statements;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uncertainty of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and political conditions in these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controls or tax regulations that might prevent us from repatriating cash earned outside the United States;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and economic instability in some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tax laws of the United States or the foreign jurisdictions in which we operate;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unexpected costs for the localization of our services, including translation into foreign languages and adaptation for local practices and regulatory requirements (including, but not limited to data localization requirements, digital sovereignty requirements and other restrictions, such as those emerging in the EU);</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to comply with foreign privacy, data protection, and information security laws and regulations and the risks and costs of noncompliance;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in identifying, attracting and retaining local qualified personnel, and the costs and expenses associated with such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difficulty identifying qualified channel partners and maintaining successful relationships with such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differing employment practices and labor relations issues;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depends, in part, on sales to government organizations, and significant changes in the contracting or fiscal policies of such government organizations could have an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to such government entities include, but are not limited to, the following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selling to governmental agencies can be highly competitive, expensive and time consuming, often requiring significant upfront time and expense without any assurance that such efforts will generate a sale;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obtain personnel security clearances and facility clearances to perform on classified contracts for government agencies, and there is no guarantee that we will be able to obtain or maintain such clearances;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certification, software supply chain, and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attitudes towards us as a company, our platform or the capabilities that we offer as a viable software solution may change, and reduce interest in our products and services as acceptable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political environment, including before or after a change to the leadership within the government administration, can create uncertainty or changes in policy or priorities and reduce available funding for our products and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even if we are awarded a sale, the terms of such contracts may be unusually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foregoing risks could cause governments and governmental agencies to delay or refrain from purchasing our solutions in the future or otherwise have an adverse effect on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timely and cost-effectively scale and adapt our existing technology to meet our customers’ performance and other requirements.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and platforms, to operate and make, in various layers of technology stacks,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maintain customer satisfaction depends in part on the quality of our customer support.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to expand our operations and invest in new solutions, which capital may not be available on terms acceptable to us, or at all, and which could reduce our ability to compete and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combination of our existing cash and cash equivalents and cash flows from operations will be sufficient to meet our anticipated cash needs for working capital and capital expenditures for at least the next 12 months. Retaining or expanding our current levels of personnel and product and service offerings may require additional funds to respond to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cannot maintain our company culture as we grow, we could lose the innovation, teamwork, passion, and focus on execution that we believe contribute to our success and our business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Such risks may become more pronounced as we continue to scale our business. The technology industry has experienced widespread component shortages and delivery delays, including as a result of geopolitical tensions (including actual or threatened changes in tariffs and trade restrictions), public health crises and natural disasters. We may also experience component shortages and pricing increases from certain of our suppliers as a result of increased demand for such components.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exposed to the credit risks of certain of our customers and end-users, which could adversely impact our business, financial condition or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 Legal, and Regulatory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success of our business depends in part on our ability to protect and enforce our intellectual property rights.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license technology from third parties, and our inability to maintain those licenses could harm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in the future will likely consider, proposals from time to time for comprehensive federal data privacy and security legislation, to which we may become subject if passed.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requirements under certain circumstances. While the GDPR and U.K. GDPR remain substantially similar for the time being, the U.K. government has adopted reforms to its data protection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Legal developments in the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December 2031 unless extended or renewed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digital sovereignty requirements and concentration risk. Our efforts to comply with applicable laws and regulations may increase operating costs, which could adversely affect our business and operations. Noncompliance by us, our employees, representatives, contractors, channel partners, agents, intermediaries, or other third parties with applicable regulations or requirements could subject us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investigations, enforcement actions and sanctions;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mandatory changes to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disgorgement of profits, fines and damages;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civil and criminal penalties or injunctions;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for damages by our customers or channel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termination of contracts;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loss of intellectual property rights;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our license to do business in the jurisdictions in which we operate;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temporary or permanent debarment from sales to government organizations.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Some of our technology incorporates “open source” software, which could negatively affect our ability to sell our Falcon platform and subject us to possible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resulting in time-consuming and costly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diverting management’s time and attention from developing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pay monetary damages or enter into royalty and licensing agreements that we would not normally find acceptable;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causing delays in the deployment of our Falcon platform or service offerings to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stop offering certain services or features of our Falcon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redesign certain components of our Falcon platform using alternative non-infringing or non-open source technology, which could require significant effort and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disclose our software source code and the detailed program commands for our software;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us to satisfy indemnification obligations to our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utilize AI, which could expose us to liability or adversely affect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false or “hallucinatory” interferences or outputs,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social, legal and other issues, and if we enable or offer solutions that draw scrutiny or controversy due to perceived or actual risks or impacts on customers or on society as a whole, we may experience brand or reputational harm, competitive harm, delays in customer purchasing decisions and/or legal liability. Our continued incorporation of AI, including generative AI, into our products and operations requires us to expend significant resources. If such investments do not deliver anticipated benefits or are not otherwise successful, our business and results of operations may be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Texas, Colorado and Utah, have also enacted AI-related laws, and several more have proposed enacting such laws.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provide service level commitments under some of our customer contracts. If we fail to meet these contractual commitments, we could be obligated to provide credits for future service and our business could suffer.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currently, and may in the future become, involved in litigation that may adversely affect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expose us to liability claims by our customers, negatively impact our sales and marketing efforts, and have an adverse effect on our business,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regardless of our operating performance, and you could lose all or part of your investment.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new or terminated significant contracts, commercial relationships or capital commitments;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or financial analyst or investor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rights or our solutions, or third-party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major changes in our management or our board of directors, particularly with respect to Mr. Kurtz;</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effects of public health crises, pandemics and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emergence of new or different information relating to the impact of the July 19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amounts or frequency of stock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events or factors, including those resulting from war, incidents of terrorism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share repurchase program may not result in benefits to stockholder value.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we announced that our board of directors authorized a program under which we are authorized to repurchase up to $1.0 billion of our outstanding shares of common stock (the “Share Repurchase Program”). On April 6, 2026, we announced that our board of directors authorized the repurchase of up to an additional $500 million of our outstanding shares of common stock, bringing the total authorization under the Share Repurchase Program to $1.5 billion.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timing and amount of any repurchases will be subject to liquidity, market and economic conditions, any applicable restrictions under future credit facilities, compliance with applicable legal requirements, and other relevant factors. Repurchases of shares of our common stock under the Share Repurchase Program will reduce the amount of cash we have available to fund working capital, repay debt, make capital expenditures and strategic acquisitions or pursue business opportunities, and for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could reduce the price that our common stock might otherwise attain and may dilute your voting power and your ownership interest in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May 28, 2026, we had 254,564,820 shares of common stock outstanding.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industry or financial analysts do not publish research or reports about our business, or if they issue inaccurate or unfavorable research regarding our common stock, our stock price and trading volume could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cash dividends in the foreseeable future. As a result, your ability to achieve a return on your investment will depend on appreciation in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for use in the operation of our business and do not anticipate paying any cash dividends in the foreseeable future. Any determination to pay dividends in the future will be at the discretion of our board of directors. Additionally, our ability to pay dividends may become limited by restrictions on our ability to pay dividends or make distributions under the terms of any future credit facility.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certain amendments to our amended and restated certificate of incorporation require the approval of two-thirds of the then-outstanding voting power of our capital stock;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the Court of Chancery of the State of Delaware is the exclusive forum for: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indebtedness could adversely affect our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30, 2026, we had $750.0 million principal amount of indebtedness outstanding (excluding intercompany indebtedness). Our indebtedness could have important consequences,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 portion of our cash flows to be dedicated to debt service payments instead of other purposes, thereby reducing the amount of cash flows available for working capital, capital expenditures,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increasing our vulnerability to adverse changes in general economic, industry and competitive conditions;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all of our indebtedness, including the Senior Notes, and may be forced to take other actions to satisfy our obligations under our indebtedness, which may not be successful.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Senior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cannot make scheduled payments on our indebtedness, we will be in default and holders of our Senior Notes could declare all outstanding principal and interest to be due and payable. Such a default could result in material adverse consequences that negatively impact our business, the market price for our common stock, and our ability to obtain financing in the future. If we breach the covenants under our debt instruments, we would be in default under such instruments. The holders of such indebtedness could exercise their rights, as described above, and we could be forced into bankruptcy or liquidation.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indenture that governs our Senior Notes contains, and future credit agreements may contain, terms which restrict our current and future operations, particularly our ability to respond to changes or to take certain actions.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that governs our Senior Notes contains a number of restrictive covenants that impose significant operating and financial restrictions on us and may limit our ability to engage in acts that may be in our long-term best interest, including, among other things, restrictions on our ability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additional indebtedness and guarantee indebtedness;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prepay, redeem or repurchase certain indebtedness;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sell or otherwise dispose of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liens;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transactions with affiliates;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alter the businesses we conduct;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agreements restricting our subsidiaries’ ability to pay dividends;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consolidate, merge with, or sell all or substantially all of our assets to, another person.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covenants in the indenture and supplemental indenture that govern the Senior Notes are subject to exceptions and qualifications.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within the time periods specified in SEC rules and forms, and information required to be disclosed in reports under the Exchange Act is accumulated and communicated to our principal executive and financial officers.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maintain effective disclosure controls and internal control over financial reporting could have a material and adverse effect on our business and results of operations and could cause a decline in the price of our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risks we may face in connection with acquisitions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addressing acquisition integration challenges;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coordination of research and development and sales and marketing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integration of administrative systems, employee, product and service offerings;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retention of key employees from the acquired company;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relationships with strategic partners as a result of product acquisitions or strategic positioning resulting from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legal, regulatory or compliance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financial reporting, revenue recognition or other financial or control deficiencies of the acquired company that we do not adequately address and that cause our reported results to be incorrect;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liability for activities of the acquired company before the acquisition, including intellectual property infringement claims, violations of laws, commercial disputes, tax liabilities and other known and unknown liabilities;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or other claims in connection with the acquired company, including claims from terminated employees, customers, former stockholders or other third parties.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tax reform legislation included in the One Big Beautiful Bill Act (the “OBBBA”) was enacted in the United States. The tax effects of the OBBBA have been accounted for in the second quarter of the fiscal year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The European Union and other countries (including those in which we operate) have enacted or committed to enact Pillar Two into their domestic laws, which may adversely impact our provision for income taxes, existing tax incentives, net income and cash flows.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On January 20, 2025, the Trump Administration issued an executive order declaring the Inclusive Framework has no force or effect in the U.S. absent congressional action, and directing the U.S. Department of Treasury to: (i) investigate whether any non-U.S. countries are not in compliance with any U.S. tax treaty or have implemented or are likely to implement tax rules that are extraterritorial or disproportionately affect U.S. companies, which may include actions or taxes imposed under Pillar One or Pillar Two, and (ii) develop options for “protective measures” in response to any such noncompliance or tax rules. On June 28, 2025, the United States and the rest of G7 countries announced a</w:t>
      </w:r>
      <w:r>
        <w:rPr>
          <w:color w:val="000000"/>
        </w:rPr>
        <w:t xml:space="preserve"> </w:t>
      </w:r>
      <w:r>
        <w:rPr>
          <w:rFonts w:ascii="Times New Roman;serif" w:hAnsi="Times New Roman;serif"/>
          <w:b w:val="false"/>
          <w:color w:val="000000"/>
          <w:sz w:val="20"/>
        </w:rPr>
        <w:t>Side by Side (“SbS”) agreement that would, in principle, exclude U.S. parented groups from certain taxes under Pillar Two and address certain risks of base erosion and profit shifting, with the OECD publishing Administrative Guidance with respect to this on January 5, 2026. While the Administrative Guidance has approved the U.S. tax system as a “Qualified SbS Jurisdiction” (such that, for fiscal years commencing on or after January 1, 2026, U.S.-headquartered multinational enterprises may elect for the SbS safe harbor, which effectively deems the top-up tax for a jurisdiction to be zero for the purposes of the “income inclusion rules” and “under taxed profits rules”), we cannot predict whether or when such agreement will be brought into force, and whether the United States will adopt any other protective measures, including with respect to any taxes imposed under Pillar One, or whether or how any non-U.S. countries may change their tax laws, including with respect to Pillar One or Pillar Two, in response to the executive order, the agreement in principle (including the Administrative Guidance) described above, or otherwise.</w:t>
      </w:r>
      <w:r>
        <w:rPr>
          <w:color w:val="000000"/>
        </w:rPr>
        <w:t xml:space="preserve"> </w:t>
      </w:r>
      <w:r>
        <w:rPr>
          <w:rFonts w:ascii="Times New Roman;serif" w:hAnsi="Times New Roman;serif"/>
          <w:b w:val="false"/>
          <w:color w:val="000000"/>
          <w:sz w:val="20"/>
        </w:rPr>
        <w:t xml:space="preserve">In addition, the Inclusive Framework envisages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January 31, 2026, we had aggregate U.S federal and California net operating loss carryforwards of $2.6 billion and $417.4 million, respectively, which may be available to offset future taxable income for income tax purposes. The federal net operating losses are carried forward indefinitely, and California net operating loss carryforwards begin to expire in fiscal 2034 through fiscal 2046. As of January 31, 2026, net operating loss carryforwards for other states totaled $998.3 million, which begin to expire in fiscal 2027 through fiscal 2046. As of January 31, 2026, net operating loss carryforwards for the U.K. totaled $84.2 million, which are carried forward indefinitely, and net operating loss carryforwards totaled immaterial amounts in certain foreign jurisdictions. As of January 31, 2026, we had U.S federal and California research and development (“R&amp;D”) credit carryforwards of $227.0 million and $59.8 million, respectively. The federal R&amp;D credit carryforwards begin to expire in fiscal 2037 though fiscal 2046. The California R&amp;D credits are carried forward indefinitely. Realization of these net operating loss and R&amp;D credit carryforwards depends on future income, and there is a risk that our existing carryforwards could expire unused and be unavailable to offset future income tax liabilities, which could adversely affect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equity investments, including partial or complete loss of invested capital, and significant changes in the fair value of this portfolio could adversely impact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Expectations regarding our efforts and performance relating to corporate responsibility factors have imposed and may impose additional costs on us and expose us to risks.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Governmental authorities, certain investors, and other stakeholders continue to focus on, set and revise, expectations relating to corporate responsibility matters, both in the United States and internationally. Such expectations are evolving and may be contradictory. Our actions, undertakings and decisions in connection with corporate responsibility and/or sustainability-related initiatives, goals, or commitments, including whether to pursue them, and/or the extent to which we achieve them, may be challenged and could harm our reputation, adversely impact our ability to attract and retain employees or customers and expose us to increased scrutiny from investors, governmental authorities and others, or subject us to liability. Additionally, compliance with current or future legal requirements or stakeholder expectations regarding corporate responsibility and/or sustainability matters, including disclosure and reporting obligations, may result in increased costs and legal and operational risks. For example, the proliferation of regulations and guidance addressing corporate responsibility topics at various government levels has required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continue to require significant effort and resources, and our efforts may not ensure compliance with evolving standards. Any such damage to our reputation, adverse impact to our ability to attract and retain employees or customers, increased scrutiny, exposure to liability and increased compliance costs may adversely impact our business, financial condition, or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(a)Sales of Unregistered Equity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SGNL on February 20, 2026, we issued approximately $82.2 million of shares of our Class A common stock, subject to service-based vesting conditions, to certain stockholders of SGNL. The transaction was exempt from registration under Section 4(a)(2) of the Securities 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Seraphic on February 3, 2026, we issued approximately $35.6 million of shares of our Class A common stock, subject to service-based vesting conditions, to certain stockholders of Seraphic. The transaction was exempt from registration under Section 4(a)(2) of the Securities Act.</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(b)Issuer Purchases of 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information with respect to CrowdStrike’s repurchases of shares of its Class A common stock under the Share Repurchase Program during the three months ended April 30, 2026:</w:t>
      </w:r>
    </w:p>
    <w:tbl>
      <w:tblPr>
        <w:tblW w:w="10205" w:type="dxa"/>
        <w:jc w:val="left"/>
        <w:tblInd w:w="0" w:type="dxa"/>
        <w:tblLayout w:type="fixed"/>
        <w:tblCellMar>
          <w:top w:w="28" w:type="dxa"/>
          <w:left w:w="28" w:type="dxa"/>
          <w:bottom w:w="28" w:type="dxa"/>
          <w:right w:w="28" w:type="dxa"/>
        </w:tblCellMar>
      </w:tblPr>
      <w:tblGrid>
        <w:gridCol w:w="314"/>
        <w:gridCol w:w="275"/>
        <w:gridCol w:w="279"/>
        <w:gridCol w:w="109"/>
        <w:gridCol w:w="109"/>
        <w:gridCol w:w="109"/>
        <w:gridCol w:w="499"/>
        <w:gridCol w:w="499"/>
        <w:gridCol w:w="501"/>
        <w:gridCol w:w="109"/>
        <w:gridCol w:w="109"/>
        <w:gridCol w:w="109"/>
        <w:gridCol w:w="578"/>
        <w:gridCol w:w="474"/>
        <w:gridCol w:w="323"/>
        <w:gridCol w:w="109"/>
        <w:gridCol w:w="109"/>
        <w:gridCol w:w="109"/>
        <w:gridCol w:w="801"/>
        <w:gridCol w:w="801"/>
        <w:gridCol w:w="803"/>
        <w:gridCol w:w="109"/>
        <w:gridCol w:w="109"/>
        <w:gridCol w:w="109"/>
        <w:gridCol w:w="440"/>
        <w:gridCol w:w="1957"/>
        <w:gridCol w:w="353"/>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Number of Shares Purchased </w:t>
            </w:r>
          </w:p>
          <w:p>
            <w:pPr>
              <w:pStyle w:val="TableContents"/>
              <w:bidi w:val="0"/>
              <w:spacing w:lineRule="auto" w:line="240" w:before="0" w:after="0"/>
              <w:jc w:val="center"/>
              <w:rPr/>
            </w:pPr>
            <w:r>
              <w:rPr>
                <w:rFonts w:ascii="Times New Roman;serif" w:hAnsi="Times New Roman;serif"/>
                <w:b/>
                <w:color w:val="000000"/>
                <w:sz w:val="18"/>
              </w:rPr>
              <w:t>(in thousands)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Number of Shares Purchased as part of Publicly Announced Programs </w:t>
            </w:r>
          </w:p>
          <w:p>
            <w:pPr>
              <w:pStyle w:val="TableContents"/>
              <w:bidi w:val="0"/>
              <w:spacing w:lineRule="auto" w:line="240" w:before="0" w:after="0"/>
              <w:jc w:val="center"/>
              <w:rPr/>
            </w:pPr>
            <w:r>
              <w:rPr>
                <w:rFonts w:ascii="Times New Roman;serif" w:hAnsi="Times New Roman;serif"/>
                <w:b/>
                <w:color w:val="000000"/>
                <w:sz w:val="18"/>
              </w:rPr>
              <w:t>(in thousands)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Approximate Dollar Value of Shares that May Yet Be Purchased Under the Program </w:t>
            </w:r>
          </w:p>
          <w:p>
            <w:pPr>
              <w:pStyle w:val="TableContents"/>
              <w:bidi w:val="0"/>
              <w:spacing w:lineRule="auto" w:line="240" w:before="0" w:after="0"/>
              <w:jc w:val="center"/>
              <w:rPr/>
            </w:pPr>
            <w:r>
              <w:rPr>
                <w:rFonts w:ascii="Times New Roman;serif" w:hAnsi="Times New Roman;serif"/>
                <w:b/>
                <w:color w:val="000000"/>
                <w:sz w:val="18"/>
              </w:rPr>
              <w:t>(in thousands)</w:t>
            </w:r>
            <w:r>
              <w:rPr>
                <w:rFonts w:ascii="Times New Roman;serif" w:hAnsi="Times New Roman;serif"/>
                <w:b/>
                <w:color w:val="000000"/>
                <w:sz w:val="12"/>
              </w:rPr>
              <w:t>(1)</w:t>
            </w:r>
          </w:p>
        </w:tc>
      </w:tr>
      <w:tr>
        <w:trPr/>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949,384 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849,379 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1,324,378 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In June 2025, the Company’s board of directors authorized a $1.0 billion share repurchase program for its common stock (the “Share Repurchase Program”). On April 6, 2026, the Company announced that its board of directors authorized the repurchase of up to an additional $500 million of its outstanding shares of common stock, bringing the total authorization under the Share Repurchase Program to $1.5 billion.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For additional information related to the Share Repurchase Program, see Note 15 of the Notes to the Company’s Unaudited Condensed Consolidated Financial Statements.</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Average price paid per shares includes costs associated with the repurchases.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1257"/>
        <w:gridCol w:w="1257"/>
        <w:gridCol w:w="1259"/>
        <w:gridCol w:w="109"/>
        <w:gridCol w:w="109"/>
        <w:gridCol w:w="109"/>
        <w:gridCol w:w="170"/>
        <w:gridCol w:w="170"/>
        <w:gridCol w:w="171"/>
        <w:gridCol w:w="109"/>
        <w:gridCol w:w="109"/>
        <w:gridCol w:w="109"/>
        <w:gridCol w:w="242"/>
        <w:gridCol w:w="242"/>
        <w:gridCol w:w="208"/>
        <w:gridCol w:w="109"/>
        <w:gridCol w:w="109"/>
        <w:gridCol w:w="109"/>
        <w:gridCol w:w="210"/>
        <w:gridCol w:w="210"/>
        <w:gridCol w:w="211"/>
        <w:gridCol w:w="109"/>
        <w:gridCol w:w="109"/>
        <w:gridCol w:w="109"/>
        <w:gridCol w:w="438"/>
        <w:gridCol w:w="392"/>
        <w:gridCol w:w="242"/>
        <w:gridCol w:w="109"/>
        <w:gridCol w:w="109"/>
        <w:gridCol w:w="109"/>
        <w:gridCol w:w="242"/>
        <w:gridCol w:w="242"/>
        <w:gridCol w:w="349"/>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Filed </w:t>
              <w:br/>
              <w:t>Herewith</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Retirement of Class B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Performance Unit Agreement with Michael Sentonas, dated April 16, 2026, under the CrowdStrike Holdings, Inc. 2019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List of Subsidiary Guarantors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05,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430xex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430xexx311.htm">
              <w:r>
                <w:rPr>
                  <w:rStyle w:val="InternetLink"/>
                  <w:rFonts w:ascii="Times New Roman;serif" w:hAnsi="Times New Roman;serif"/>
                  <w:b w:val="false"/>
                  <w:color w:val="0000FF"/>
                  <w:sz w:val="20"/>
                  <w:u w:val="single"/>
                </w:rPr>
                <w:t>Certification of the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430xex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430xexx312.htm">
              <w:r>
                <w:rPr>
                  <w:rStyle w:val="InternetLink"/>
                  <w:rFonts w:ascii="Times New Roman;serif" w:hAnsi="Times New Roman;serif"/>
                  <w:b w:val="false"/>
                  <w:color w:val="0000FF"/>
                  <w:sz w:val="20"/>
                  <w:u w:val="single"/>
                </w:rPr>
                <w:t>Certification of the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rwd-20260430xex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60430xexx321.htm">
              <w:r>
                <w:rPr>
                  <w:rStyle w:val="InternetLink"/>
                  <w:rFonts w:ascii="Times New Roman;serif" w:hAnsi="Times New Roman;serif"/>
                  <w:b w:val="false"/>
                  <w:color w:val="0000FF"/>
                  <w:sz w:val="20"/>
                  <w:u w:val="single"/>
                </w:rPr>
                <w:t>Certification of the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Instance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contract or agreement.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85236bd5094545d7ad83952098988b7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on the day of June 3, 2026. </w:t>
      </w:r>
    </w:p>
    <w:tbl>
      <w:tblPr>
        <w:tblW w:w="6636" w:type="dxa"/>
        <w:jc w:val="left"/>
        <w:tblInd w:w="0" w:type="dxa"/>
        <w:tblLayout w:type="fixed"/>
        <w:tblCellMar>
          <w:top w:w="28" w:type="dxa"/>
          <w:left w:w="28" w:type="dxa"/>
          <w:bottom w:w="28" w:type="dxa"/>
          <w:right w:w="28" w:type="dxa"/>
        </w:tblCellMar>
      </w:tblPr>
      <w:tblGrid>
        <w:gridCol w:w="124"/>
        <w:gridCol w:w="109"/>
        <w:gridCol w:w="109"/>
        <w:gridCol w:w="498"/>
        <w:gridCol w:w="498"/>
        <w:gridCol w:w="498"/>
        <w:gridCol w:w="1405"/>
        <w:gridCol w:w="1405"/>
        <w:gridCol w:w="1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CROWDSTRIKE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Burt W. Podbere </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(Principal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Anurag Saha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Anurag Saha</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Accounting Officer (Principal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Kurtz,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CrowdStrike Holdings,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3, 2026 </w:t>
      </w:r>
    </w:p>
    <w:tbl>
      <w:tblPr>
        <w:tblW w:w="5455" w:type="dxa"/>
        <w:jc w:val="left"/>
        <w:tblInd w:w="0" w:type="dxa"/>
        <w:tblLayout w:type="fixed"/>
        <w:tblCellMar>
          <w:top w:w="28" w:type="dxa"/>
          <w:left w:w="28" w:type="dxa"/>
          <w:bottom w:w="28" w:type="dxa"/>
          <w:right w:w="28" w:type="dxa"/>
        </w:tblCellMar>
      </w:tblPr>
      <w:tblGrid>
        <w:gridCol w:w="526"/>
        <w:gridCol w:w="462"/>
        <w:gridCol w:w="462"/>
        <w:gridCol w:w="1171"/>
        <w:gridCol w:w="1171"/>
        <w:gridCol w:w="166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54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Burt W. Podbere,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CrowdStrike Holdings,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3, 2026 </w:t>
      </w:r>
    </w:p>
    <w:tbl>
      <w:tblPr>
        <w:tblW w:w="5815" w:type="dxa"/>
        <w:jc w:val="left"/>
        <w:tblInd w:w="0" w:type="dxa"/>
        <w:tblLayout w:type="fixed"/>
        <w:tblCellMar>
          <w:top w:w="28" w:type="dxa"/>
          <w:left w:w="28" w:type="dxa"/>
          <w:bottom w:w="28" w:type="dxa"/>
          <w:right w:w="28" w:type="dxa"/>
        </w:tblCellMar>
      </w:tblPr>
      <w:tblGrid>
        <w:gridCol w:w="526"/>
        <w:gridCol w:w="462"/>
        <w:gridCol w:w="462"/>
        <w:gridCol w:w="1276"/>
        <w:gridCol w:w="1276"/>
        <w:gridCol w:w="181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58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(Principal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2026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6267"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1172"/>
        <w:gridCol w:w="1172"/>
        <w:gridCol w:w="166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3,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Kurtz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Kurtz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br/>
              <w:t>(Principal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2026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4677"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705"/>
        <w:gridCol w:w="705"/>
        <w:gridCol w:w="100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3,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Burt W. Podbere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Burt W. Podbere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5527/000110465919035685/a19-11597_1ex3d1.htm" TargetMode="External"/><Relationship Id="rId3" Type="http://schemas.openxmlformats.org/officeDocument/2006/relationships/hyperlink" Target="https://www.sec.gov/Archives/edgar/data/1535527/000110465919035685/a19-11597_1ex3d1.htm" TargetMode="External"/><Relationship Id="rId4" Type="http://schemas.openxmlformats.org/officeDocument/2006/relationships/hyperlink" Target="https://www.sec.gov/Archives/edgar/data/1535527/000153552724000026/crowdstrikeholdingsincam.htm" TargetMode="External"/><Relationship Id="rId5" Type="http://schemas.openxmlformats.org/officeDocument/2006/relationships/hyperlink" Target="https://www.sec.gov/Archives/edgar/data/1535527/000153552724000026/crowdstrikeholdingsincam.htm" TargetMode="External"/><Relationship Id="rId6" Type="http://schemas.openxmlformats.org/officeDocument/2006/relationships/hyperlink" Target="https://www.sec.gov/Archives/edgar/data/1535527/000110465924128515/tm2430723d1_ex3-1.htm" TargetMode="External"/><Relationship Id="rId7" Type="http://schemas.openxmlformats.org/officeDocument/2006/relationships/hyperlink" Target="https://www.sec.gov/Archives/edgar/data/1535527/000110465924128515/tm2430723d1_ex3-1.htm" TargetMode="External"/><Relationship Id="rId8" Type="http://schemas.openxmlformats.org/officeDocument/2006/relationships/hyperlink" Target="https://www.sec.gov/Archives/edgar/data/1535527/000153552726000018/crwd-20260420exx101special.htm" TargetMode="External"/><Relationship Id="rId9" Type="http://schemas.openxmlformats.org/officeDocument/2006/relationships/hyperlink" Target="https://www.sec.gov/Archives/edgar/data/1535527/000153552726000018/crwd-20260420exx101special.htm" TargetMode="External"/><Relationship Id="rId10" Type="http://schemas.openxmlformats.org/officeDocument/2006/relationships/hyperlink" Target="https://www.sec.gov/Archives/edgar/data/1535527/000153552725000009/ex-221listofsubsidiaryguar.htm" TargetMode="External"/><Relationship Id="rId11" Type="http://schemas.openxmlformats.org/officeDocument/2006/relationships/hyperlink" Target="https://www.sec.gov/Archives/edgar/data/1535527/000153552725000009/ex-221listofsubsidiaryguar.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53985</Words>
  <Characters>303697</Characters>
  <CharactersWithSpaces>355601</CharactersWithSpaces>
  <Paragraphs>3270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