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3942715</wp:posOffset>
            </wp:positionH>
            <wp:positionV relativeFrom="paragraph">
              <wp:posOffset>-19050</wp:posOffset>
            </wp:positionV>
            <wp:extent cx="142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CrowdStrike Holdings,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par value $0.0005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22788C105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26,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2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805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Advisors LLC</w:t>
      </w:r>
    </w:p>
    <w:p>
      <w:pPr>
        <w:spacing w:after="0" w:line="243" w:lineRule="exact"/>
        <w:rPr>
          <w:sz w:val="20"/>
          <w:szCs w:val="20"/>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488,473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80" w:type="dxa"/>
            <w:vAlign w:val="bottom"/>
          </w:tcPr>
          <w:p>
            <w:pPr>
              <w:ind w:left="300"/>
              <w:spacing w:after="0" w:line="207" w:lineRule="exact"/>
              <w:rPr>
                <w:sz w:val="20"/>
                <w:szCs w:val="20"/>
                <w:color w:val="auto"/>
              </w:rPr>
            </w:pPr>
            <w:r>
              <w:rPr>
                <w:rFonts w:ascii="Arial" w:cs="Arial" w:eastAsia="Arial" w:hAnsi="Arial"/>
                <w:sz w:val="18"/>
                <w:szCs w:val="18"/>
                <w:color w:val="auto"/>
                <w:w w:val="97"/>
              </w:rPr>
              <w:t xml:space="preserve">CHECK BOX IF THE AGGREGATE AMOUNT IN ROW (9) EXCLUDES CERTAIN SHARES   </w:t>
            </w:r>
            <w:r>
              <w:rPr>
                <w:rFonts w:ascii="MS PGothic" w:cs="MS PGothic" w:eastAsia="MS PGothic" w:hAnsi="MS PGothic"/>
                <w:sz w:val="18"/>
                <w:szCs w:val="18"/>
                <w:color w:val="auto"/>
                <w:w w:val="97"/>
              </w:rPr>
              <w:t>☐</w:t>
            </w:r>
          </w:p>
        </w:tc>
      </w:tr>
    </w:tbl>
    <w:p>
      <w:pPr>
        <w:spacing w:after="0" w:line="195" w:lineRule="exact"/>
        <w:rPr>
          <w:sz w:val="20"/>
          <w:szCs w:val="20"/>
          <w:color w:val="auto"/>
        </w:rPr>
      </w:pPr>
    </w:p>
    <w:p>
      <w:pPr>
        <w:ind w:left="1940" w:right="5060" w:hanging="1460"/>
        <w:spacing w:after="0" w:line="399" w:lineRule="auto"/>
        <w:tabs>
          <w:tab w:leader="none" w:pos="1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1.2%</w:t>
      </w:r>
      <w:r>
        <w:rPr>
          <w:rFonts w:ascii="Arial" w:cs="Arial" w:eastAsia="Arial" w:hAnsi="Arial"/>
          <w:sz w:val="30"/>
          <w:szCs w:val="30"/>
          <w:u w:val="single" w:color="auto"/>
          <w:color w:val="auto"/>
          <w:vertAlign w:val="superscript"/>
        </w:rPr>
        <w:t>1</w:t>
      </w:r>
    </w:p>
    <w:p>
      <w:pPr>
        <w:ind w:left="1300" w:hanging="82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IA;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right="80" w:hanging="332"/>
        <w:spacing w:after="0" w:line="218" w:lineRule="auto"/>
        <w:tabs>
          <w:tab w:leader="none" w:pos="34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 are based upon s 40,871,355 shares of Class A common stock outstanding as of November 29, 2019 (according to the issuer’s Form 10-Q as filed with the Securities and Exchange Commission on December 5, 2019). Except as described in the preceding sentence, all share numbers for the holdings of the reporting persons reported in this Schedule 13G are as of the opening of the market on January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3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Advisors Holdings LP</w:t>
      </w:r>
    </w:p>
    <w:p>
      <w:pPr>
        <w:spacing w:after="0" w:line="243" w:lineRule="exact"/>
        <w:rPr>
          <w:sz w:val="20"/>
          <w:szCs w:val="20"/>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488,473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40" w:type="dxa"/>
            <w:vAlign w:val="bottom"/>
          </w:tcPr>
          <w:p>
            <w:pPr>
              <w:ind w:left="300"/>
              <w:spacing w:after="0" w:line="207" w:lineRule="exact"/>
              <w:rPr>
                <w:sz w:val="20"/>
                <w:szCs w:val="20"/>
                <w:color w:val="auto"/>
              </w:rPr>
            </w:pPr>
            <w:r>
              <w:rPr>
                <w:rFonts w:ascii="Arial" w:cs="Arial" w:eastAsia="Arial" w:hAnsi="Arial"/>
                <w:sz w:val="18"/>
                <w:szCs w:val="18"/>
                <w:color w:val="auto"/>
                <w:w w:val="96"/>
              </w:rPr>
              <w:t xml:space="preserve">CHECK BOX IF THE AGGREGATE AMOUNT IN ROW (9) EXCLUDES CERTAIN SHARES   </w:t>
            </w:r>
            <w:r>
              <w:rPr>
                <w:rFonts w:ascii="MS PGothic" w:cs="MS PGothic" w:eastAsia="MS PGothic" w:hAnsi="MS PGothic"/>
                <w:sz w:val="18"/>
                <w:szCs w:val="18"/>
                <w:color w:val="auto"/>
                <w:w w:val="96"/>
              </w:rPr>
              <w:t>☐</w:t>
            </w:r>
          </w:p>
        </w:tc>
      </w:tr>
    </w:tbl>
    <w:p>
      <w:pPr>
        <w:spacing w:after="0" w:line="195" w:lineRule="exact"/>
        <w:rPr>
          <w:sz w:val="20"/>
          <w:szCs w:val="20"/>
          <w:color w:val="auto"/>
        </w:rPr>
      </w:pPr>
    </w:p>
    <w:p>
      <w:pPr>
        <w:ind w:left="1300" w:hanging="8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1.2%</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4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GP LLC</w:t>
      </w:r>
    </w:p>
    <w:p>
      <w:pPr>
        <w:spacing w:after="0" w:line="243" w:lineRule="exact"/>
        <w:rPr>
          <w:sz w:val="20"/>
          <w:szCs w:val="20"/>
          <w:color w:val="auto"/>
        </w:rPr>
      </w:pPr>
    </w:p>
    <w:p>
      <w:pPr>
        <w:ind w:left="1280" w:hanging="759"/>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488,473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80" w:type="dxa"/>
            <w:vAlign w:val="bottom"/>
          </w:tcPr>
          <w:p>
            <w:pPr>
              <w:ind w:left="300"/>
              <w:spacing w:after="0" w:line="207" w:lineRule="exact"/>
              <w:rPr>
                <w:sz w:val="20"/>
                <w:szCs w:val="20"/>
                <w:color w:val="auto"/>
              </w:rPr>
            </w:pPr>
            <w:r>
              <w:rPr>
                <w:rFonts w:ascii="Arial" w:cs="Arial" w:eastAsia="Arial" w:hAnsi="Arial"/>
                <w:sz w:val="18"/>
                <w:szCs w:val="18"/>
                <w:color w:val="auto"/>
                <w:w w:val="97"/>
              </w:rPr>
              <w:t xml:space="preserve">CHECK BOX IF THE AGGREGATE AMOUNT IN ROW (9) EXCLUDES CERTAIN SHARES   </w:t>
            </w:r>
            <w:r>
              <w:rPr>
                <w:rFonts w:ascii="MS PGothic" w:cs="MS PGothic" w:eastAsia="MS PGothic" w:hAnsi="MS PGothic"/>
                <w:sz w:val="18"/>
                <w:szCs w:val="18"/>
                <w:color w:val="auto"/>
                <w:w w:val="97"/>
              </w:rPr>
              <w:t>☐</w:t>
            </w:r>
          </w:p>
        </w:tc>
      </w:tr>
    </w:tbl>
    <w:p>
      <w:pPr>
        <w:spacing w:after="0" w:line="195" w:lineRule="exact"/>
        <w:rPr>
          <w:sz w:val="20"/>
          <w:szCs w:val="20"/>
          <w:color w:val="auto"/>
        </w:rPr>
      </w:pPr>
    </w:p>
    <w:p>
      <w:pPr>
        <w:ind w:left="1300" w:hanging="8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1.2%</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5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Securities LLC</w:t>
      </w:r>
    </w:p>
    <w:p>
      <w:pPr>
        <w:spacing w:after="0" w:line="243" w:lineRule="exact"/>
        <w:rPr>
          <w:sz w:val="20"/>
          <w:szCs w:val="20"/>
          <w:color w:val="auto"/>
        </w:rPr>
      </w:pPr>
    </w:p>
    <w:p>
      <w:pPr>
        <w:ind w:left="1280" w:hanging="759"/>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748,157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80" w:type="dxa"/>
            <w:vAlign w:val="bottom"/>
          </w:tcPr>
          <w:p>
            <w:pPr>
              <w:ind w:left="300"/>
              <w:spacing w:after="0" w:line="207" w:lineRule="exact"/>
              <w:rPr>
                <w:sz w:val="20"/>
                <w:szCs w:val="20"/>
                <w:color w:val="auto"/>
              </w:rPr>
            </w:pPr>
            <w:r>
              <w:rPr>
                <w:rFonts w:ascii="Arial" w:cs="Arial" w:eastAsia="Arial" w:hAnsi="Arial"/>
                <w:sz w:val="18"/>
                <w:szCs w:val="18"/>
                <w:color w:val="auto"/>
                <w:w w:val="97"/>
              </w:rPr>
              <w:t xml:space="preserve">CHECK BOX IF THE AGGREGATE AMOUNT IN ROW (9) EXCLUDES CERTAIN SHARES   </w:t>
            </w:r>
            <w:r>
              <w:rPr>
                <w:rFonts w:ascii="MS PGothic" w:cs="MS PGothic" w:eastAsia="MS PGothic" w:hAnsi="MS PGothic"/>
                <w:sz w:val="18"/>
                <w:szCs w:val="18"/>
                <w:color w:val="auto"/>
                <w:w w:val="97"/>
              </w:rPr>
              <w:t>☐</w:t>
            </w:r>
          </w:p>
        </w:tc>
      </w:tr>
    </w:tbl>
    <w:p>
      <w:pPr>
        <w:spacing w:after="0" w:line="195" w:lineRule="exact"/>
        <w:rPr>
          <w:sz w:val="20"/>
          <w:szCs w:val="20"/>
          <w:color w:val="auto"/>
        </w:rPr>
      </w:pPr>
    </w:p>
    <w:p>
      <w:pPr>
        <w:ind w:left="1300" w:hanging="8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1.8%</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6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CALC IV LP</w:t>
      </w:r>
    </w:p>
    <w:p>
      <w:pPr>
        <w:spacing w:after="0" w:line="243" w:lineRule="exact"/>
        <w:rPr>
          <w:sz w:val="20"/>
          <w:szCs w:val="20"/>
          <w:color w:val="auto"/>
        </w:rPr>
      </w:pPr>
    </w:p>
    <w:p>
      <w:pPr>
        <w:ind w:left="1280" w:hanging="759"/>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1,517,533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40" w:type="dxa"/>
            <w:vAlign w:val="bottom"/>
          </w:tcPr>
          <w:p>
            <w:pPr>
              <w:ind w:left="300"/>
              <w:spacing w:after="0" w:line="207" w:lineRule="exact"/>
              <w:rPr>
                <w:sz w:val="20"/>
                <w:szCs w:val="20"/>
                <w:color w:val="auto"/>
              </w:rPr>
            </w:pPr>
            <w:r>
              <w:rPr>
                <w:rFonts w:ascii="Arial" w:cs="Arial" w:eastAsia="Arial" w:hAnsi="Arial"/>
                <w:sz w:val="18"/>
                <w:szCs w:val="18"/>
                <w:color w:val="auto"/>
                <w:w w:val="96"/>
              </w:rPr>
              <w:t xml:space="preserve">CHECK BOX IF THE AGGREGATE AMOUNT IN ROW (9) EXCLUDES CERTAIN SHARES   </w:t>
            </w:r>
            <w:r>
              <w:rPr>
                <w:rFonts w:ascii="MS PGothic" w:cs="MS PGothic" w:eastAsia="MS PGothic" w:hAnsi="MS PGothic"/>
                <w:sz w:val="18"/>
                <w:szCs w:val="18"/>
                <w:color w:val="auto"/>
                <w:w w:val="96"/>
              </w:rPr>
              <w:t>☐</w:t>
            </w:r>
          </w:p>
        </w:tc>
      </w:tr>
    </w:tbl>
    <w:p>
      <w:pPr>
        <w:spacing w:after="0" w:line="195" w:lineRule="exact"/>
        <w:rPr>
          <w:sz w:val="20"/>
          <w:szCs w:val="20"/>
          <w:color w:val="auto"/>
        </w:rPr>
      </w:pPr>
    </w:p>
    <w:p>
      <w:pPr>
        <w:ind w:left="1300" w:hanging="8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3.7%</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7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Securities GP LLC</w:t>
      </w:r>
    </w:p>
    <w:p>
      <w:pPr>
        <w:spacing w:after="0" w:line="243" w:lineRule="exact"/>
        <w:rPr>
          <w:sz w:val="20"/>
          <w:szCs w:val="20"/>
          <w:color w:val="auto"/>
        </w:rPr>
      </w:pPr>
    </w:p>
    <w:p>
      <w:pPr>
        <w:ind w:left="1280" w:hanging="759"/>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1,517,533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40" w:type="dxa"/>
            <w:vAlign w:val="bottom"/>
          </w:tcPr>
          <w:p>
            <w:pPr>
              <w:ind w:left="300"/>
              <w:spacing w:after="0" w:line="207" w:lineRule="exact"/>
              <w:rPr>
                <w:sz w:val="20"/>
                <w:szCs w:val="20"/>
                <w:color w:val="auto"/>
              </w:rPr>
            </w:pPr>
            <w:r>
              <w:rPr>
                <w:rFonts w:ascii="Arial" w:cs="Arial" w:eastAsia="Arial" w:hAnsi="Arial"/>
                <w:sz w:val="18"/>
                <w:szCs w:val="18"/>
                <w:color w:val="auto"/>
                <w:w w:val="96"/>
              </w:rPr>
              <w:t xml:space="preserve">CHECK BOX IF THE AGGREGATE AMOUNT IN ROW (9) EXCLUDES CERTAIN SHARES   </w:t>
            </w:r>
            <w:r>
              <w:rPr>
                <w:rFonts w:ascii="MS PGothic" w:cs="MS PGothic" w:eastAsia="MS PGothic" w:hAnsi="MS PGothic"/>
                <w:sz w:val="18"/>
                <w:szCs w:val="18"/>
                <w:color w:val="auto"/>
                <w:w w:val="96"/>
              </w:rPr>
              <w:t>☐</w:t>
            </w:r>
          </w:p>
        </w:tc>
      </w:tr>
    </w:tbl>
    <w:p>
      <w:pPr>
        <w:spacing w:after="0" w:line="195" w:lineRule="exact"/>
        <w:rPr>
          <w:sz w:val="20"/>
          <w:szCs w:val="20"/>
          <w:color w:val="auto"/>
        </w:rPr>
      </w:pPr>
    </w:p>
    <w:p>
      <w:pPr>
        <w:ind w:left="1300" w:hanging="8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3.7%</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8 of 14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Kenneth Griffin</w:t>
      </w:r>
    </w:p>
    <w:p>
      <w:pPr>
        <w:spacing w:after="0" w:line="243" w:lineRule="exact"/>
        <w:rPr>
          <w:sz w:val="20"/>
          <w:szCs w:val="20"/>
          <w:color w:val="auto"/>
        </w:rPr>
      </w:pPr>
    </w:p>
    <w:p>
      <w:pPr>
        <w:ind w:left="1280" w:hanging="759"/>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U.S. Citizen</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2,006,006 shares</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740" w:type="dxa"/>
            <w:vAlign w:val="bottom"/>
          </w:tcPr>
          <w:p>
            <w:pPr>
              <w:ind w:left="300"/>
              <w:spacing w:after="0" w:line="207" w:lineRule="exact"/>
              <w:rPr>
                <w:sz w:val="20"/>
                <w:szCs w:val="20"/>
                <w:color w:val="auto"/>
              </w:rPr>
            </w:pPr>
            <w:r>
              <w:rPr>
                <w:rFonts w:ascii="Arial" w:cs="Arial" w:eastAsia="Arial" w:hAnsi="Arial"/>
                <w:sz w:val="18"/>
                <w:szCs w:val="18"/>
                <w:color w:val="auto"/>
                <w:w w:val="96"/>
              </w:rPr>
              <w:t xml:space="preserve">CHECK BOX IF THE AGGREGATE AMOUNT IN ROW (9) EXCLUDES CERTAIN SHARES   </w:t>
            </w:r>
            <w:r>
              <w:rPr>
                <w:rFonts w:ascii="MS PGothic" w:cs="MS PGothic" w:eastAsia="MS PGothic" w:hAnsi="MS PGothic"/>
                <w:sz w:val="18"/>
                <w:szCs w:val="18"/>
                <w:color w:val="auto"/>
                <w:w w:val="96"/>
              </w:rPr>
              <w:t>☐</w:t>
            </w:r>
          </w:p>
        </w:tc>
      </w:tr>
    </w:tbl>
    <w:p>
      <w:pPr>
        <w:spacing w:after="0" w:line="195" w:lineRule="exact"/>
        <w:rPr>
          <w:sz w:val="20"/>
          <w:szCs w:val="20"/>
          <w:color w:val="auto"/>
        </w:rPr>
      </w:pPr>
    </w:p>
    <w:p>
      <w:pPr>
        <w:ind w:left="1300" w:hanging="8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4.9%</w:t>
      </w:r>
    </w:p>
    <w:p>
      <w:pPr>
        <w:spacing w:after="0" w:line="242" w:lineRule="exact"/>
        <w:rPr>
          <w:rFonts w:ascii="Arial" w:cs="Arial" w:eastAsia="Arial" w:hAnsi="Arial"/>
          <w:sz w:val="18"/>
          <w:szCs w:val="18"/>
          <w:color w:val="auto"/>
        </w:rPr>
      </w:pPr>
    </w:p>
    <w:p>
      <w:pPr>
        <w:ind w:left="1300" w:hanging="82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880" w:type="dxa"/>
            <w:vAlign w:val="bottom"/>
            <w:tcBorders>
              <w:top w:val="single" w:sz="8" w:color="auto"/>
              <w:left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1440" w:type="dxa"/>
            <w:vAlign w:val="bottom"/>
          </w:tcPr>
          <w:p>
            <w:pPr>
              <w:spacing w:after="0"/>
              <w:rPr>
                <w:sz w:val="19"/>
                <w:szCs w:val="19"/>
                <w:color w:val="auto"/>
              </w:rPr>
            </w:pPr>
          </w:p>
        </w:tc>
        <w:tc>
          <w:tcPr>
            <w:tcW w:w="24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Page 9 of 14 Pages</w:t>
            </w:r>
          </w:p>
        </w:tc>
      </w:tr>
      <w:tr>
        <w:trPr>
          <w:trHeight w:val="627"/>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360" w:type="dxa"/>
            <w:vAlign w:val="bottom"/>
            <w:gridSpan w:val="2"/>
          </w:tcPr>
          <w:p>
            <w:pPr>
              <w:ind w:left="420"/>
              <w:spacing w:after="0"/>
              <w:rPr>
                <w:sz w:val="20"/>
                <w:szCs w:val="20"/>
                <w:color w:val="auto"/>
              </w:rPr>
            </w:pPr>
            <w:r>
              <w:rPr>
                <w:rFonts w:ascii="Arial" w:cs="Arial" w:eastAsia="Arial" w:hAnsi="Arial"/>
                <w:sz w:val="18"/>
                <w:szCs w:val="18"/>
                <w:b w:val="1"/>
                <w:bCs w:val="1"/>
                <w:color w:val="auto"/>
              </w:rPr>
              <w:t>Name of Issuer</w:t>
            </w:r>
          </w:p>
        </w:tc>
        <w:tc>
          <w:tcPr>
            <w:tcW w:w="24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CrowdStrike Holdings, Inc.</w:t>
            </w:r>
          </w:p>
        </w:tc>
        <w:tc>
          <w:tcPr>
            <w:tcW w:w="24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360" w:type="dxa"/>
            <w:vAlign w:val="bottom"/>
            <w:gridSpan w:val="2"/>
          </w:tcPr>
          <w:p>
            <w:pPr>
              <w:ind w:left="420"/>
              <w:spacing w:after="0"/>
              <w:rPr>
                <w:sz w:val="20"/>
                <w:szCs w:val="20"/>
                <w:color w:val="auto"/>
              </w:rPr>
            </w:pPr>
            <w:r>
              <w:rPr>
                <w:rFonts w:ascii="Arial" w:cs="Arial" w:eastAsia="Arial" w:hAnsi="Arial"/>
                <w:sz w:val="18"/>
                <w:szCs w:val="18"/>
                <w:b w:val="1"/>
                <w:bCs w:val="1"/>
                <w:color w:val="auto"/>
                <w:w w:val="97"/>
              </w:rPr>
              <w:t>Address of Issuer’s Principal Executive Offices</w:t>
            </w:r>
          </w:p>
        </w:tc>
        <w:tc>
          <w:tcPr>
            <w:tcW w:w="24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6800" w:type="dxa"/>
            <w:vAlign w:val="bottom"/>
            <w:gridSpan w:val="3"/>
          </w:tcPr>
          <w:p>
            <w:pPr>
              <w:ind w:left="420"/>
              <w:spacing w:after="0"/>
              <w:rPr>
                <w:sz w:val="20"/>
                <w:szCs w:val="20"/>
                <w:color w:val="auto"/>
              </w:rPr>
            </w:pPr>
            <w:r>
              <w:rPr>
                <w:rFonts w:ascii="Arial" w:cs="Arial" w:eastAsia="Arial" w:hAnsi="Arial"/>
                <w:sz w:val="18"/>
                <w:szCs w:val="18"/>
                <w:color w:val="auto"/>
              </w:rPr>
              <w:t>150 Mathilda Place, Suite 300, Sunnyvale, California 94086</w:t>
            </w:r>
          </w:p>
        </w:tc>
        <w:tc>
          <w:tcPr>
            <w:tcW w:w="37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360" w:type="dxa"/>
            <w:vAlign w:val="bottom"/>
            <w:gridSpan w:val="2"/>
          </w:tcPr>
          <w:p>
            <w:pPr>
              <w:ind w:left="420"/>
              <w:spacing w:after="0"/>
              <w:rPr>
                <w:sz w:val="20"/>
                <w:szCs w:val="20"/>
                <w:color w:val="auto"/>
              </w:rPr>
            </w:pPr>
            <w:r>
              <w:rPr>
                <w:rFonts w:ascii="Arial" w:cs="Arial" w:eastAsia="Arial" w:hAnsi="Arial"/>
                <w:sz w:val="18"/>
                <w:szCs w:val="18"/>
                <w:b w:val="1"/>
                <w:bCs w:val="1"/>
                <w:color w:val="auto"/>
              </w:rPr>
              <w:t>Name of Person Filing</w:t>
            </w:r>
          </w:p>
        </w:tc>
        <w:tc>
          <w:tcPr>
            <w:tcW w:w="24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0540" w:type="dxa"/>
            <w:vAlign w:val="bottom"/>
            <w:gridSpan w:val="4"/>
          </w:tcPr>
          <w:p>
            <w:pPr>
              <w:ind w:left="420"/>
              <w:spacing w:after="0"/>
              <w:rPr>
                <w:sz w:val="20"/>
                <w:szCs w:val="20"/>
                <w:color w:val="auto"/>
              </w:rPr>
            </w:pPr>
            <w:r>
              <w:rPr>
                <w:rFonts w:ascii="Arial" w:cs="Arial" w:eastAsia="Arial" w:hAnsi="Arial"/>
                <w:sz w:val="18"/>
                <w:szCs w:val="18"/>
                <w:color w:val="auto"/>
                <w:w w:val="96"/>
              </w:rPr>
              <w:t>This Schedule 13G is being jointly filed by Citadel Advisors LLC (“Citadel Advisors”), Citadel Advisors Holdings LP (“CAH”), Citadel</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420"/>
              <w:spacing w:after="0"/>
              <w:rPr>
                <w:sz w:val="20"/>
                <w:szCs w:val="20"/>
                <w:color w:val="auto"/>
              </w:rPr>
            </w:pPr>
            <w:r>
              <w:rPr>
                <w:rFonts w:ascii="Arial" w:cs="Arial" w:eastAsia="Arial" w:hAnsi="Arial"/>
                <w:sz w:val="18"/>
                <w:szCs w:val="18"/>
                <w:color w:val="auto"/>
                <w:w w:val="96"/>
              </w:rPr>
              <w:t>GP LLC (“CGP”), Citadel Securities LLC (“Citadel Securities”), CALC IV LP (“CALC4”), Citadel Securities GP LLC (“CSGP”) and Mr.</w:t>
            </w:r>
          </w:p>
        </w:tc>
      </w:tr>
    </w:tbl>
    <w:p>
      <w:pPr>
        <w:ind w:left="1300" w:right="20"/>
        <w:spacing w:after="0" w:line="295" w:lineRule="auto"/>
        <w:rPr>
          <w:sz w:val="20"/>
          <w:szCs w:val="20"/>
          <w:color w:val="auto"/>
        </w:rPr>
      </w:pPr>
      <w:r>
        <w:rPr>
          <w:rFonts w:ascii="Arial" w:cs="Arial" w:eastAsia="Arial" w:hAnsi="Arial"/>
          <w:sz w:val="16"/>
          <w:szCs w:val="16"/>
          <w:color w:val="auto"/>
        </w:rPr>
        <w:t>Kenneth Griffin (collectively with Citadel Advisors, CAH, CGP, Citadel Securities, CALC4 and CSGP, the “Reporting Persons”) with respect to shares of Class A common stock (and options to purchase Class A common stock)] of the above-named issuer owned by Citadel Global Equities Master Fund Ltd., a Cayman Islands limited company (“CG”), Citadel Multi-Strategy Equities Master Fund Ltd., a Cayman Islands limited company (“CM”), Citadel Securities and CRBU Holdings LLC, a Delaware limited liability company (“CRBH”).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5"/>
              </w:rPr>
              <w:t>Citadel Advisors is the portfolio manager for CG and CM. CAH is the sole member of Citadel Advisors. CGP is the general partner of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6"/>
              </w:rPr>
              <w:t>CAH. CALC4 is the non-member manager of Citadel Securities and CRBH. CSGP is the general partner of CALC4. Mr. Griffin is the</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President and Chief Executive Officer of CGP, and owns a controlling interest in CGP and CSGP.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filing of this statement shall not be construed as an admission that any of the Reporting Persons is the beneficial owner of any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address of the principal business office of each of the Reporting Persons is 131 S. Dearborn Street, 32nd Floor, Chicago, Illinois 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5"/>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Class A common stock, par value $0.0005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22788C105</w:t>
            </w:r>
          </w:p>
        </w:tc>
      </w:tr>
      <w:tr>
        <w:trPr>
          <w:trHeight w:val="675"/>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tcPr>
          <w:p>
            <w:pPr>
              <w:spacing w:after="0"/>
              <w:rPr>
                <w:sz w:val="19"/>
                <w:szCs w:val="19"/>
                <w:color w:val="auto"/>
              </w:rPr>
            </w:pPr>
          </w:p>
        </w:tc>
        <w:tc>
          <w:tcPr>
            <w:tcW w:w="302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10 of 14 Pages</w:t>
            </w:r>
          </w:p>
        </w:tc>
      </w:tr>
      <w:tr>
        <w:trPr>
          <w:trHeight w:val="642"/>
        </w:trPr>
        <w:tc>
          <w:tcPr>
            <w:tcW w:w="7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640" w:type="dxa"/>
            <w:vAlign w:val="bottom"/>
            <w:gridSpan w:val="3"/>
          </w:tcPr>
          <w:p>
            <w:pPr>
              <w:ind w:left="52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bl>
    <w:p>
      <w:pPr>
        <w:spacing w:after="0" w:line="202" w:lineRule="exact"/>
        <w:rPr>
          <w:sz w:val="20"/>
          <w:szCs w:val="20"/>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600" w:hanging="1295"/>
        <w:spacing w:after="0" w:line="277"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w:t>
      </w:r>
      <w:r>
        <w:rPr>
          <w:rFonts w:ascii="Arial" w:cs="Arial" w:eastAsia="Arial" w:hAnsi="Arial"/>
          <w:sz w:val="16"/>
          <w:szCs w:val="16"/>
          <w:color w:val="auto"/>
        </w:rPr>
        <w:t>Group, in accordance with Rule 13d-1(b)(1)(ii)(K).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tcPr>
          <w:p>
            <w:pPr>
              <w:spacing w:after="0"/>
              <w:rPr>
                <w:sz w:val="19"/>
                <w:szCs w:val="19"/>
                <w:color w:val="auto"/>
              </w:rPr>
            </w:pPr>
          </w:p>
        </w:tc>
        <w:tc>
          <w:tcPr>
            <w:tcW w:w="302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11 of 14 Pages</w:t>
            </w:r>
          </w:p>
        </w:tc>
      </w:tr>
      <w:tr>
        <w:trPr>
          <w:trHeight w:val="426"/>
        </w:trPr>
        <w:tc>
          <w:tcPr>
            <w:tcW w:w="7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20" w:type="dxa"/>
            <w:vAlign w:val="bottom"/>
          </w:tcPr>
          <w:p>
            <w:pPr>
              <w:ind w:left="520"/>
              <w:spacing w:after="0"/>
              <w:rPr>
                <w:sz w:val="20"/>
                <w:szCs w:val="20"/>
                <w:color w:val="auto"/>
              </w:rPr>
            </w:pPr>
            <w:r>
              <w:rPr>
                <w:rFonts w:ascii="Arial" w:cs="Arial" w:eastAsia="Arial" w:hAnsi="Arial"/>
                <w:sz w:val="18"/>
                <w:szCs w:val="18"/>
                <w:b w:val="1"/>
                <w:bCs w:val="1"/>
                <w:color w:val="auto"/>
              </w:rPr>
              <w:t>Ownership</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Citadel Advisors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Citadel Advisors may be deemed to beneficially own 488,473 shares of Class A common stock.</w:t>
      </w:r>
    </w:p>
    <w:p>
      <w:pPr>
        <w:spacing w:after="0" w:line="225" w:lineRule="exact"/>
        <w:rPr>
          <w:rFonts w:ascii="Arial" w:cs="Arial" w:eastAsia="Arial" w:hAnsi="Arial"/>
          <w:sz w:val="18"/>
          <w:szCs w:val="18"/>
          <w:color w:val="auto"/>
        </w:rPr>
      </w:pPr>
    </w:p>
    <w:p>
      <w:pPr>
        <w:ind w:left="2600" w:right="180" w:hanging="647"/>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number of shares Citadel Advisors may be deemed to beneficially own constitutes approximately 1.2% of the Class A common stock outstanding.</w:t>
      </w:r>
    </w:p>
    <w:p>
      <w:pPr>
        <w:spacing w:after="0" w:line="170" w:lineRule="exact"/>
        <w:rPr>
          <w:rFonts w:ascii="Arial" w:cs="Arial" w:eastAsia="Arial" w:hAnsi="Arial"/>
          <w:sz w:val="18"/>
          <w:szCs w:val="18"/>
          <w:color w:val="auto"/>
        </w:rPr>
      </w:pPr>
    </w:p>
    <w:p>
      <w:pPr>
        <w:ind w:left="2460" w:hanging="507"/>
        <w:spacing w:after="0"/>
        <w:tabs>
          <w:tab w:leader="none" w:pos="2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 488,473</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488,473</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Citadel Advisors Holdings LP and Citadel GP LLC</w:t>
      </w:r>
    </w:p>
    <w:p>
      <w:pPr>
        <w:spacing w:after="0" w:line="225" w:lineRule="exact"/>
        <w:rPr>
          <w:rFonts w:ascii="Arial" w:cs="Arial" w:eastAsia="Arial" w:hAnsi="Arial"/>
          <w:sz w:val="18"/>
          <w:szCs w:val="18"/>
          <w:color w:val="auto"/>
        </w:rPr>
      </w:pPr>
    </w:p>
    <w:p>
      <w:pPr>
        <w:ind w:left="2600" w:right="160" w:hanging="647"/>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of Citadel Advisors Holdings LP and Citadel GP LLC may be deemed to beneficially own 488,473 shares of Class A common stock.</w:t>
      </w:r>
    </w:p>
    <w:p>
      <w:pPr>
        <w:spacing w:after="0" w:line="170" w:lineRule="exact"/>
        <w:rPr>
          <w:rFonts w:ascii="Arial" w:cs="Arial" w:eastAsia="Arial" w:hAnsi="Arial"/>
          <w:sz w:val="18"/>
          <w:szCs w:val="18"/>
          <w:color w:val="auto"/>
        </w:rPr>
      </w:pPr>
    </w:p>
    <w:p>
      <w:pPr>
        <w:ind w:left="2600" w:right="320" w:hanging="647"/>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number of shares each of Citadel Advisors Holdings LP and Citadel GP LLC may be deemed to beneficially own constitutes approximately 1.2% of the Class A common stock outstanding.</w:t>
      </w:r>
    </w:p>
    <w:p>
      <w:pPr>
        <w:spacing w:after="0" w:line="170" w:lineRule="exact"/>
        <w:rPr>
          <w:rFonts w:ascii="Arial" w:cs="Arial" w:eastAsia="Arial" w:hAnsi="Arial"/>
          <w:sz w:val="18"/>
          <w:szCs w:val="18"/>
          <w:color w:val="auto"/>
        </w:rPr>
      </w:pPr>
    </w:p>
    <w:p>
      <w:pPr>
        <w:ind w:left="2460" w:hanging="507"/>
        <w:spacing w:after="0"/>
        <w:tabs>
          <w:tab w:leader="none" w:pos="2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 488,473</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488,473</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748,157 shares of Class A common stock.</w:t>
      </w:r>
    </w:p>
    <w:p>
      <w:pPr>
        <w:spacing w:after="0" w:line="225" w:lineRule="exact"/>
        <w:rPr>
          <w:rFonts w:ascii="Arial" w:cs="Arial" w:eastAsia="Arial" w:hAnsi="Arial"/>
          <w:sz w:val="18"/>
          <w:szCs w:val="18"/>
          <w:color w:val="auto"/>
        </w:rPr>
      </w:pPr>
    </w:p>
    <w:p>
      <w:pPr>
        <w:ind w:left="2600" w:right="160" w:hanging="647"/>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LLC may be deemed to beneficially own constitutes approximately 1.8% of the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1" w:name="page12"/>
    <w:bookmarkEnd w:id="11"/>
    <w:p>
      <w:pPr>
        <w:spacing w:after="0"/>
        <w:tabs>
          <w:tab w:leader="none" w:pos="4500" w:val="left"/>
          <w:tab w:leader="none" w:pos="7740" w:val="left"/>
        </w:tabs>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-119380</wp:posOffset>
            </wp:positionV>
            <wp:extent cx="23926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2680" cy="15430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-119380</wp:posOffset>
            </wp:positionV>
            <wp:extent cx="24009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935" cy="154305"/>
                    </a:xfrm>
                    <a:prstGeom prst="rect">
                      <a:avLst/>
                    </a:prstGeom>
                    <a:noFill/>
                  </pic:spPr>
                </pic:pic>
              </a:graphicData>
            </a:graphic>
          </wp:anchor>
        </w:drawing>
      </w:r>
    </w:p>
    <w:p>
      <w:pPr>
        <w:sectPr>
          <w:pgSz w:w="11900" w:h="16838" w:orient="portrait"/>
          <w:cols w:equalWidth="0" w:num="1">
            <w:col w:w="10280"/>
          </w:cols>
          <w:pgMar w:left="1280" w:top="904"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560" w:hanging="647"/>
        <w:spacing w:after="0"/>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 748,157</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748,157</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 IV LP and Citadel Securities GP LLC</w:t>
      </w:r>
    </w:p>
    <w:p>
      <w:pPr>
        <w:spacing w:after="0" w:line="225" w:lineRule="exact"/>
        <w:rPr>
          <w:rFonts w:ascii="Arial" w:cs="Arial" w:eastAsia="Arial" w:hAnsi="Arial"/>
          <w:sz w:val="18"/>
          <w:szCs w:val="18"/>
          <w:color w:val="auto"/>
        </w:rPr>
      </w:pPr>
    </w:p>
    <w:p>
      <w:pPr>
        <w:ind w:left="1560" w:right="200" w:hanging="647"/>
        <w:spacing w:after="0" w:line="277" w:lineRule="auto"/>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CALC IV LP and Citadel Securities GP LLC may be deemed to beneficially own 1,517,533 shares of Class A common stock.</w:t>
      </w:r>
    </w:p>
    <w:p>
      <w:pPr>
        <w:spacing w:after="0" w:line="170" w:lineRule="exact"/>
        <w:rPr>
          <w:rFonts w:ascii="Arial" w:cs="Arial" w:eastAsia="Arial" w:hAnsi="Arial"/>
          <w:sz w:val="18"/>
          <w:szCs w:val="18"/>
          <w:color w:val="auto"/>
        </w:rPr>
      </w:pPr>
    </w:p>
    <w:p>
      <w:pPr>
        <w:ind w:left="1560" w:right="360" w:hanging="647"/>
        <w:spacing w:after="0" w:line="277" w:lineRule="auto"/>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that each of CALC IV LP and Citadel Securities GP LLC may be deemed to beneficially own constitutes approximately 3.7% of the Class A common stock outstanding.</w:t>
      </w:r>
    </w:p>
    <w:p>
      <w:pPr>
        <w:spacing w:after="0" w:line="170" w:lineRule="exact"/>
        <w:rPr>
          <w:rFonts w:ascii="Arial" w:cs="Arial" w:eastAsia="Arial" w:hAnsi="Arial"/>
          <w:sz w:val="18"/>
          <w:szCs w:val="18"/>
          <w:color w:val="auto"/>
        </w:rPr>
      </w:pPr>
    </w:p>
    <w:p>
      <w:pPr>
        <w:ind w:left="1420" w:hanging="507"/>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1,517,533</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1,517,533</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Mr. Griffin may be deemed to beneficially own 2,006,006 shares of Class A common stock.</w:t>
      </w:r>
    </w:p>
    <w:p>
      <w:pPr>
        <w:spacing w:after="0" w:line="225" w:lineRule="exact"/>
        <w:rPr>
          <w:rFonts w:ascii="Arial" w:cs="Arial" w:eastAsia="Arial" w:hAnsi="Arial"/>
          <w:sz w:val="18"/>
          <w:szCs w:val="18"/>
          <w:color w:val="auto"/>
        </w:rPr>
      </w:pPr>
    </w:p>
    <w:p>
      <w:pPr>
        <w:ind w:left="1560" w:hanging="647"/>
        <w:spacing w:after="0" w:line="277" w:lineRule="auto"/>
        <w:tabs>
          <w:tab w:leader="none" w:pos="15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that Mr. Griffin may be deemed to beneficially own constitutes approximately 4.9% of the Class A common stock outstanding.</w:t>
      </w:r>
    </w:p>
    <w:p>
      <w:pPr>
        <w:spacing w:after="0" w:line="170" w:lineRule="exact"/>
        <w:rPr>
          <w:rFonts w:ascii="Arial" w:cs="Arial" w:eastAsia="Arial" w:hAnsi="Arial"/>
          <w:sz w:val="18"/>
          <w:szCs w:val="18"/>
          <w:color w:val="auto"/>
        </w:rPr>
      </w:pPr>
    </w:p>
    <w:p>
      <w:pPr>
        <w:ind w:left="1420" w:hanging="507"/>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2,006,006</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00" w:hanging="639"/>
        <w:spacing w:after="0"/>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2,006,006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1280" w:top="904" w:right="33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1360" w:type="dxa"/>
            <w:vAlign w:val="bottom"/>
          </w:tcPr>
          <w:p>
            <w:pPr>
              <w:spacing w:after="0"/>
              <w:rPr>
                <w:sz w:val="19"/>
                <w:szCs w:val="19"/>
                <w:color w:val="auto"/>
              </w:rPr>
            </w:pPr>
          </w:p>
        </w:tc>
        <w:tc>
          <w:tcPr>
            <w:tcW w:w="252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13G</w:t>
            </w:r>
          </w:p>
        </w:tc>
        <w:tc>
          <w:tcPr>
            <w:tcW w:w="62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Page 13 of 14 Pages</w:t>
            </w:r>
          </w:p>
        </w:tc>
      </w:tr>
      <w:tr>
        <w:trPr>
          <w:trHeight w:val="627"/>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34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Ownership of Five Percent or Less of a Class</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83"/>
        </w:trPr>
        <w:tc>
          <w:tcPr>
            <w:tcW w:w="820" w:type="dxa"/>
            <w:vAlign w:val="bottom"/>
          </w:tcPr>
          <w:p>
            <w:pPr>
              <w:spacing w:after="0"/>
              <w:rPr>
                <w:sz w:val="15"/>
                <w:szCs w:val="15"/>
                <w:color w:val="auto"/>
              </w:rPr>
            </w:pPr>
          </w:p>
        </w:tc>
        <w:tc>
          <w:tcPr>
            <w:tcW w:w="10600" w:type="dxa"/>
            <w:vAlign w:val="bottom"/>
            <w:gridSpan w:val="5"/>
          </w:tcPr>
          <w:p>
            <w:pPr>
              <w:ind w:left="480"/>
              <w:spacing w:after="0" w:line="183" w:lineRule="exact"/>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820" w:type="dxa"/>
            <w:vAlign w:val="bottom"/>
          </w:tcPr>
          <w:p>
            <w:pPr>
              <w:spacing w:after="0"/>
              <w:rPr>
                <w:sz w:val="24"/>
                <w:szCs w:val="24"/>
                <w:color w:val="auto"/>
              </w:rPr>
            </w:pPr>
          </w:p>
        </w:tc>
        <w:tc>
          <w:tcPr>
            <w:tcW w:w="7480" w:type="dxa"/>
            <w:vAlign w:val="bottom"/>
            <w:gridSpan w:val="4"/>
          </w:tcPr>
          <w:p>
            <w:pPr>
              <w:ind w:left="480"/>
              <w:spacing w:after="0" w:line="207" w:lineRule="exact"/>
              <w:rPr>
                <w:sz w:val="20"/>
                <w:szCs w:val="20"/>
                <w:color w:val="auto"/>
              </w:rPr>
            </w:pPr>
            <w:r>
              <w:rPr>
                <w:rFonts w:ascii="Arial" w:cs="Arial" w:eastAsia="Arial" w:hAnsi="Arial"/>
                <w:sz w:val="18"/>
                <w:szCs w:val="18"/>
                <w:color w:val="auto"/>
              </w:rPr>
              <w:t xml:space="preserve">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3120" w:type="dxa"/>
            <w:vAlign w:val="bottom"/>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480" w:type="dxa"/>
            <w:vAlign w:val="bottom"/>
            <w:gridSpan w:val="4"/>
          </w:tcPr>
          <w:p>
            <w:pPr>
              <w:ind w:left="4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31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434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600" w:type="dxa"/>
            <w:vAlign w:val="bottom"/>
            <w:gridSpan w:val="5"/>
          </w:tcPr>
          <w:p>
            <w:pPr>
              <w:ind w:left="48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0"/>
        </w:trPr>
        <w:tc>
          <w:tcPr>
            <w:tcW w:w="820" w:type="dxa"/>
            <w:vAlign w:val="bottom"/>
          </w:tcPr>
          <w:p>
            <w:pPr>
              <w:spacing w:after="0"/>
              <w:rPr>
                <w:sz w:val="20"/>
                <w:szCs w:val="20"/>
                <w:color w:val="auto"/>
              </w:rPr>
            </w:pPr>
          </w:p>
        </w:tc>
        <w:tc>
          <w:tcPr>
            <w:tcW w:w="4340" w:type="dxa"/>
            <w:vAlign w:val="bottom"/>
            <w:gridSpan w:val="2"/>
          </w:tcPr>
          <w:p>
            <w:pPr>
              <w:ind w:left="480"/>
              <w:spacing w:after="0"/>
              <w:rPr>
                <w:sz w:val="20"/>
                <w:szCs w:val="20"/>
                <w:color w:val="auto"/>
              </w:rPr>
            </w:pPr>
            <w:r>
              <w:rPr>
                <w:rFonts w:ascii="Arial" w:cs="Arial" w:eastAsia="Arial" w:hAnsi="Arial"/>
                <w:sz w:val="18"/>
                <w:szCs w:val="18"/>
                <w:color w:val="auto"/>
              </w:rPr>
              <w:t>See Item 2 above</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480" w:type="dxa"/>
            <w:vAlign w:val="bottom"/>
            <w:gridSpan w:val="4"/>
          </w:tcPr>
          <w:p>
            <w:pPr>
              <w:ind w:left="48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1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434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340" w:type="dxa"/>
            <w:vAlign w:val="bottom"/>
            <w:gridSpan w:val="2"/>
          </w:tcPr>
          <w:p>
            <w:pPr>
              <w:ind w:left="480"/>
              <w:spacing w:after="0"/>
              <w:rPr>
                <w:sz w:val="20"/>
                <w:szCs w:val="20"/>
                <w:color w:val="auto"/>
              </w:rPr>
            </w:pPr>
            <w:r>
              <w:rPr>
                <w:rFonts w:ascii="Arial" w:cs="Arial" w:eastAsia="Arial" w:hAnsi="Arial"/>
                <w:sz w:val="18"/>
                <w:szCs w:val="18"/>
                <w:b w:val="1"/>
                <w:bCs w:val="1"/>
                <w:color w:val="auto"/>
              </w:rPr>
              <w:t>Notice of Dissolution of Group</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434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340" w:type="dxa"/>
            <w:vAlign w:val="bottom"/>
            <w:gridSpan w:val="2"/>
          </w:tcPr>
          <w:p>
            <w:pPr>
              <w:ind w:left="480"/>
              <w:spacing w:after="0"/>
              <w:rPr>
                <w:sz w:val="20"/>
                <w:szCs w:val="20"/>
                <w:color w:val="auto"/>
              </w:rPr>
            </w:pPr>
            <w:r>
              <w:rPr>
                <w:rFonts w:ascii="Arial" w:cs="Arial" w:eastAsia="Arial" w:hAnsi="Arial"/>
                <w:sz w:val="18"/>
                <w:szCs w:val="18"/>
                <w:b w:val="1"/>
                <w:bCs w:val="1"/>
                <w:color w:val="auto"/>
              </w:rPr>
              <w:t>Certification</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10600" w:type="dxa"/>
            <w:vAlign w:val="bottom"/>
            <w:gridSpan w:val="5"/>
          </w:tcPr>
          <w:p>
            <w:pPr>
              <w:ind w:left="48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820" w:type="dxa"/>
            <w:vAlign w:val="bottom"/>
          </w:tcPr>
          <w:p>
            <w:pPr>
              <w:spacing w:after="0"/>
              <w:rPr>
                <w:sz w:val="18"/>
                <w:szCs w:val="18"/>
                <w:color w:val="auto"/>
              </w:rPr>
            </w:pPr>
          </w:p>
        </w:tc>
        <w:tc>
          <w:tcPr>
            <w:tcW w:w="10600" w:type="dxa"/>
            <w:vAlign w:val="bottom"/>
            <w:gridSpan w:val="5"/>
          </w:tcPr>
          <w:p>
            <w:pPr>
              <w:ind w:left="48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30"/>
        </w:trPr>
        <w:tc>
          <w:tcPr>
            <w:tcW w:w="820" w:type="dxa"/>
            <w:vAlign w:val="bottom"/>
          </w:tcPr>
          <w:p>
            <w:pPr>
              <w:spacing w:after="0"/>
              <w:rPr>
                <w:sz w:val="20"/>
                <w:szCs w:val="20"/>
                <w:color w:val="auto"/>
              </w:rPr>
            </w:pPr>
          </w:p>
        </w:tc>
        <w:tc>
          <w:tcPr>
            <w:tcW w:w="7480" w:type="dxa"/>
            <w:vAlign w:val="bottom"/>
            <w:gridSpan w:val="4"/>
          </w:tcPr>
          <w:p>
            <w:pPr>
              <w:ind w:left="480"/>
              <w:spacing w:after="0"/>
              <w:rPr>
                <w:sz w:val="20"/>
                <w:szCs w:val="20"/>
                <w:color w:val="auto"/>
              </w:rPr>
            </w:pPr>
            <w:r>
              <w:rPr>
                <w:rFonts w:ascii="Arial" w:cs="Arial" w:eastAsia="Arial" w:hAnsi="Arial"/>
                <w:sz w:val="18"/>
                <w:szCs w:val="18"/>
                <w:color w:val="auto"/>
                <w:w w:val="97"/>
              </w:rPr>
              <w:t>held in connection with or as a participant in any transaction having that purpose or effect.</w:t>
            </w:r>
          </w:p>
        </w:tc>
        <w:tc>
          <w:tcPr>
            <w:tcW w:w="3120" w:type="dxa"/>
            <w:vAlign w:val="bottom"/>
          </w:tcPr>
          <w:p>
            <w:pPr>
              <w:spacing w:after="0"/>
              <w:rPr>
                <w:sz w:val="20"/>
                <w:szCs w:val="20"/>
                <w:color w:val="auto"/>
              </w:rPr>
            </w:pPr>
          </w:p>
        </w:tc>
      </w:tr>
      <w:tr>
        <w:trPr>
          <w:trHeight w:val="675"/>
        </w:trPr>
        <w:tc>
          <w:tcPr>
            <w:tcW w:w="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22788C105</w:t>
            </w:r>
          </w:p>
        </w:tc>
        <w:tc>
          <w:tcPr>
            <w:tcW w:w="3880" w:type="dxa"/>
            <w:vAlign w:val="bottom"/>
            <w:tcBorders>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14 of 14 Pages</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4240" w:type="dxa"/>
            <w:vAlign w:val="bottom"/>
            <w:gridSpan w:val="3"/>
          </w:tcPr>
          <w:p>
            <w:pPr>
              <w:spacing w:after="0"/>
              <w:rPr>
                <w:sz w:val="20"/>
                <w:szCs w:val="20"/>
                <w:color w:val="auto"/>
              </w:rPr>
            </w:pPr>
            <w:r>
              <w:rPr>
                <w:rFonts w:ascii="Arial" w:cs="Arial" w:eastAsia="Arial" w:hAnsi="Arial"/>
                <w:sz w:val="18"/>
                <w:szCs w:val="18"/>
                <w:color w:val="auto"/>
              </w:rPr>
              <w:t>Dated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January, 2020.</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CITADEL SECURITIES LLC</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CALC IV LP</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CITADEL SECURITIES GP LLC</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David Glockner, attorney-in-fact</w:t>
            </w:r>
          </w:p>
        </w:tc>
        <w:tc>
          <w:tcPr>
            <w:tcW w:w="80" w:type="dxa"/>
            <w:vAlign w:val="bottom"/>
            <w:tcBorders>
              <w:bottom w:val="single" w:sz="8" w:color="auto"/>
            </w:tcBorders>
            <w:vMerge w:val="continue"/>
          </w:tcPr>
          <w:p>
            <w:pPr>
              <w:spacing w:after="0"/>
              <w:rPr>
                <w:sz w:val="14"/>
                <w:szCs w:val="14"/>
                <w:color w:val="auto"/>
              </w:rPr>
            </w:pP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449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60" w:right="220" w:hanging="652"/>
        <w:spacing w:after="0" w:line="209" w:lineRule="auto"/>
        <w:tabs>
          <w:tab w:leader="none" w:pos="660" w:val="left"/>
        </w:tabs>
        <w:numPr>
          <w:ilvl w:val="0"/>
          <w:numId w:val="4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Class A common stock of CrowdStrike Holdings, Inc., a Delaware corporation, is being filed jointly with the Securities and Exchange Commission pursuant to Rule 13d-1(c) under the Securities Exchange Act of 1934, as amended, on behalf of each of the undersigned.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Agreement may be executed in counterparts and each of such counterparts taken together shall constitute one and the same instrument.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4240" w:type="dxa"/>
            <w:vAlign w:val="bottom"/>
            <w:gridSpan w:val="3"/>
          </w:tcPr>
          <w:p>
            <w:pPr>
              <w:spacing w:after="0"/>
              <w:rPr>
                <w:sz w:val="20"/>
                <w:szCs w:val="20"/>
                <w:color w:val="auto"/>
              </w:rPr>
            </w:pPr>
            <w:r>
              <w:rPr>
                <w:rFonts w:ascii="Arial" w:cs="Arial" w:eastAsia="Arial" w:hAnsi="Arial"/>
                <w:sz w:val="18"/>
                <w:szCs w:val="18"/>
                <w:color w:val="auto"/>
              </w:rPr>
              <w:t>Dated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January, 2020.</w:t>
            </w: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CITADEL SECURITIES LLC</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CALC IV LP</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CITADEL SECURITIES GP LLC</w:t>
            </w: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8"/>
                <w:szCs w:val="18"/>
                <w:color w:val="auto"/>
              </w:rPr>
              <w:t>By: /s/ Guy Miller</w:t>
            </w: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Guy Miller, Authorized Signatory</w:t>
            </w:r>
          </w:p>
        </w:tc>
        <w:tc>
          <w:tcPr>
            <w:tcW w:w="178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0" w:type="dxa"/>
            <w:vAlign w:val="bottom"/>
            <w:gridSpan w:val="5"/>
          </w:tcPr>
          <w:p>
            <w:pPr>
              <w:ind w:left="148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0" w:type="dxa"/>
            <w:vAlign w:val="bottom"/>
            <w:gridSpan w:val="5"/>
          </w:tcPr>
          <w:p>
            <w:pPr>
              <w:ind w:left="148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David Glockner, attorney-in-fact</w:t>
            </w:r>
          </w:p>
        </w:tc>
        <w:tc>
          <w:tcPr>
            <w:tcW w:w="80" w:type="dxa"/>
            <w:vAlign w:val="bottom"/>
            <w:tcBorders>
              <w:bottom w:val="single" w:sz="8" w:color="auto"/>
            </w:tcBorders>
            <w:vMerge w:val="continue"/>
          </w:tcPr>
          <w:p>
            <w:pPr>
              <w:spacing w:after="0"/>
              <w:rPr>
                <w:sz w:val="14"/>
                <w:szCs w:val="14"/>
                <w:color w:val="auto"/>
              </w:rPr>
            </w:pP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449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60" w:right="220" w:hanging="652"/>
        <w:spacing w:after="0" w:line="209" w:lineRule="auto"/>
        <w:tabs>
          <w:tab w:leader="none" w:pos="660" w:val="left"/>
        </w:tabs>
        <w:numPr>
          <w:ilvl w:val="0"/>
          <w:numId w:val="43"/>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decimal"/>
      <w:start w:val="1"/>
    </w:lvl>
    <w:lvl w:ilvl="1">
      <w:lvlJc w:val="left"/>
      <w:lvlText w:val="%2."/>
      <w:numFmt w:val="decimal"/>
      <w:start w:val="8"/>
    </w:lvl>
  </w:abstractNum>
  <w:abstractNum w:abstractNumId="4">
    <w:nsid w:val="75A2A8D4"/>
    <w:multiLevelType w:val="hybridMultilevel"/>
    <w:lvl w:ilvl="0">
      <w:lvlJc w:val="left"/>
      <w:lvlText w:val="%1."/>
      <w:numFmt w:val="decimal"/>
      <w:start w:val="9"/>
    </w:lvl>
    <w:lvl w:ilvl="1">
      <w:lvlJc w:val="left"/>
      <w:lvlText w:val="%2"/>
      <w:numFmt w:val="decimal"/>
      <w:start w:val="1"/>
    </w:lvl>
  </w:abstractNum>
  <w:abstractNum w:abstractNumId="5">
    <w:nsid w:val="8EDBDAB"/>
    <w:multiLevelType w:val="hybridMultilevel"/>
    <w:lvl w:ilvl="0">
      <w:lvlJc w:val="left"/>
      <w:lvlText w:val="%1."/>
      <w:numFmt w:val="decimal"/>
      <w:start w:val="11"/>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1"/>
    </w:lvl>
    <w:lvl w:ilvl="1">
      <w:lvlJc w:val="left"/>
      <w:lvlText w:val="%2."/>
      <w:numFmt w:val="decimal"/>
      <w:start w:val="8"/>
    </w:lvl>
  </w:abstractNum>
  <w:abstractNum w:abstractNumId="10">
    <w:nsid w:val="54E49EB4"/>
    <w:multiLevelType w:val="hybridMultilevel"/>
    <w:lvl w:ilvl="0">
      <w:lvlJc w:val="left"/>
      <w:lvlText w:val="%1."/>
      <w:numFmt w:val="decimal"/>
      <w:start w:val="9"/>
    </w:lvl>
    <w:lvl w:ilvl="1">
      <w:lvlJc w:val="left"/>
      <w:lvlText w:val="%2"/>
      <w:numFmt w:val="decimal"/>
      <w:start w:val="1"/>
    </w:lvl>
  </w:abstractNum>
  <w:abstractNum w:abstractNumId="11">
    <w:nsid w:val="71F32454"/>
    <w:multiLevelType w:val="hybridMultilevel"/>
    <w:lvl w:ilvl="0">
      <w:lvlJc w:val="left"/>
      <w:lvlText w:val="%1."/>
      <w:numFmt w:val="decimal"/>
      <w:start w:val="1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lvl w:ilvl="1">
      <w:lvlJc w:val="left"/>
      <w:lvlText w:val="(%2)"/>
      <w:numFmt w:val="lowerLetter"/>
      <w:start w:val="1"/>
    </w:lvl>
  </w:abstractNum>
  <w:abstractNum w:abstractNumId="14">
    <w:nsid w:val="2901D82"/>
    <w:multiLevelType w:val="hybridMultilevel"/>
    <w:lvl w:ilvl="0">
      <w:lvlJc w:val="left"/>
      <w:lvlText w:val="%1"/>
      <w:numFmt w:val="decimal"/>
      <w:start w:val="1"/>
    </w:lvl>
    <w:lvl w:ilvl="1">
      <w:lvlJc w:val="left"/>
      <w:lvlText w:val="%2."/>
      <w:numFmt w:val="decimal"/>
      <w:start w:val="8"/>
    </w:lvl>
  </w:abstractNum>
  <w:abstractNum w:abstractNumId="15">
    <w:nsid w:val="3A95F874"/>
    <w:multiLevelType w:val="hybridMultilevel"/>
    <w:lvl w:ilvl="0">
      <w:lvlJc w:val="left"/>
      <w:lvlText w:val="%1."/>
      <w:numFmt w:val="decimal"/>
      <w:start w:val="9"/>
    </w:lvl>
    <w:lvl w:ilvl="1">
      <w:lvlJc w:val="left"/>
      <w:lvlText w:val="%2"/>
      <w:numFmt w:val="decimal"/>
      <w:start w:val="1"/>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2"/>
    </w:lvl>
    <w:lvl w:ilvl="1">
      <w:lvlJc w:val="left"/>
      <w:lvlText w:val="(%2)"/>
      <w:numFmt w:val="lowerLetter"/>
      <w:start w:val="1"/>
    </w:lvl>
  </w:abstractNum>
  <w:abstractNum w:abstractNumId="19">
    <w:nsid w:val="737B8DDC"/>
    <w:multiLevelType w:val="hybridMultilevel"/>
    <w:lvl w:ilvl="0">
      <w:lvlJc w:val="left"/>
      <w:lvlText w:val="%1"/>
      <w:numFmt w:val="decimal"/>
      <w:start w:val="1"/>
    </w:lvl>
    <w:lvl w:ilvl="1">
      <w:lvlJc w:val="left"/>
      <w:lvlText w:val="%2."/>
      <w:numFmt w:val="decimal"/>
      <w:start w:val="8"/>
    </w:lvl>
  </w:abstractNum>
  <w:abstractNum w:abstractNumId="20">
    <w:nsid w:val="6CEAF087"/>
    <w:multiLevelType w:val="hybridMultilevel"/>
    <w:lvl w:ilvl="0">
      <w:lvlJc w:val="left"/>
      <w:lvlText w:val="%1."/>
      <w:numFmt w:val="decimal"/>
      <w:start w:val="9"/>
    </w:lvl>
    <w:lvl w:ilvl="1">
      <w:lvlJc w:val="left"/>
      <w:lvlText w:val="%2"/>
      <w:numFmt w:val="decimal"/>
      <w:start w:val="1"/>
    </w:lvl>
  </w:abstractNum>
  <w:abstractNum w:abstractNumId="21">
    <w:nsid w:val="22221A70"/>
    <w:multiLevelType w:val="hybridMultilevel"/>
    <w:lvl w:ilvl="0">
      <w:lvlJc w:val="left"/>
      <w:lvlText w:val="%1."/>
      <w:numFmt w:val="decimal"/>
      <w:start w:val="1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2"/>
    </w:lvl>
    <w:lvl w:ilvl="1">
      <w:lvlJc w:val="left"/>
      <w:lvlText w:val="(%2)"/>
      <w:numFmt w:val="lowerLetter"/>
      <w:start w:val="1"/>
    </w:lvl>
  </w:abstractNum>
  <w:abstractNum w:abstractNumId="24">
    <w:nsid w:val="614FD4A1"/>
    <w:multiLevelType w:val="hybridMultilevel"/>
    <w:lvl w:ilvl="0">
      <w:lvlJc w:val="left"/>
      <w:lvlText w:val="%1"/>
      <w:numFmt w:val="decimal"/>
      <w:start w:val="1"/>
    </w:lvl>
    <w:lvl w:ilvl="1">
      <w:lvlJc w:val="left"/>
      <w:lvlText w:val="%2."/>
      <w:numFmt w:val="decimal"/>
      <w:start w:val="8"/>
    </w:lvl>
  </w:abstractNum>
  <w:abstractNum w:abstractNumId="25">
    <w:nsid w:val="419AC241"/>
    <w:multiLevelType w:val="hybridMultilevel"/>
    <w:lvl w:ilvl="0">
      <w:lvlJc w:val="left"/>
      <w:lvlText w:val="%1."/>
      <w:numFmt w:val="decimal"/>
      <w:start w:val="9"/>
    </w:lvl>
    <w:lvl w:ilvl="1">
      <w:lvlJc w:val="left"/>
      <w:lvlText w:val="%2"/>
      <w:numFmt w:val="decimal"/>
      <w:start w:val="1"/>
    </w:lvl>
  </w:abstractNum>
  <w:abstractNum w:abstractNumId="26">
    <w:nsid w:val="5577F8E1"/>
    <w:multiLevelType w:val="hybridMultilevel"/>
    <w:lvl w:ilvl="0">
      <w:lvlJc w:val="left"/>
      <w:lvlText w:val="%1."/>
      <w:numFmt w:val="decimal"/>
      <w:start w:val="1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
    </w:lvl>
    <w:lvl w:ilvl="1">
      <w:lvlJc w:val="left"/>
      <w:lvlText w:val="(%2)"/>
      <w:numFmt w:val="lowerLetter"/>
      <w:start w:val="1"/>
    </w:lvl>
  </w:abstractNum>
  <w:abstractNum w:abstractNumId="29">
    <w:nsid w:val="3804823E"/>
    <w:multiLevelType w:val="hybridMultilevel"/>
    <w:lvl w:ilvl="0">
      <w:lvlJc w:val="left"/>
      <w:lvlText w:val="%1"/>
      <w:numFmt w:val="decimal"/>
      <w:start w:val="1"/>
    </w:lvl>
    <w:lvl w:ilvl="1">
      <w:lvlJc w:val="left"/>
      <w:lvlText w:val="%2."/>
      <w:numFmt w:val="decimal"/>
      <w:start w:val="8"/>
    </w:lvl>
  </w:abstractNum>
  <w:abstractNum w:abstractNumId="30">
    <w:nsid w:val="77465F01"/>
    <w:multiLevelType w:val="hybridMultilevel"/>
    <w:lvl w:ilvl="0">
      <w:lvlJc w:val="left"/>
      <w:lvlText w:val="%1."/>
      <w:numFmt w:val="decimal"/>
      <w:start w:val="9"/>
    </w:lvl>
    <w:lvl w:ilvl="1">
      <w:lvlJc w:val="left"/>
      <w:lvlText w:val="%2"/>
      <w:numFmt w:val="decimal"/>
      <w:start w:val="1"/>
    </w:lvl>
  </w:abstractNum>
  <w:abstractNum w:abstractNumId="31">
    <w:nsid w:val="7724C67E"/>
    <w:multiLevelType w:val="hybridMultilevel"/>
    <w:lvl w:ilvl="0">
      <w:lvlJc w:val="left"/>
      <w:lvlText w:val="%1."/>
      <w:numFmt w:val="decimal"/>
      <w:start w:val="1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2"/>
    </w:lvl>
    <w:lvl w:ilvl="1">
      <w:lvlJc w:val="left"/>
      <w:lvlText w:val="(%2)"/>
      <w:numFmt w:val="lowerLetter"/>
      <w:start w:val="1"/>
    </w:lvl>
  </w:abstractNum>
  <w:abstractNum w:abstractNumId="34">
    <w:nsid w:val="5E884ADC"/>
    <w:multiLevelType w:val="hybridMultilevel"/>
    <w:lvl w:ilvl="0">
      <w:lvlJc w:val="left"/>
      <w:lvlText w:val="%1"/>
      <w:numFmt w:val="decimal"/>
      <w:start w:val="1"/>
    </w:lvl>
    <w:lvl w:ilvl="1">
      <w:lvlJc w:val="left"/>
      <w:lvlText w:val="%2."/>
      <w:numFmt w:val="decimal"/>
      <w:start w:val="8"/>
    </w:lvl>
  </w:abstractNum>
  <w:abstractNum w:abstractNumId="35">
    <w:nsid w:val="51EAD36B"/>
    <w:multiLevelType w:val="hybridMultilevel"/>
    <w:lvl w:ilvl="0">
      <w:lvlJc w:val="left"/>
      <w:lvlText w:val="%1."/>
      <w:numFmt w:val="decimal"/>
      <w:start w:val="9"/>
    </w:lvl>
    <w:lvl w:ilvl="1">
      <w:lvlJc w:val="left"/>
      <w:lvlText w:val="%2"/>
      <w:numFmt w:val="decimal"/>
      <w:start w:val="1"/>
    </w:lvl>
  </w:abstractNum>
  <w:abstractNum w:abstractNumId="36">
    <w:nsid w:val="2D517796"/>
    <w:multiLevelType w:val="hybridMultilevel"/>
    <w:lvl w:ilvl="0">
      <w:lvlJc w:val="left"/>
      <w:lvlText w:val="%1."/>
      <w:numFmt w:val="decimal"/>
      <w:start w:val="1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3855585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0">
    <w:nsid w:val="70A64E2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2020-01-03T16:15:47Z</dcterms:created>
  <dcterms:modified xsi:type="dcterms:W3CDTF">2020-01-03T16:15:47Z</dcterms:modified>
</cp:coreProperties>
</file>