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90701.xml.htm"/>
      <w:bookmarkStart w:id="1" w:name="ksform407082026_09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OLEARY DENIS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7"/>
        <w:gridCol w:w="906"/>
        <w:gridCol w:w="776"/>
        <w:gridCol w:w="602"/>
        <w:gridCol w:w="348"/>
        <w:gridCol w:w="929"/>
        <w:gridCol w:w="451"/>
        <w:gridCol w:w="614"/>
        <w:gridCol w:w="1191"/>
        <w:gridCol w:w="995"/>
        <w:gridCol w:w="11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49,500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charitable remainder trust UAD 6/22/26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charitable remainder trust UAD 3/15/22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Hohnco,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2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Ryderco,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to be issued in connection with the vesting of one or more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July 2, 2026, the Issuer executed a four-for-one stock split with a record date of June 25, 2026, effected in the form of a one-time special stock dividend on each share of the company's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disclaims beneficial ownership of the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3512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3656</Characters>
  <CharactersWithSpaces>4270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