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Schumacher Laura J</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12/19/2025</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206 E. 9TH ST., STE. 1400</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12/19/2025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33</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9,200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 vested restricted stock units (RSUs) issued in lieu of quarterly cash retainer(s) payable under the issuer's Outsider Director Compensation Policy. The RSUs immediately converted into shares of the issuer's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9245"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2025-12-22T19:09:06Z</dcterms:created>
  <dcterms:modified xsi:type="dcterms:W3CDTF">2025-12-22T19:09:06Z</dcterms:modified>
</cp:coreProperties>
</file>