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1" w:lineRule="exact"/>
        <w:rPr>
          <w:sz w:val="24"/>
          <w:szCs w:val="24"/>
          <w:color w:val="auto"/>
        </w:rPr>
      </w:pPr>
    </w:p>
    <w:p>
      <w:pPr>
        <w:ind w:left="80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7" w:lineRule="exact"/>
        <w:rPr>
          <w:sz w:val="24"/>
          <w:szCs w:val="24"/>
          <w:color w:val="auto"/>
        </w:rPr>
      </w:pPr>
    </w:p>
    <w:p>
      <w:pPr>
        <w:ind w:left="320" w:right="40"/>
        <w:spacing w:after="0" w:line="26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-182880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58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583"/>
              <w:spacing w:after="0" w:line="121" w:lineRule="exact"/>
              <w:rPr>
                <w:sz w:val="20"/>
                <w:szCs w:val="20"/>
                <w:color w:val="auto"/>
              </w:rPr>
            </w:pPr>
            <w:r>
              <w:rPr>
                <w:rFonts w:ascii="Arial" w:cs="Arial" w:eastAsia="Arial" w:hAnsi="Arial"/>
                <w:sz w:val="12"/>
                <w:szCs w:val="12"/>
                <w:color w:val="auto"/>
                <w:w w:val="99"/>
              </w:rPr>
              <w:t>Washington, D.C. 20549</w:t>
            </w: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6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58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0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200" w:type="dxa"/>
            <w:vAlign w:val="bottom"/>
            <w:vMerge w:val="restart"/>
          </w:tcPr>
          <w:p>
            <w:pPr>
              <w:jc w:val="center"/>
              <w:ind w:right="58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2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5269865</wp:posOffset>
            </wp:positionH>
            <wp:positionV relativeFrom="paragraph">
              <wp:posOffset>-574675</wp:posOffset>
            </wp:positionV>
            <wp:extent cx="5524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801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-574675</wp:posOffset>
            </wp:positionV>
            <wp:extent cx="55245" cy="58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01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-1932940</wp:posOffset>
            </wp:positionH>
            <wp:positionV relativeFrom="paragraph">
              <wp:posOffset>12700</wp:posOffset>
            </wp:positionV>
            <wp:extent cx="7331075" cy="543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1075" cy="543560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300" w:space="720"/>
            <w:col w:w="8500"/>
          </w:cols>
          <w:pgMar w:left="240" w:top="215" w:right="139" w:bottom="1440" w:gutter="0" w:footer="0" w:header="0"/>
        </w:sectPr>
      </w:pPr>
    </w:p>
    <w:tbl>
      <w:tblPr>
        <w:tblLayout w:type="fixed"/>
        <w:tblInd w:w="60" w:type="dxa"/>
        <w:tblCellMar>
          <w:top w:w="0" w:type="dxa"/>
          <w:left w:w="0" w:type="dxa"/>
          <w:bottom w:w="0" w:type="dxa"/>
          <w:right w:w="0" w:type="dxa"/>
        </w:tblCellMar>
      </w:tblPr>
      <w:tr>
        <w:trPr>
          <w:trHeight w:val="218"/>
        </w:trPr>
        <w:tc>
          <w:tcPr>
            <w:tcW w:w="244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2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2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gridSpan w:val="3"/>
            <w:vMerge w:val="restart"/>
          </w:tcPr>
          <w:p>
            <w:pPr>
              <w:ind w:left="20"/>
              <w:spacing w:after="0"/>
              <w:rPr>
                <w:rFonts w:ascii="Arial" w:cs="Arial" w:eastAsia="Arial" w:hAnsi="Arial"/>
                <w:sz w:val="19"/>
                <w:szCs w:val="19"/>
                <w:color w:val="0000EE"/>
                <w:w w:val="87"/>
              </w:rPr>
            </w:pPr>
            <w:hyperlink r:id="rId12">
              <w:r>
                <w:rPr>
                  <w:rFonts w:ascii="Arial" w:cs="Arial" w:eastAsia="Arial" w:hAnsi="Arial"/>
                  <w:sz w:val="19"/>
                  <w:szCs w:val="19"/>
                  <w:color w:val="0000EE"/>
                  <w:w w:val="87"/>
                </w:rPr>
                <w:t>Landy Joseph P.</w:t>
              </w:r>
            </w:hyperlink>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0" w:type="dxa"/>
            <w:vAlign w:val="bottom"/>
            <w:gridSpan w:val="4"/>
          </w:tcPr>
          <w:p>
            <w:pPr>
              <w:ind w:left="60"/>
              <w:spacing w:after="0" w:line="16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CrowdStrike Holdings,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CRWD</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top w:val="single" w:sz="8" w:color="0000EE"/>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2"/>
                <w:szCs w:val="12"/>
                <w:color w:val="auto"/>
              </w:rPr>
              <w:t>(Last)</w:t>
            </w:r>
          </w:p>
        </w:tc>
        <w:tc>
          <w:tcPr>
            <w:tcW w:w="114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142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60" w:type="dxa"/>
            <w:vAlign w:val="bottom"/>
            <w:tcBorders>
              <w:bottom w:val="single" w:sz="8" w:color="2C2C2C"/>
            </w:tcBorders>
          </w:tcPr>
          <w:p>
            <w:pPr>
              <w:spacing w:after="0"/>
              <w:rPr>
                <w:sz w:val="9"/>
                <w:szCs w:val="9"/>
                <w:color w:val="auto"/>
              </w:rPr>
            </w:pPr>
          </w:p>
        </w:tc>
        <w:tc>
          <w:tcPr>
            <w:tcW w:w="18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3.</w:t>
            </w:r>
          </w:p>
        </w:tc>
        <w:tc>
          <w:tcPr>
            <w:tcW w:w="382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3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gridSpan w:val="4"/>
          </w:tcPr>
          <w:p>
            <w:pPr>
              <w:ind w:left="20"/>
              <w:spacing w:after="0"/>
              <w:rPr>
                <w:sz w:val="20"/>
                <w:szCs w:val="20"/>
                <w:color w:val="auto"/>
              </w:rPr>
            </w:pPr>
            <w:r>
              <w:rPr>
                <w:rFonts w:ascii="Arial" w:cs="Arial" w:eastAsia="Arial" w:hAnsi="Arial"/>
                <w:sz w:val="15"/>
                <w:szCs w:val="15"/>
                <w:color w:val="0000FF"/>
              </w:rPr>
              <w:t>C/O WARBURG PINCUS LLC</w:t>
            </w:r>
          </w:p>
        </w:tc>
        <w:tc>
          <w:tcPr>
            <w:tcW w:w="1420" w:type="dxa"/>
            <w:vAlign w:val="bottom"/>
          </w:tcPr>
          <w:p>
            <w:pPr>
              <w:spacing w:after="0"/>
              <w:rPr>
                <w:sz w:val="19"/>
                <w:szCs w:val="19"/>
                <w:color w:val="auto"/>
              </w:rPr>
            </w:pPr>
          </w:p>
        </w:tc>
        <w:tc>
          <w:tcPr>
            <w:tcW w:w="2220" w:type="dxa"/>
            <w:vAlign w:val="bottom"/>
            <w:gridSpan w:val="4"/>
          </w:tcPr>
          <w:p>
            <w:pPr>
              <w:ind w:left="140"/>
              <w:spacing w:after="0"/>
              <w:rPr>
                <w:sz w:val="20"/>
                <w:szCs w:val="20"/>
                <w:color w:val="auto"/>
              </w:rPr>
            </w:pPr>
            <w:r>
              <w:rPr>
                <w:rFonts w:ascii="Arial" w:cs="Arial" w:eastAsia="Arial" w:hAnsi="Arial"/>
                <w:sz w:val="15"/>
                <w:szCs w:val="15"/>
                <w:color w:val="0000FF"/>
              </w:rPr>
              <w:t>06/14/2019</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450 LEXINGTON AVENUE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6" w:right="980" w:hanging="6"/>
        <w:spacing w:after="0" w:line="235" w:lineRule="auto"/>
        <w:tabs>
          <w:tab w:leader="none" w:pos="13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6"/>
        <w:spacing w:after="0"/>
        <w:tabs>
          <w:tab w:leader="none" w:pos="526" w:val="left"/>
          <w:tab w:leader="none" w:pos="1846" w:val="left"/>
          <w:tab w:leader="none" w:pos="2166"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5"/>
          <w:szCs w:val="15"/>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0"/>
          <w:szCs w:val="20"/>
          <w:color w:val="auto"/>
        </w:rPr>
      </w:pPr>
    </w:p>
    <w:p>
      <w:pPr>
        <w:jc w:val="right"/>
        <w:ind w:right="54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46"/>
        <w:spacing w:after="0"/>
        <w:tabs>
          <w:tab w:leader="none" w:pos="216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54" w:lineRule="exact"/>
        <w:rPr>
          <w:sz w:val="20"/>
          <w:szCs w:val="20"/>
          <w:color w:val="auto"/>
        </w:rPr>
      </w:pPr>
    </w:p>
    <w:p>
      <w:pPr>
        <w:sectPr>
          <w:pgSz w:w="11900" w:h="16838" w:orient="portrait"/>
          <w:cols w:equalWidth="0" w:num="2">
            <w:col w:w="8000" w:space="54"/>
            <w:col w:w="3466"/>
          </w:cols>
          <w:pgMar w:left="240" w:top="215" w:right="13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140" w:type="dxa"/>
            <w:vAlign w:val="bottom"/>
          </w:tcPr>
          <w:p>
            <w:pPr>
              <w:spacing w:after="0"/>
              <w:rPr>
                <w:sz w:val="2"/>
                <w:szCs w:val="2"/>
                <w:color w:val="auto"/>
              </w:rPr>
            </w:pPr>
          </w:p>
        </w:tc>
        <w:tc>
          <w:tcPr>
            <w:tcW w:w="32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Pr>
          <w:p>
            <w:pPr>
              <w:spacing w:after="0"/>
              <w:rPr>
                <w:sz w:val="2"/>
                <w:szCs w:val="2"/>
                <w:color w:val="auto"/>
              </w:rPr>
            </w:pPr>
          </w:p>
        </w:tc>
        <w:tc>
          <w:tcPr>
            <w:tcW w:w="3600" w:type="dxa"/>
            <w:vAlign w:val="bottom"/>
            <w:gridSpan w:val="7"/>
            <w:vMerge w:val="restart"/>
          </w:tcPr>
          <w:p>
            <w:pPr>
              <w:ind w:left="22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60" w:type="dxa"/>
            <w:vAlign w:val="bottom"/>
            <w:gridSpan w:val="8"/>
            <w:vMerge w:val="continue"/>
          </w:tcPr>
          <w:p>
            <w:pPr>
              <w:spacing w:after="0"/>
              <w:rPr>
                <w:sz w:val="11"/>
                <w:szCs w:val="11"/>
                <w:color w:val="auto"/>
              </w:rPr>
            </w:pPr>
          </w:p>
        </w:tc>
        <w:tc>
          <w:tcPr>
            <w:tcW w:w="52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8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vMerge w:val="restart"/>
          </w:tcPr>
          <w:p>
            <w:pPr>
              <w:ind w:left="100"/>
              <w:spacing w:after="0"/>
              <w:rPr>
                <w:sz w:val="20"/>
                <w:szCs w:val="20"/>
                <w:color w:val="auto"/>
              </w:rPr>
            </w:pPr>
            <w:r>
              <w:rPr>
                <w:rFonts w:ascii="Arial" w:cs="Arial" w:eastAsia="Arial" w:hAnsi="Arial"/>
                <w:sz w:val="15"/>
                <w:szCs w:val="15"/>
                <w:color w:val="0000FF"/>
              </w:rPr>
              <w:t>X</w:t>
            </w:r>
          </w:p>
        </w:tc>
        <w:tc>
          <w:tcPr>
            <w:tcW w:w="3000" w:type="dxa"/>
            <w:vAlign w:val="bottom"/>
            <w:gridSpan w:val="5"/>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5"/>
                <w:szCs w:val="15"/>
                <w:color w:val="0000FF"/>
              </w:rPr>
              <w:t>NEW YORK</w:t>
            </w:r>
          </w:p>
        </w:tc>
        <w:tc>
          <w:tcPr>
            <w:tcW w:w="1040" w:type="dxa"/>
            <w:vAlign w:val="bottom"/>
            <w:vMerge w:val="restart"/>
          </w:tcPr>
          <w:p>
            <w:pPr>
              <w:ind w:left="20"/>
              <w:spacing w:after="0"/>
              <w:rPr>
                <w:sz w:val="20"/>
                <w:szCs w:val="20"/>
                <w:color w:val="auto"/>
              </w:rPr>
            </w:pPr>
            <w:r>
              <w:rPr>
                <w:rFonts w:ascii="Arial" w:cs="Arial" w:eastAsia="Arial" w:hAnsi="Arial"/>
                <w:sz w:val="15"/>
                <w:szCs w:val="15"/>
                <w:color w:val="0000FF"/>
              </w:rPr>
              <w:t>NY</w:t>
            </w:r>
          </w:p>
        </w:tc>
        <w:tc>
          <w:tcPr>
            <w:tcW w:w="980" w:type="dxa"/>
            <w:vAlign w:val="bottom"/>
            <w:vMerge w:val="restart"/>
          </w:tcPr>
          <w:p>
            <w:pPr>
              <w:ind w:left="260"/>
              <w:spacing w:after="0"/>
              <w:rPr>
                <w:sz w:val="20"/>
                <w:szCs w:val="20"/>
                <w:color w:val="auto"/>
              </w:rPr>
            </w:pPr>
            <w:r>
              <w:rPr>
                <w:rFonts w:ascii="Arial" w:cs="Arial" w:eastAsia="Arial" w:hAnsi="Arial"/>
                <w:sz w:val="15"/>
                <w:szCs w:val="15"/>
                <w:color w:val="0000FF"/>
              </w:rPr>
              <w:t>10017</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gridSpan w:val="5"/>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260"/>
              <w:spacing w:after="0"/>
              <w:rPr>
                <w:sz w:val="20"/>
                <w:szCs w:val="20"/>
                <w:color w:val="auto"/>
              </w:rPr>
            </w:pPr>
            <w:r>
              <w:rPr>
                <w:rFonts w:ascii="Arial" w:cs="Arial" w:eastAsia="Arial" w:hAnsi="Arial"/>
                <w:sz w:val="12"/>
                <w:szCs w:val="12"/>
                <w:color w:val="auto"/>
              </w:rPr>
              <w:t>(Zip)</w:t>
            </w: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3180" w:type="dxa"/>
            <w:vAlign w:val="bottom"/>
            <w:tcBorders>
              <w:bottom w:val="single" w:sz="8" w:color="2C2C2C"/>
            </w:tcBorders>
            <w:gridSpan w:val="8"/>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5"/>
          </w:tcPr>
          <w:p>
            <w:pPr>
              <w:ind w:left="4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0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1260" w:type="dxa"/>
            <w:vAlign w:val="bottom"/>
            <w:gridSpan w:val="3"/>
          </w:tcPr>
          <w:p>
            <w:pPr>
              <w:ind w:left="32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spacing w:after="0"/>
              <w:rPr>
                <w:sz w:val="13"/>
                <w:szCs w:val="13"/>
                <w:color w:val="auto"/>
              </w:rPr>
            </w:pPr>
          </w:p>
        </w:tc>
        <w:tc>
          <w:tcPr>
            <w:tcW w:w="52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3"/>
                <w:szCs w:val="13"/>
                <w:color w:val="auto"/>
              </w:rPr>
            </w:pPr>
          </w:p>
        </w:tc>
        <w:tc>
          <w:tcPr>
            <w:tcW w:w="1880" w:type="dxa"/>
            <w:vAlign w:val="bottom"/>
            <w:gridSpan w:val="4"/>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2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w w:val="98"/>
              </w:rPr>
              <w:t>6. Ownership</w:t>
            </w:r>
          </w:p>
        </w:tc>
        <w:tc>
          <w:tcPr>
            <w:tcW w:w="1040" w:type="dxa"/>
            <w:vAlign w:val="bottom"/>
            <w:gridSpan w:val="2"/>
          </w:tcPr>
          <w:p>
            <w:pPr>
              <w:ind w:left="2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gridSpan w:val="2"/>
          </w:tcPr>
          <w:p>
            <w:pPr>
              <w:ind w:left="320"/>
              <w:spacing w:after="0" w:line="116"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96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66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w w:val="92"/>
              </w:rPr>
              <w:t>Transaction</w:t>
            </w:r>
          </w:p>
        </w:tc>
        <w:tc>
          <w:tcPr>
            <w:tcW w:w="1880" w:type="dxa"/>
            <w:vAlign w:val="bottom"/>
            <w:gridSpan w:val="4"/>
          </w:tcPr>
          <w:p>
            <w:pPr>
              <w:ind w:left="180"/>
              <w:spacing w:after="0" w:line="116" w:lineRule="exact"/>
              <w:rPr>
                <w:sz w:val="20"/>
                <w:szCs w:val="20"/>
                <w:color w:val="auto"/>
              </w:rPr>
            </w:pPr>
            <w:r>
              <w:rPr>
                <w:rFonts w:ascii="Arial" w:cs="Arial" w:eastAsia="Arial" w:hAnsi="Arial"/>
                <w:sz w:val="11"/>
                <w:szCs w:val="11"/>
                <w:b w:val="1"/>
                <w:bCs w:val="1"/>
                <w:color w:val="auto"/>
                <w:w w:val="96"/>
              </w:rPr>
              <w:t>Disposed Of (D) (Instr. 3, 4 and 5)</w:t>
            </w:r>
          </w:p>
        </w:tc>
        <w:tc>
          <w:tcPr>
            <w:tcW w:w="260" w:type="dxa"/>
            <w:vAlign w:val="bottom"/>
          </w:tcPr>
          <w:p>
            <w:pPr>
              <w:spacing w:after="0"/>
              <w:rPr>
                <w:sz w:val="10"/>
                <w:szCs w:val="10"/>
                <w:color w:val="auto"/>
              </w:rPr>
            </w:pPr>
          </w:p>
        </w:tc>
        <w:tc>
          <w:tcPr>
            <w:tcW w:w="122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Securities</w:t>
            </w:r>
          </w:p>
        </w:tc>
        <w:tc>
          <w:tcPr>
            <w:tcW w:w="1780" w:type="dxa"/>
            <w:vAlign w:val="bottom"/>
            <w:gridSpan w:val="3"/>
          </w:tcPr>
          <w:p>
            <w:pPr>
              <w:ind w:left="40"/>
              <w:spacing w:after="0" w:line="116" w:lineRule="exact"/>
              <w:rPr>
                <w:sz w:val="20"/>
                <w:szCs w:val="20"/>
                <w:color w:val="auto"/>
              </w:rPr>
            </w:pPr>
            <w:r>
              <w:rPr>
                <w:rFonts w:ascii="Arial" w:cs="Arial" w:eastAsia="Arial" w:hAnsi="Arial"/>
                <w:sz w:val="11"/>
                <w:szCs w:val="11"/>
                <w:b w:val="1"/>
                <w:bCs w:val="1"/>
                <w:color w:val="auto"/>
              </w:rPr>
              <w:t>Form: Direct (D)   Indirect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60" w:type="dxa"/>
            <w:vAlign w:val="bottom"/>
            <w:gridSpan w:val="3"/>
          </w:tcPr>
          <w:p>
            <w:pPr>
              <w:ind w:left="320"/>
              <w:spacing w:after="0" w:line="119"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4"/>
              </w:rPr>
              <w:t>Code (Instr.</w:t>
            </w: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74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or Indirect (I)</w:t>
            </w:r>
          </w:p>
        </w:tc>
        <w:tc>
          <w:tcPr>
            <w:tcW w:w="1040" w:type="dxa"/>
            <w:vAlign w:val="bottom"/>
            <w:gridSpan w:val="2"/>
          </w:tcPr>
          <w:p>
            <w:pPr>
              <w:ind w:left="280"/>
              <w:spacing w:after="0" w:line="119"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52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74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(Instr. 4)</w:t>
            </w:r>
          </w:p>
        </w:tc>
        <w:tc>
          <w:tcPr>
            <w:tcW w:w="1040" w:type="dxa"/>
            <w:vAlign w:val="bottom"/>
            <w:gridSpan w:val="2"/>
          </w:tcPr>
          <w:p>
            <w:pPr>
              <w:ind w:left="280"/>
              <w:spacing w:after="0" w:line="119"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60"/>
              <w:spacing w:after="0" w:line="119" w:lineRule="exact"/>
              <w:rPr>
                <w:sz w:val="20"/>
                <w:szCs w:val="20"/>
                <w:color w:val="auto"/>
              </w:rPr>
            </w:pPr>
            <w:r>
              <w:rPr>
                <w:rFonts w:ascii="Arial" w:cs="Arial" w:eastAsia="Arial" w:hAnsi="Arial"/>
                <w:sz w:val="11"/>
                <w:szCs w:val="11"/>
                <w:b w:val="1"/>
                <w:bCs w:val="1"/>
                <w:color w:val="auto"/>
              </w:rPr>
              <w:t>Transaction(s) (Instr.</w:t>
            </w:r>
          </w:p>
        </w:tc>
        <w:tc>
          <w:tcPr>
            <w:tcW w:w="740" w:type="dxa"/>
            <w:vAlign w:val="bottom"/>
          </w:tcPr>
          <w:p>
            <w:pPr>
              <w:spacing w:after="0"/>
              <w:rPr>
                <w:sz w:val="5"/>
                <w:szCs w:val="5"/>
                <w:color w:val="auto"/>
              </w:rPr>
            </w:pPr>
          </w:p>
        </w:tc>
        <w:tc>
          <w:tcPr>
            <w:tcW w:w="1040" w:type="dxa"/>
            <w:vAlign w:val="bottom"/>
            <w:gridSpan w:val="2"/>
            <w:vMerge w:val="restart"/>
          </w:tcPr>
          <w:p>
            <w:pPr>
              <w:ind w:left="280"/>
              <w:spacing w:after="0" w:line="119"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10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(A) or</w:t>
            </w: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60" w:type="dxa"/>
            <w:vAlign w:val="bottom"/>
          </w:tcPr>
          <w:p>
            <w:pPr>
              <w:spacing w:after="0"/>
              <w:rPr>
                <w:sz w:val="10"/>
                <w:szCs w:val="10"/>
                <w:color w:val="auto"/>
              </w:rPr>
            </w:pPr>
          </w:p>
        </w:tc>
        <w:tc>
          <w:tcPr>
            <w:tcW w:w="12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3 and 4)</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gridSpan w:val="7"/>
          </w:tcPr>
          <w:p>
            <w:pPr>
              <w:spacing w:after="0"/>
              <w:rPr>
                <w:sz w:val="7"/>
                <w:szCs w:val="7"/>
                <w:color w:val="auto"/>
              </w:rPr>
            </w:pPr>
          </w:p>
        </w:tc>
        <w:tc>
          <w:tcPr>
            <w:tcW w:w="3180" w:type="dxa"/>
            <w:vAlign w:val="bottom"/>
            <w:tcBorders>
              <w:bottom w:val="single" w:sz="8" w:color="2C2C2C"/>
            </w:tcBorders>
            <w:gridSpan w:val="8"/>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20" w:type="dxa"/>
            <w:vAlign w:val="bottom"/>
            <w:gridSpan w:val="15"/>
          </w:tcPr>
          <w:p>
            <w:pPr>
              <w:ind w:left="60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0" w:type="dxa"/>
            <w:vAlign w:val="bottom"/>
            <w:gridSpan w:val="12"/>
          </w:tcPr>
          <w:p>
            <w:pPr>
              <w:ind w:left="2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5"/>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5"/>
              </w:rPr>
              <w:t>Conversion</w:t>
            </w:r>
          </w:p>
        </w:tc>
        <w:tc>
          <w:tcPr>
            <w:tcW w:w="10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6"/>
              </w:rPr>
              <w:t>Transaction</w:t>
            </w:r>
          </w:p>
        </w:tc>
        <w:tc>
          <w:tcPr>
            <w:tcW w:w="13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Derivative Securities</w:t>
            </w:r>
          </w:p>
        </w:tc>
        <w:tc>
          <w:tcPr>
            <w:tcW w:w="86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w w:val="99"/>
              </w:rPr>
              <w:t>Expiration Date</w:t>
            </w:r>
          </w:p>
        </w:tc>
        <w:tc>
          <w:tcPr>
            <w:tcW w:w="500" w:type="dxa"/>
            <w:vAlign w:val="bottom"/>
          </w:tcPr>
          <w:p>
            <w:pPr>
              <w:spacing w:after="0"/>
              <w:rPr>
                <w:sz w:val="10"/>
                <w:szCs w:val="10"/>
                <w:color w:val="auto"/>
              </w:rPr>
            </w:pPr>
          </w:p>
        </w:tc>
        <w:tc>
          <w:tcPr>
            <w:tcW w:w="13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8"/>
              </w:rPr>
              <w:t>Derivative</w:t>
            </w: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Ownership</w:t>
            </w:r>
          </w:p>
        </w:tc>
        <w:tc>
          <w:tcPr>
            <w:tcW w:w="10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Indirect Beneficial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7"/>
              </w:rPr>
              <w:t>or Exercise</w:t>
            </w:r>
          </w:p>
        </w:tc>
        <w:tc>
          <w:tcPr>
            <w:tcW w:w="10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9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8"/>
              </w:rPr>
              <w:t>Code (Instr.</w:t>
            </w:r>
          </w:p>
        </w:tc>
        <w:tc>
          <w:tcPr>
            <w:tcW w:w="13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Acquired (A) or</w:t>
            </w:r>
          </w:p>
        </w:tc>
        <w:tc>
          <w:tcPr>
            <w:tcW w:w="136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6"/>
              </w:rPr>
              <w:t>Derivative Security</w:t>
            </w:r>
          </w:p>
        </w:tc>
        <w:tc>
          <w:tcPr>
            <w:tcW w:w="34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Form:</w:t>
            </w:r>
          </w:p>
        </w:tc>
        <w:tc>
          <w:tcPr>
            <w:tcW w:w="10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8"/>
              </w:rPr>
              <w:t>Ownership (Instr.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(Month/Day/Year)</w:t>
            </w:r>
          </w:p>
        </w:tc>
        <w:tc>
          <w:tcPr>
            <w:tcW w:w="5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13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Disposed of (D) (Instr.</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Direct (D)</w:t>
            </w: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3, 4 and 5)</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or Indirect</w:t>
            </w: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vMerge w:val="restart"/>
          </w:tcPr>
          <w:p>
            <w:pPr>
              <w:ind w:left="80"/>
              <w:spacing w:after="0" w:line="119"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Following</w:t>
            </w:r>
          </w:p>
        </w:tc>
        <w:tc>
          <w:tcPr>
            <w:tcW w:w="740" w:type="dxa"/>
            <w:vAlign w:val="bottom"/>
            <w:vMerge w:val="restart"/>
          </w:tcPr>
          <w:p>
            <w:pPr>
              <w:ind w:left="80"/>
              <w:spacing w:after="0" w:line="119" w:lineRule="exact"/>
              <w:rPr>
                <w:sz w:val="20"/>
                <w:szCs w:val="20"/>
                <w:color w:val="auto"/>
              </w:rPr>
            </w:pPr>
            <w:r>
              <w:rPr>
                <w:rFonts w:ascii="Arial" w:cs="Arial" w:eastAsia="Arial" w:hAnsi="Arial"/>
                <w:sz w:val="11"/>
                <w:szCs w:val="11"/>
                <w:b w:val="1"/>
                <w:bCs w:val="1"/>
                <w:color w:val="auto"/>
              </w:rPr>
              <w:t>(I) (Instr. 4)</w:t>
            </w: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Amount or</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6"/>
              </w:rPr>
              <w:t>Expiration</w:t>
            </w:r>
          </w:p>
        </w:tc>
        <w:tc>
          <w:tcPr>
            <w:tcW w:w="520" w:type="dxa"/>
            <w:vAlign w:val="bottom"/>
          </w:tcPr>
          <w:p>
            <w:pPr>
              <w:spacing w:after="0"/>
              <w:rPr>
                <w:sz w:val="10"/>
                <w:szCs w:val="10"/>
                <w:color w:val="auto"/>
              </w:rPr>
            </w:pPr>
          </w:p>
        </w:tc>
        <w:tc>
          <w:tcPr>
            <w:tcW w:w="86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Number of</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800" w:type="dxa"/>
            <w:vAlign w:val="bottom"/>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68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80" w:type="dxa"/>
            <w:vAlign w:val="bottom"/>
          </w:tcPr>
          <w:p>
            <w:pPr>
              <w:ind w:left="200"/>
              <w:spacing w:after="0"/>
              <w:rPr>
                <w:sz w:val="20"/>
                <w:szCs w:val="20"/>
                <w:color w:val="auto"/>
              </w:rPr>
            </w:pPr>
            <w:r>
              <w:rPr>
                <w:rFonts w:ascii="Arial" w:cs="Arial" w:eastAsia="Arial" w:hAnsi="Arial"/>
                <w:sz w:val="10"/>
                <w:szCs w:val="10"/>
                <w:color w:val="008000"/>
              </w:rPr>
              <w:t>(1)(2)(6)</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89"/>
              </w:rPr>
              <w:t>06/14/2019</w:t>
            </w:r>
          </w:p>
        </w:tc>
        <w:tc>
          <w:tcPr>
            <w:tcW w:w="980" w:type="dxa"/>
            <w:vAlign w:val="bottom"/>
          </w:tcPr>
          <w:p>
            <w:pPr>
              <w:spacing w:after="0"/>
              <w:rPr>
                <w:sz w:val="22"/>
                <w:szCs w:val="2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1380" w:type="dxa"/>
            <w:vAlign w:val="bottom"/>
            <w:gridSpan w:val="2"/>
            <w:vMerge w:val="restart"/>
          </w:tcPr>
          <w:p>
            <w:pPr>
              <w:ind w:left="120"/>
              <w:spacing w:after="0"/>
              <w:rPr>
                <w:sz w:val="20"/>
                <w:szCs w:val="20"/>
                <w:color w:val="auto"/>
              </w:rPr>
            </w:pPr>
            <w:r>
              <w:rPr>
                <w:rFonts w:ascii="Arial" w:cs="Arial" w:eastAsia="Arial" w:hAnsi="Arial"/>
                <w:sz w:val="12"/>
                <w:szCs w:val="12"/>
                <w:color w:val="0000FF"/>
              </w:rPr>
              <w:t>54,938,776</w:t>
            </w:r>
          </w:p>
        </w:tc>
        <w:tc>
          <w:tcPr>
            <w:tcW w:w="160" w:type="dxa"/>
            <w:vAlign w:val="bottom"/>
          </w:tcPr>
          <w:p>
            <w:pPr>
              <w:spacing w:after="0"/>
              <w:rPr>
                <w:sz w:val="22"/>
                <w:szCs w:val="22"/>
                <w:color w:val="auto"/>
              </w:rPr>
            </w:pPr>
          </w:p>
        </w:tc>
        <w:tc>
          <w:tcPr>
            <w:tcW w:w="520" w:type="dxa"/>
            <w:vAlign w:val="bottom"/>
            <w:gridSpan w:val="2"/>
          </w:tcPr>
          <w:p>
            <w:pPr>
              <w:jc w:val="right"/>
              <w:ind w:right="107"/>
              <w:spacing w:after="0"/>
              <w:rPr>
                <w:sz w:val="20"/>
                <w:szCs w:val="20"/>
                <w:color w:val="auto"/>
              </w:rPr>
            </w:pPr>
            <w:r>
              <w:rPr>
                <w:rFonts w:ascii="Arial" w:cs="Arial" w:eastAsia="Arial" w:hAnsi="Arial"/>
                <w:sz w:val="10"/>
                <w:szCs w:val="10"/>
                <w:color w:val="008000"/>
                <w:w w:val="92"/>
              </w:rPr>
              <w:t>(1)(2)(6)</w:t>
            </w:r>
          </w:p>
        </w:tc>
        <w:tc>
          <w:tcPr>
            <w:tcW w:w="180" w:type="dxa"/>
            <w:vAlign w:val="bottom"/>
          </w:tcPr>
          <w:p>
            <w:pPr>
              <w:spacing w:after="0"/>
              <w:rPr>
                <w:sz w:val="22"/>
                <w:szCs w:val="22"/>
                <w:color w:val="auto"/>
              </w:rPr>
            </w:pPr>
          </w:p>
        </w:tc>
        <w:tc>
          <w:tcPr>
            <w:tcW w:w="500" w:type="dxa"/>
            <w:vAlign w:val="bottom"/>
          </w:tcPr>
          <w:p>
            <w:pPr>
              <w:jc w:val="center"/>
              <w:ind w:right="109"/>
              <w:spacing w:after="0"/>
              <w:rPr>
                <w:sz w:val="20"/>
                <w:szCs w:val="20"/>
                <w:color w:val="auto"/>
              </w:rPr>
            </w:pPr>
            <w:r>
              <w:rPr>
                <w:rFonts w:ascii="Arial" w:cs="Arial" w:eastAsia="Arial" w:hAnsi="Arial"/>
                <w:sz w:val="10"/>
                <w:szCs w:val="10"/>
                <w:color w:val="008000"/>
                <w:w w:val="92"/>
              </w:rPr>
              <w:t>(1)(2)(6)</w:t>
            </w:r>
          </w:p>
        </w:tc>
        <w:tc>
          <w:tcPr>
            <w:tcW w:w="520" w:type="dxa"/>
            <w:vAlign w:val="bottom"/>
          </w:tcPr>
          <w:p>
            <w:pPr>
              <w:jc w:val="center"/>
              <w:ind w:left="4"/>
              <w:spacing w:after="0"/>
              <w:rPr>
                <w:sz w:val="20"/>
                <w:szCs w:val="20"/>
                <w:color w:val="auto"/>
              </w:rPr>
            </w:pPr>
            <w:r>
              <w:rPr>
                <w:rFonts w:ascii="Arial" w:cs="Arial" w:eastAsia="Arial" w:hAnsi="Arial"/>
                <w:sz w:val="12"/>
                <w:szCs w:val="12"/>
                <w:color w:val="0000FF"/>
                <w:w w:val="91"/>
              </w:rPr>
              <w:t>Class A</w:t>
            </w:r>
          </w:p>
        </w:tc>
        <w:tc>
          <w:tcPr>
            <w:tcW w:w="86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0"/>
              </w:rPr>
              <w:t>54,938,776</w:t>
            </w:r>
          </w:p>
        </w:tc>
        <w:tc>
          <w:tcPr>
            <w:tcW w:w="640" w:type="dxa"/>
            <w:vAlign w:val="bottom"/>
            <w:gridSpan w:val="2"/>
          </w:tcPr>
          <w:p>
            <w:pPr>
              <w:jc w:val="center"/>
              <w:spacing w:after="0"/>
              <w:rPr>
                <w:sz w:val="20"/>
                <w:szCs w:val="20"/>
                <w:color w:val="auto"/>
              </w:rPr>
            </w:pPr>
            <w:r>
              <w:rPr>
                <w:rFonts w:ascii="Arial" w:cs="Arial" w:eastAsia="Arial" w:hAnsi="Arial"/>
                <w:sz w:val="10"/>
                <w:szCs w:val="10"/>
                <w:color w:val="008000"/>
                <w:w w:val="92"/>
              </w:rPr>
              <w:t>(1)(2)(6)</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89"/>
              </w:rPr>
              <w:t>54,938,776</w:t>
            </w:r>
          </w:p>
        </w:tc>
        <w:tc>
          <w:tcPr>
            <w:tcW w:w="740" w:type="dxa"/>
            <w:vAlign w:val="bottom"/>
            <w:vMerge w:val="restart"/>
          </w:tcPr>
          <w:p>
            <w:pPr>
              <w:ind w:left="320"/>
              <w:spacing w:after="0"/>
              <w:rPr>
                <w:sz w:val="20"/>
                <w:szCs w:val="20"/>
                <w:color w:val="auto"/>
              </w:rPr>
            </w:pPr>
            <w:r>
              <w:rPr>
                <w:rFonts w:ascii="Arial" w:cs="Arial" w:eastAsia="Arial" w:hAnsi="Arial"/>
                <w:sz w:val="12"/>
                <w:szCs w:val="12"/>
                <w:color w:val="0000FF"/>
              </w:rPr>
              <w:t>I</w:t>
            </w:r>
          </w:p>
        </w:tc>
        <w:tc>
          <w:tcPr>
            <w:tcW w:w="1040" w:type="dxa"/>
            <w:vAlign w:val="bottom"/>
            <w:gridSpan w:val="2"/>
          </w:tcPr>
          <w:p>
            <w:pPr>
              <w:spacing w:after="0"/>
              <w:rPr>
                <w:sz w:val="20"/>
                <w:szCs w:val="20"/>
                <w:color w:val="auto"/>
              </w:rPr>
            </w:pPr>
            <w:r>
              <w:rPr>
                <w:rFonts w:ascii="Arial" w:cs="Arial" w:eastAsia="Arial" w:hAnsi="Arial"/>
                <w:sz w:val="12"/>
                <w:szCs w:val="12"/>
                <w:color w:val="0000FF"/>
                <w:w w:val="81"/>
              </w:rPr>
              <w:t>See Footnotes</w:t>
            </w:r>
            <w:r>
              <w:rPr>
                <w:rFonts w:ascii="Arial" w:cs="Arial" w:eastAsia="Arial" w:hAnsi="Arial"/>
                <w:sz w:val="19"/>
                <w:szCs w:val="19"/>
                <w:color w:val="008000"/>
                <w:w w:val="81"/>
                <w:vertAlign w:val="superscript"/>
              </w:rPr>
              <w:t>(1)(2)(3)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680" w:type="dxa"/>
            <w:vAlign w:val="bottom"/>
            <w:gridSpan w:val="2"/>
          </w:tcPr>
          <w:p>
            <w:pPr>
              <w:ind w:left="60"/>
              <w:spacing w:after="0" w:line="49" w:lineRule="exact"/>
              <w:rPr>
                <w:sz w:val="20"/>
                <w:szCs w:val="20"/>
                <w:color w:val="auto"/>
              </w:rPr>
            </w:pPr>
            <w:r>
              <w:rPr>
                <w:rFonts w:ascii="Arial" w:cs="Arial" w:eastAsia="Arial" w:hAnsi="Arial"/>
                <w:sz w:val="5"/>
                <w:szCs w:val="5"/>
                <w:color w:val="0000FF"/>
              </w:rPr>
              <w:t>Common</w:t>
            </w:r>
          </w:p>
        </w:tc>
        <w:tc>
          <w:tcPr>
            <w:tcW w:w="6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jc w:val="center"/>
              <w:spacing w:after="0" w:line="49" w:lineRule="exact"/>
              <w:rPr>
                <w:sz w:val="20"/>
                <w:szCs w:val="20"/>
                <w:color w:val="auto"/>
              </w:rPr>
            </w:pPr>
            <w:r>
              <w:rPr>
                <w:rFonts w:ascii="Arial" w:cs="Arial" w:eastAsia="Arial" w:hAnsi="Arial"/>
                <w:sz w:val="5"/>
                <w:szCs w:val="5"/>
                <w:color w:val="0000FF"/>
              </w:rPr>
              <w:t>Common</w:t>
            </w:r>
          </w:p>
        </w:tc>
        <w:tc>
          <w:tcPr>
            <w:tcW w:w="8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20" w:type="dxa"/>
            <w:vAlign w:val="bottom"/>
          </w:tcPr>
          <w:p>
            <w:pPr>
              <w:spacing w:after="0" w:line="49" w:lineRule="exact"/>
              <w:rPr>
                <w:sz w:val="20"/>
                <w:szCs w:val="20"/>
                <w:color w:val="auto"/>
              </w:rPr>
            </w:pPr>
            <w:r>
              <w:rPr>
                <w:rFonts w:ascii="Arial" w:cs="Arial" w:eastAsia="Arial" w:hAnsi="Arial"/>
                <w:sz w:val="5"/>
                <w:szCs w:val="5"/>
                <w:color w:val="008000"/>
              </w:rPr>
              <w:t>(4)(5)</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8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jc w:val="center"/>
              <w:ind w:left="4"/>
              <w:spacing w:after="0"/>
              <w:rPr>
                <w:sz w:val="20"/>
                <w:szCs w:val="20"/>
                <w:color w:val="auto"/>
              </w:rPr>
            </w:pPr>
            <w:r>
              <w:rPr>
                <w:rFonts w:ascii="Arial" w:cs="Arial" w:eastAsia="Arial" w:hAnsi="Arial"/>
                <w:sz w:val="12"/>
                <w:szCs w:val="12"/>
                <w:color w:val="0000FF"/>
                <w:w w:val="86"/>
              </w:rPr>
              <w:t>Stock</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6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80" w:type="dxa"/>
            <w:vAlign w:val="bottom"/>
            <w:gridSpan w:val="2"/>
          </w:tcPr>
          <w:p>
            <w:pPr>
              <w:ind w:left="60"/>
              <w:spacing w:after="0"/>
              <w:rPr>
                <w:sz w:val="20"/>
                <w:szCs w:val="20"/>
                <w:color w:val="auto"/>
              </w:rPr>
            </w:pPr>
            <w:r>
              <w:rPr>
                <w:rFonts w:ascii="Arial" w:cs="Arial" w:eastAsia="Arial" w:hAnsi="Arial"/>
                <w:sz w:val="12"/>
                <w:szCs w:val="12"/>
                <w:color w:val="0000FF"/>
              </w:rPr>
              <w:t>Series A-1</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vMerge w:val="restart"/>
          </w:tcPr>
          <w:p>
            <w:pPr>
              <w:ind w:left="680"/>
              <w:spacing w:after="0"/>
              <w:rPr>
                <w:sz w:val="20"/>
                <w:szCs w:val="20"/>
                <w:color w:val="auto"/>
              </w:rPr>
            </w:pPr>
            <w:r>
              <w:rPr>
                <w:rFonts w:ascii="Arial" w:cs="Arial" w:eastAsia="Arial" w:hAnsi="Arial"/>
                <w:sz w:val="10"/>
                <w:szCs w:val="10"/>
                <w:color w:val="008000"/>
                <w:w w:val="87"/>
              </w:rPr>
              <w:t>(1)(2)(3)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2"/>
            <w:vMerge w:val="restart"/>
          </w:tcPr>
          <w:p>
            <w:pPr>
              <w:ind w:left="60"/>
              <w:spacing w:after="0" w:line="115" w:lineRule="exact"/>
              <w:rPr>
                <w:sz w:val="20"/>
                <w:szCs w:val="20"/>
                <w:color w:val="auto"/>
              </w:rPr>
            </w:pPr>
            <w:r>
              <w:rPr>
                <w:rFonts w:ascii="Arial" w:cs="Arial" w:eastAsia="Arial" w:hAnsi="Arial"/>
                <w:sz w:val="12"/>
                <w:szCs w:val="12"/>
                <w:color w:val="0000FF"/>
                <w:w w:val="98"/>
              </w:rPr>
              <w:t>Convertible</w:t>
            </w:r>
          </w:p>
        </w:tc>
        <w:tc>
          <w:tcPr>
            <w:tcW w:w="680" w:type="dxa"/>
            <w:vAlign w:val="bottom"/>
            <w:vMerge w:val="restart"/>
          </w:tcPr>
          <w:p>
            <w:pPr>
              <w:ind w:left="200"/>
              <w:spacing w:after="0"/>
              <w:rPr>
                <w:sz w:val="20"/>
                <w:szCs w:val="20"/>
                <w:color w:val="auto"/>
              </w:rPr>
            </w:pPr>
            <w:r>
              <w:rPr>
                <w:rFonts w:ascii="Arial" w:cs="Arial" w:eastAsia="Arial" w:hAnsi="Arial"/>
                <w:sz w:val="10"/>
                <w:szCs w:val="10"/>
                <w:color w:val="008000"/>
              </w:rPr>
              <w:t>(1)(2)(6)</w:t>
            </w: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restart"/>
          </w:tcPr>
          <w:p>
            <w:pPr>
              <w:jc w:val="right"/>
              <w:ind w:right="107"/>
              <w:spacing w:after="0"/>
              <w:rPr>
                <w:sz w:val="20"/>
                <w:szCs w:val="20"/>
                <w:color w:val="auto"/>
              </w:rPr>
            </w:pPr>
            <w:r>
              <w:rPr>
                <w:rFonts w:ascii="Arial" w:cs="Arial" w:eastAsia="Arial" w:hAnsi="Arial"/>
                <w:sz w:val="10"/>
                <w:szCs w:val="10"/>
                <w:color w:val="008000"/>
                <w:w w:val="92"/>
              </w:rPr>
              <w:t>(1)(2)(6)</w:t>
            </w:r>
          </w:p>
        </w:tc>
        <w:tc>
          <w:tcPr>
            <w:tcW w:w="180" w:type="dxa"/>
            <w:vAlign w:val="bottom"/>
          </w:tcPr>
          <w:p>
            <w:pPr>
              <w:spacing w:after="0"/>
              <w:rPr>
                <w:sz w:val="5"/>
                <w:szCs w:val="5"/>
                <w:color w:val="auto"/>
              </w:rPr>
            </w:pPr>
          </w:p>
        </w:tc>
        <w:tc>
          <w:tcPr>
            <w:tcW w:w="500" w:type="dxa"/>
            <w:vAlign w:val="bottom"/>
            <w:vMerge w:val="restart"/>
          </w:tcPr>
          <w:p>
            <w:pPr>
              <w:jc w:val="center"/>
              <w:ind w:right="109"/>
              <w:spacing w:after="0"/>
              <w:rPr>
                <w:sz w:val="20"/>
                <w:szCs w:val="20"/>
                <w:color w:val="auto"/>
              </w:rPr>
            </w:pPr>
            <w:r>
              <w:rPr>
                <w:rFonts w:ascii="Arial" w:cs="Arial" w:eastAsia="Arial" w:hAnsi="Arial"/>
                <w:sz w:val="10"/>
                <w:szCs w:val="10"/>
                <w:color w:val="008000"/>
                <w:w w:val="92"/>
              </w:rPr>
              <w:t>(1)(2)(6)</w:t>
            </w:r>
          </w:p>
        </w:tc>
        <w:tc>
          <w:tcPr>
            <w:tcW w:w="52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0"/>
              </w:rPr>
              <w:t>50,000,000</w:t>
            </w:r>
          </w:p>
        </w:tc>
        <w:tc>
          <w:tcPr>
            <w:tcW w:w="64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2"/>
              </w:rPr>
              <w:t>(1)(2)(6)</w:t>
            </w: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6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4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89"/>
              </w:rPr>
              <w:t>06/14/2019</w:t>
            </w:r>
          </w:p>
        </w:tc>
        <w:tc>
          <w:tcPr>
            <w:tcW w:w="980" w:type="dxa"/>
            <w:vAlign w:val="bottom"/>
          </w:tcPr>
          <w:p>
            <w:pPr>
              <w:spacing w:after="0"/>
              <w:rPr>
                <w:sz w:val="4"/>
                <w:szCs w:val="4"/>
                <w:color w:val="auto"/>
              </w:rPr>
            </w:pPr>
          </w:p>
        </w:tc>
        <w:tc>
          <w:tcPr>
            <w:tcW w:w="680" w:type="dxa"/>
            <w:vAlign w:val="bottom"/>
            <w:gridSpan w:val="2"/>
            <w:vMerge w:val="restart"/>
          </w:tcPr>
          <w:p>
            <w:pPr>
              <w:ind w:left="160"/>
              <w:spacing w:after="0" w:line="128" w:lineRule="exact"/>
              <w:rPr>
                <w:sz w:val="20"/>
                <w:szCs w:val="20"/>
                <w:color w:val="auto"/>
              </w:rPr>
            </w:pPr>
            <w:r>
              <w:rPr>
                <w:rFonts w:ascii="Arial" w:cs="Arial" w:eastAsia="Arial" w:hAnsi="Arial"/>
                <w:sz w:val="12"/>
                <w:szCs w:val="12"/>
                <w:color w:val="0000FF"/>
              </w:rPr>
              <w:t>C</w:t>
            </w:r>
          </w:p>
        </w:tc>
        <w:tc>
          <w:tcPr>
            <w:tcW w:w="580" w:type="dxa"/>
            <w:vAlign w:val="bottom"/>
          </w:tcPr>
          <w:p>
            <w:pPr>
              <w:spacing w:after="0"/>
              <w:rPr>
                <w:sz w:val="4"/>
                <w:szCs w:val="4"/>
                <w:color w:val="auto"/>
              </w:rPr>
            </w:pPr>
          </w:p>
        </w:tc>
        <w:tc>
          <w:tcPr>
            <w:tcW w:w="800" w:type="dxa"/>
            <w:vAlign w:val="bottom"/>
            <w:vMerge w:val="restart"/>
          </w:tcPr>
          <w:p>
            <w:pPr>
              <w:jc w:val="center"/>
              <w:ind w:left="84"/>
              <w:spacing w:after="0" w:line="128" w:lineRule="exact"/>
              <w:rPr>
                <w:sz w:val="20"/>
                <w:szCs w:val="20"/>
                <w:color w:val="auto"/>
              </w:rPr>
            </w:pPr>
            <w:r>
              <w:rPr>
                <w:rFonts w:ascii="Arial" w:cs="Arial" w:eastAsia="Arial" w:hAnsi="Arial"/>
                <w:sz w:val="12"/>
                <w:szCs w:val="12"/>
                <w:color w:val="0000FF"/>
                <w:w w:val="89"/>
              </w:rPr>
              <w:t>50,000,000</w:t>
            </w:r>
          </w:p>
        </w:tc>
        <w:tc>
          <w:tcPr>
            <w:tcW w:w="1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2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90"/>
              </w:rPr>
              <w:t>Common</w:t>
            </w:r>
          </w:p>
        </w:tc>
        <w:tc>
          <w:tcPr>
            <w:tcW w:w="86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89"/>
              </w:rPr>
              <w:t>0</w:t>
            </w:r>
          </w:p>
        </w:tc>
        <w:tc>
          <w:tcPr>
            <w:tcW w:w="740" w:type="dxa"/>
            <w:vAlign w:val="bottom"/>
            <w:vMerge w:val="restart"/>
          </w:tcPr>
          <w:p>
            <w:pPr>
              <w:ind w:left="320"/>
              <w:spacing w:after="0" w:line="128" w:lineRule="exact"/>
              <w:rPr>
                <w:sz w:val="20"/>
                <w:szCs w:val="20"/>
                <w:color w:val="auto"/>
              </w:rPr>
            </w:pPr>
            <w:r>
              <w:rPr>
                <w:rFonts w:ascii="Arial" w:cs="Arial" w:eastAsia="Arial" w:hAnsi="Arial"/>
                <w:sz w:val="12"/>
                <w:szCs w:val="12"/>
                <w:color w:val="0000FF"/>
              </w:rPr>
              <w:t>I</w:t>
            </w:r>
          </w:p>
        </w:tc>
        <w:tc>
          <w:tcPr>
            <w:tcW w:w="10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gridSpan w:val="2"/>
          </w:tcPr>
          <w:p>
            <w:pPr>
              <w:spacing w:after="0" w:line="71" w:lineRule="exact"/>
              <w:rPr>
                <w:sz w:val="20"/>
                <w:szCs w:val="20"/>
                <w:color w:val="auto"/>
              </w:rPr>
            </w:pPr>
            <w:r>
              <w:rPr>
                <w:rFonts w:ascii="Arial" w:cs="Arial" w:eastAsia="Arial" w:hAnsi="Arial"/>
                <w:sz w:val="8"/>
                <w:szCs w:val="8"/>
                <w:color w:val="0000FF"/>
              </w:rPr>
              <w:t>See Footnotes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restart"/>
          </w:tcPr>
          <w:p>
            <w:pPr>
              <w:jc w:val="center"/>
              <w:ind w:left="4"/>
              <w:spacing w:after="0"/>
              <w:rPr>
                <w:sz w:val="20"/>
                <w:szCs w:val="20"/>
                <w:color w:val="auto"/>
              </w:rPr>
            </w:pPr>
            <w:r>
              <w:rPr>
                <w:rFonts w:ascii="Arial" w:cs="Arial" w:eastAsia="Arial" w:hAnsi="Arial"/>
                <w:sz w:val="12"/>
                <w:szCs w:val="12"/>
                <w:color w:val="0000FF"/>
                <w:w w:val="86"/>
              </w:rPr>
              <w:t>Stock</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line="74" w:lineRule="exact"/>
              <w:rPr>
                <w:sz w:val="20"/>
                <w:szCs w:val="20"/>
                <w:color w:val="auto"/>
              </w:rPr>
            </w:pPr>
            <w:r>
              <w:rPr>
                <w:rFonts w:ascii="Arial" w:cs="Arial" w:eastAsia="Arial" w:hAnsi="Arial"/>
                <w:sz w:val="7"/>
                <w:szCs w:val="7"/>
                <w:color w:val="008000"/>
              </w:rPr>
              <w:t>(4)(5)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8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vMerge w:val="restart"/>
          </w:tcPr>
          <w:p>
            <w:pPr>
              <w:ind w:left="680"/>
              <w:spacing w:after="0"/>
              <w:rPr>
                <w:sz w:val="20"/>
                <w:szCs w:val="20"/>
                <w:color w:val="auto"/>
              </w:rPr>
            </w:pPr>
            <w:r>
              <w:rPr>
                <w:rFonts w:ascii="Arial" w:cs="Arial" w:eastAsia="Arial" w:hAnsi="Arial"/>
                <w:sz w:val="10"/>
                <w:szCs w:val="10"/>
                <w:color w:val="008000"/>
                <w:w w:val="87"/>
              </w:rPr>
              <w:t>(1)(2)(3)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2"/>
            <w:vMerge w:val="restart"/>
          </w:tcPr>
          <w:p>
            <w:pPr>
              <w:ind w:left="60"/>
              <w:spacing w:after="0" w:line="115" w:lineRule="exact"/>
              <w:rPr>
                <w:sz w:val="20"/>
                <w:szCs w:val="20"/>
                <w:color w:val="auto"/>
              </w:rPr>
            </w:pPr>
            <w:r>
              <w:rPr>
                <w:rFonts w:ascii="Arial" w:cs="Arial" w:eastAsia="Arial" w:hAnsi="Arial"/>
                <w:sz w:val="12"/>
                <w:szCs w:val="12"/>
                <w:color w:val="0000FF"/>
                <w:w w:val="98"/>
              </w:rPr>
              <w:t>Convertible</w:t>
            </w:r>
          </w:p>
        </w:tc>
        <w:tc>
          <w:tcPr>
            <w:tcW w:w="680" w:type="dxa"/>
            <w:vAlign w:val="bottom"/>
            <w:vMerge w:val="restart"/>
          </w:tcPr>
          <w:p>
            <w:pPr>
              <w:ind w:left="200"/>
              <w:spacing w:after="0"/>
              <w:rPr>
                <w:sz w:val="20"/>
                <w:szCs w:val="20"/>
                <w:color w:val="auto"/>
              </w:rPr>
            </w:pPr>
            <w:r>
              <w:rPr>
                <w:rFonts w:ascii="Arial" w:cs="Arial" w:eastAsia="Arial" w:hAnsi="Arial"/>
                <w:sz w:val="10"/>
                <w:szCs w:val="10"/>
                <w:color w:val="008000"/>
              </w:rPr>
              <w:t>(1)(2)(6)</w:t>
            </w: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restart"/>
          </w:tcPr>
          <w:p>
            <w:pPr>
              <w:jc w:val="right"/>
              <w:ind w:right="107"/>
              <w:spacing w:after="0"/>
              <w:rPr>
                <w:sz w:val="20"/>
                <w:szCs w:val="20"/>
                <w:color w:val="auto"/>
              </w:rPr>
            </w:pPr>
            <w:r>
              <w:rPr>
                <w:rFonts w:ascii="Arial" w:cs="Arial" w:eastAsia="Arial" w:hAnsi="Arial"/>
                <w:sz w:val="10"/>
                <w:szCs w:val="10"/>
                <w:color w:val="008000"/>
                <w:w w:val="92"/>
              </w:rPr>
              <w:t>(1)(2)(6)</w:t>
            </w:r>
          </w:p>
        </w:tc>
        <w:tc>
          <w:tcPr>
            <w:tcW w:w="180" w:type="dxa"/>
            <w:vAlign w:val="bottom"/>
          </w:tcPr>
          <w:p>
            <w:pPr>
              <w:spacing w:after="0"/>
              <w:rPr>
                <w:sz w:val="5"/>
                <w:szCs w:val="5"/>
                <w:color w:val="auto"/>
              </w:rPr>
            </w:pPr>
          </w:p>
        </w:tc>
        <w:tc>
          <w:tcPr>
            <w:tcW w:w="500" w:type="dxa"/>
            <w:vAlign w:val="bottom"/>
            <w:vMerge w:val="restart"/>
          </w:tcPr>
          <w:p>
            <w:pPr>
              <w:jc w:val="center"/>
              <w:ind w:right="109"/>
              <w:spacing w:after="0"/>
              <w:rPr>
                <w:sz w:val="20"/>
                <w:szCs w:val="20"/>
                <w:color w:val="auto"/>
              </w:rPr>
            </w:pPr>
            <w:r>
              <w:rPr>
                <w:rFonts w:ascii="Arial" w:cs="Arial" w:eastAsia="Arial" w:hAnsi="Arial"/>
                <w:sz w:val="10"/>
                <w:szCs w:val="10"/>
                <w:color w:val="008000"/>
                <w:w w:val="92"/>
              </w:rPr>
              <w:t>(1)(2)(6)</w:t>
            </w:r>
          </w:p>
        </w:tc>
        <w:tc>
          <w:tcPr>
            <w:tcW w:w="52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2"/>
              </w:rPr>
              <w:t>2,846,974</w:t>
            </w:r>
          </w:p>
        </w:tc>
        <w:tc>
          <w:tcPr>
            <w:tcW w:w="64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2"/>
              </w:rPr>
              <w:t>(1)(2)(6)</w:t>
            </w: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6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4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89"/>
              </w:rPr>
              <w:t>06/14/2019</w:t>
            </w:r>
          </w:p>
        </w:tc>
        <w:tc>
          <w:tcPr>
            <w:tcW w:w="980" w:type="dxa"/>
            <w:vAlign w:val="bottom"/>
          </w:tcPr>
          <w:p>
            <w:pPr>
              <w:spacing w:after="0"/>
              <w:rPr>
                <w:sz w:val="4"/>
                <w:szCs w:val="4"/>
                <w:color w:val="auto"/>
              </w:rPr>
            </w:pPr>
          </w:p>
        </w:tc>
        <w:tc>
          <w:tcPr>
            <w:tcW w:w="680" w:type="dxa"/>
            <w:vAlign w:val="bottom"/>
            <w:gridSpan w:val="2"/>
            <w:vMerge w:val="restart"/>
          </w:tcPr>
          <w:p>
            <w:pPr>
              <w:ind w:left="160"/>
              <w:spacing w:after="0" w:line="128" w:lineRule="exact"/>
              <w:rPr>
                <w:sz w:val="20"/>
                <w:szCs w:val="20"/>
                <w:color w:val="auto"/>
              </w:rPr>
            </w:pPr>
            <w:r>
              <w:rPr>
                <w:rFonts w:ascii="Arial" w:cs="Arial" w:eastAsia="Arial" w:hAnsi="Arial"/>
                <w:sz w:val="12"/>
                <w:szCs w:val="12"/>
                <w:color w:val="0000FF"/>
              </w:rPr>
              <w:t>C</w:t>
            </w:r>
          </w:p>
        </w:tc>
        <w:tc>
          <w:tcPr>
            <w:tcW w:w="580" w:type="dxa"/>
            <w:vAlign w:val="bottom"/>
          </w:tcPr>
          <w:p>
            <w:pPr>
              <w:spacing w:after="0"/>
              <w:rPr>
                <w:sz w:val="4"/>
                <w:szCs w:val="4"/>
                <w:color w:val="auto"/>
              </w:rPr>
            </w:pPr>
          </w:p>
        </w:tc>
        <w:tc>
          <w:tcPr>
            <w:tcW w:w="800" w:type="dxa"/>
            <w:vAlign w:val="bottom"/>
            <w:vMerge w:val="restart"/>
          </w:tcPr>
          <w:p>
            <w:pPr>
              <w:jc w:val="center"/>
              <w:ind w:left="64"/>
              <w:spacing w:after="0" w:line="128" w:lineRule="exact"/>
              <w:rPr>
                <w:sz w:val="20"/>
                <w:szCs w:val="20"/>
                <w:color w:val="auto"/>
              </w:rPr>
            </w:pPr>
            <w:r>
              <w:rPr>
                <w:rFonts w:ascii="Arial" w:cs="Arial" w:eastAsia="Arial" w:hAnsi="Arial"/>
                <w:sz w:val="12"/>
                <w:szCs w:val="12"/>
                <w:color w:val="0000FF"/>
                <w:w w:val="89"/>
              </w:rPr>
              <w:t>2,846,974</w:t>
            </w:r>
          </w:p>
        </w:tc>
        <w:tc>
          <w:tcPr>
            <w:tcW w:w="1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2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90"/>
              </w:rPr>
              <w:t>Common</w:t>
            </w:r>
          </w:p>
        </w:tc>
        <w:tc>
          <w:tcPr>
            <w:tcW w:w="86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89"/>
              </w:rPr>
              <w:t>0</w:t>
            </w:r>
          </w:p>
        </w:tc>
        <w:tc>
          <w:tcPr>
            <w:tcW w:w="740" w:type="dxa"/>
            <w:vAlign w:val="bottom"/>
            <w:vMerge w:val="restart"/>
          </w:tcPr>
          <w:p>
            <w:pPr>
              <w:ind w:left="320"/>
              <w:spacing w:after="0" w:line="128" w:lineRule="exact"/>
              <w:rPr>
                <w:sz w:val="20"/>
                <w:szCs w:val="20"/>
                <w:color w:val="auto"/>
              </w:rPr>
            </w:pPr>
            <w:r>
              <w:rPr>
                <w:rFonts w:ascii="Arial" w:cs="Arial" w:eastAsia="Arial" w:hAnsi="Arial"/>
                <w:sz w:val="12"/>
                <w:szCs w:val="12"/>
                <w:color w:val="0000FF"/>
              </w:rPr>
              <w:t>I</w:t>
            </w:r>
          </w:p>
        </w:tc>
        <w:tc>
          <w:tcPr>
            <w:tcW w:w="10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gridSpan w:val="2"/>
          </w:tcPr>
          <w:p>
            <w:pPr>
              <w:spacing w:after="0" w:line="71" w:lineRule="exact"/>
              <w:rPr>
                <w:sz w:val="20"/>
                <w:szCs w:val="20"/>
                <w:color w:val="auto"/>
              </w:rPr>
            </w:pPr>
            <w:r>
              <w:rPr>
                <w:rFonts w:ascii="Arial" w:cs="Arial" w:eastAsia="Arial" w:hAnsi="Arial"/>
                <w:sz w:val="8"/>
                <w:szCs w:val="8"/>
                <w:color w:val="0000FF"/>
              </w:rPr>
              <w:t>See Footnotes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restart"/>
          </w:tcPr>
          <w:p>
            <w:pPr>
              <w:jc w:val="center"/>
              <w:ind w:left="4"/>
              <w:spacing w:after="0"/>
              <w:rPr>
                <w:sz w:val="20"/>
                <w:szCs w:val="20"/>
                <w:color w:val="auto"/>
              </w:rPr>
            </w:pPr>
            <w:r>
              <w:rPr>
                <w:rFonts w:ascii="Arial" w:cs="Arial" w:eastAsia="Arial" w:hAnsi="Arial"/>
                <w:sz w:val="12"/>
                <w:szCs w:val="12"/>
                <w:color w:val="0000FF"/>
                <w:w w:val="86"/>
              </w:rPr>
              <w:t>Stock</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line="74" w:lineRule="exact"/>
              <w:rPr>
                <w:sz w:val="20"/>
                <w:szCs w:val="20"/>
                <w:color w:val="auto"/>
              </w:rPr>
            </w:pPr>
            <w:r>
              <w:rPr>
                <w:rFonts w:ascii="Arial" w:cs="Arial" w:eastAsia="Arial" w:hAnsi="Arial"/>
                <w:sz w:val="7"/>
                <w:szCs w:val="7"/>
                <w:color w:val="008000"/>
              </w:rPr>
              <w:t>(4)(5)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8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vMerge w:val="restart"/>
          </w:tcPr>
          <w:p>
            <w:pPr>
              <w:ind w:left="680"/>
              <w:spacing w:after="0"/>
              <w:rPr>
                <w:sz w:val="20"/>
                <w:szCs w:val="20"/>
                <w:color w:val="auto"/>
              </w:rPr>
            </w:pPr>
            <w:r>
              <w:rPr>
                <w:rFonts w:ascii="Arial" w:cs="Arial" w:eastAsia="Arial" w:hAnsi="Arial"/>
                <w:sz w:val="10"/>
                <w:szCs w:val="10"/>
                <w:color w:val="008000"/>
                <w:w w:val="87"/>
              </w:rPr>
              <w:t>(1)(2)(3)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2"/>
            <w:vMerge w:val="restart"/>
          </w:tcPr>
          <w:p>
            <w:pPr>
              <w:ind w:left="60"/>
              <w:spacing w:after="0" w:line="115" w:lineRule="exact"/>
              <w:rPr>
                <w:sz w:val="20"/>
                <w:szCs w:val="20"/>
                <w:color w:val="auto"/>
              </w:rPr>
            </w:pPr>
            <w:r>
              <w:rPr>
                <w:rFonts w:ascii="Arial" w:cs="Arial" w:eastAsia="Arial" w:hAnsi="Arial"/>
                <w:sz w:val="12"/>
                <w:szCs w:val="12"/>
                <w:color w:val="0000FF"/>
                <w:w w:val="98"/>
              </w:rPr>
              <w:t>Convertible</w:t>
            </w:r>
          </w:p>
        </w:tc>
        <w:tc>
          <w:tcPr>
            <w:tcW w:w="680" w:type="dxa"/>
            <w:vAlign w:val="bottom"/>
            <w:vMerge w:val="restart"/>
          </w:tcPr>
          <w:p>
            <w:pPr>
              <w:ind w:left="200"/>
              <w:spacing w:after="0"/>
              <w:rPr>
                <w:sz w:val="20"/>
                <w:szCs w:val="20"/>
                <w:color w:val="auto"/>
              </w:rPr>
            </w:pPr>
            <w:r>
              <w:rPr>
                <w:rFonts w:ascii="Arial" w:cs="Arial" w:eastAsia="Arial" w:hAnsi="Arial"/>
                <w:sz w:val="10"/>
                <w:szCs w:val="10"/>
                <w:color w:val="008000"/>
              </w:rPr>
              <w:t>(1)(2)(6)</w:t>
            </w: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restart"/>
          </w:tcPr>
          <w:p>
            <w:pPr>
              <w:jc w:val="right"/>
              <w:ind w:right="107"/>
              <w:spacing w:after="0"/>
              <w:rPr>
                <w:sz w:val="20"/>
                <w:szCs w:val="20"/>
                <w:color w:val="auto"/>
              </w:rPr>
            </w:pPr>
            <w:r>
              <w:rPr>
                <w:rFonts w:ascii="Arial" w:cs="Arial" w:eastAsia="Arial" w:hAnsi="Arial"/>
                <w:sz w:val="10"/>
                <w:szCs w:val="10"/>
                <w:color w:val="008000"/>
                <w:w w:val="92"/>
              </w:rPr>
              <w:t>(1)(2)(6)</w:t>
            </w:r>
          </w:p>
        </w:tc>
        <w:tc>
          <w:tcPr>
            <w:tcW w:w="180" w:type="dxa"/>
            <w:vAlign w:val="bottom"/>
          </w:tcPr>
          <w:p>
            <w:pPr>
              <w:spacing w:after="0"/>
              <w:rPr>
                <w:sz w:val="5"/>
                <w:szCs w:val="5"/>
                <w:color w:val="auto"/>
              </w:rPr>
            </w:pPr>
          </w:p>
        </w:tc>
        <w:tc>
          <w:tcPr>
            <w:tcW w:w="500" w:type="dxa"/>
            <w:vAlign w:val="bottom"/>
            <w:vMerge w:val="restart"/>
          </w:tcPr>
          <w:p>
            <w:pPr>
              <w:jc w:val="center"/>
              <w:ind w:right="109"/>
              <w:spacing w:after="0"/>
              <w:rPr>
                <w:sz w:val="20"/>
                <w:szCs w:val="20"/>
                <w:color w:val="auto"/>
              </w:rPr>
            </w:pPr>
            <w:r>
              <w:rPr>
                <w:rFonts w:ascii="Arial" w:cs="Arial" w:eastAsia="Arial" w:hAnsi="Arial"/>
                <w:sz w:val="10"/>
                <w:szCs w:val="10"/>
                <w:color w:val="008000"/>
                <w:w w:val="92"/>
              </w:rPr>
              <w:t>(1)(2)(6)</w:t>
            </w:r>
          </w:p>
        </w:tc>
        <w:tc>
          <w:tcPr>
            <w:tcW w:w="52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2"/>
              </w:rPr>
              <w:t>982,204</w:t>
            </w:r>
          </w:p>
        </w:tc>
        <w:tc>
          <w:tcPr>
            <w:tcW w:w="64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2"/>
              </w:rPr>
              <w:t>(1)(2)(6)</w:t>
            </w: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6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4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89"/>
              </w:rPr>
              <w:t>06/14/2019</w:t>
            </w:r>
          </w:p>
        </w:tc>
        <w:tc>
          <w:tcPr>
            <w:tcW w:w="980" w:type="dxa"/>
            <w:vAlign w:val="bottom"/>
          </w:tcPr>
          <w:p>
            <w:pPr>
              <w:spacing w:after="0"/>
              <w:rPr>
                <w:sz w:val="4"/>
                <w:szCs w:val="4"/>
                <w:color w:val="auto"/>
              </w:rPr>
            </w:pPr>
          </w:p>
        </w:tc>
        <w:tc>
          <w:tcPr>
            <w:tcW w:w="680" w:type="dxa"/>
            <w:vAlign w:val="bottom"/>
            <w:gridSpan w:val="2"/>
            <w:vMerge w:val="restart"/>
          </w:tcPr>
          <w:p>
            <w:pPr>
              <w:ind w:left="160"/>
              <w:spacing w:after="0" w:line="128" w:lineRule="exact"/>
              <w:rPr>
                <w:sz w:val="20"/>
                <w:szCs w:val="20"/>
                <w:color w:val="auto"/>
              </w:rPr>
            </w:pPr>
            <w:r>
              <w:rPr>
                <w:rFonts w:ascii="Arial" w:cs="Arial" w:eastAsia="Arial" w:hAnsi="Arial"/>
                <w:sz w:val="12"/>
                <w:szCs w:val="12"/>
                <w:color w:val="0000FF"/>
              </w:rPr>
              <w:t>C</w:t>
            </w:r>
          </w:p>
        </w:tc>
        <w:tc>
          <w:tcPr>
            <w:tcW w:w="580" w:type="dxa"/>
            <w:vAlign w:val="bottom"/>
          </w:tcPr>
          <w:p>
            <w:pPr>
              <w:spacing w:after="0"/>
              <w:rPr>
                <w:sz w:val="4"/>
                <w:szCs w:val="4"/>
                <w:color w:val="auto"/>
              </w:rPr>
            </w:pPr>
          </w:p>
        </w:tc>
        <w:tc>
          <w:tcPr>
            <w:tcW w:w="800" w:type="dxa"/>
            <w:vAlign w:val="bottom"/>
            <w:vMerge w:val="restart"/>
          </w:tcPr>
          <w:p>
            <w:pPr>
              <w:jc w:val="center"/>
              <w:ind w:left="84"/>
              <w:spacing w:after="0" w:line="128" w:lineRule="exact"/>
              <w:rPr>
                <w:sz w:val="20"/>
                <w:szCs w:val="20"/>
                <w:color w:val="auto"/>
              </w:rPr>
            </w:pPr>
            <w:r>
              <w:rPr>
                <w:rFonts w:ascii="Arial" w:cs="Arial" w:eastAsia="Arial" w:hAnsi="Arial"/>
                <w:sz w:val="12"/>
                <w:szCs w:val="12"/>
                <w:color w:val="0000FF"/>
                <w:w w:val="87"/>
              </w:rPr>
              <w:t>982,204</w:t>
            </w:r>
          </w:p>
        </w:tc>
        <w:tc>
          <w:tcPr>
            <w:tcW w:w="1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2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90"/>
              </w:rPr>
              <w:t>Common</w:t>
            </w:r>
          </w:p>
        </w:tc>
        <w:tc>
          <w:tcPr>
            <w:tcW w:w="86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89"/>
              </w:rPr>
              <w:t>0</w:t>
            </w:r>
          </w:p>
        </w:tc>
        <w:tc>
          <w:tcPr>
            <w:tcW w:w="740" w:type="dxa"/>
            <w:vAlign w:val="bottom"/>
            <w:vMerge w:val="restart"/>
          </w:tcPr>
          <w:p>
            <w:pPr>
              <w:ind w:left="320"/>
              <w:spacing w:after="0" w:line="128" w:lineRule="exact"/>
              <w:rPr>
                <w:sz w:val="20"/>
                <w:szCs w:val="20"/>
                <w:color w:val="auto"/>
              </w:rPr>
            </w:pPr>
            <w:r>
              <w:rPr>
                <w:rFonts w:ascii="Arial" w:cs="Arial" w:eastAsia="Arial" w:hAnsi="Arial"/>
                <w:sz w:val="12"/>
                <w:szCs w:val="12"/>
                <w:color w:val="0000FF"/>
              </w:rPr>
              <w:t>I</w:t>
            </w:r>
          </w:p>
        </w:tc>
        <w:tc>
          <w:tcPr>
            <w:tcW w:w="10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gridSpan w:val="2"/>
          </w:tcPr>
          <w:p>
            <w:pPr>
              <w:spacing w:after="0" w:line="71" w:lineRule="exact"/>
              <w:rPr>
                <w:sz w:val="20"/>
                <w:szCs w:val="20"/>
                <w:color w:val="auto"/>
              </w:rPr>
            </w:pPr>
            <w:r>
              <w:rPr>
                <w:rFonts w:ascii="Arial" w:cs="Arial" w:eastAsia="Arial" w:hAnsi="Arial"/>
                <w:sz w:val="8"/>
                <w:szCs w:val="8"/>
                <w:color w:val="0000FF"/>
              </w:rPr>
              <w:t>See Footnotes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restart"/>
          </w:tcPr>
          <w:p>
            <w:pPr>
              <w:jc w:val="center"/>
              <w:ind w:left="4"/>
              <w:spacing w:after="0"/>
              <w:rPr>
                <w:sz w:val="20"/>
                <w:szCs w:val="20"/>
                <w:color w:val="auto"/>
              </w:rPr>
            </w:pPr>
            <w:r>
              <w:rPr>
                <w:rFonts w:ascii="Arial" w:cs="Arial" w:eastAsia="Arial" w:hAnsi="Arial"/>
                <w:sz w:val="12"/>
                <w:szCs w:val="12"/>
                <w:color w:val="0000FF"/>
                <w:w w:val="86"/>
              </w:rPr>
              <w:t>Stock</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line="74" w:lineRule="exact"/>
              <w:rPr>
                <w:sz w:val="20"/>
                <w:szCs w:val="20"/>
                <w:color w:val="auto"/>
              </w:rPr>
            </w:pPr>
            <w:r>
              <w:rPr>
                <w:rFonts w:ascii="Arial" w:cs="Arial" w:eastAsia="Arial" w:hAnsi="Arial"/>
                <w:sz w:val="7"/>
                <w:szCs w:val="7"/>
                <w:color w:val="008000"/>
              </w:rPr>
              <w:t>(4)(5)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8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B</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vMerge w:val="restart"/>
          </w:tcPr>
          <w:p>
            <w:pPr>
              <w:ind w:left="680"/>
              <w:spacing w:after="0"/>
              <w:rPr>
                <w:sz w:val="20"/>
                <w:szCs w:val="20"/>
                <w:color w:val="auto"/>
              </w:rPr>
            </w:pPr>
            <w:r>
              <w:rPr>
                <w:rFonts w:ascii="Arial" w:cs="Arial" w:eastAsia="Arial" w:hAnsi="Arial"/>
                <w:sz w:val="10"/>
                <w:szCs w:val="10"/>
                <w:color w:val="008000"/>
                <w:w w:val="87"/>
              </w:rPr>
              <w:t>(1)(2)(3)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80" w:type="dxa"/>
            <w:vAlign w:val="bottom"/>
            <w:gridSpan w:val="2"/>
            <w:vMerge w:val="restart"/>
          </w:tcPr>
          <w:p>
            <w:pPr>
              <w:ind w:left="60"/>
              <w:spacing w:after="0" w:line="115" w:lineRule="exact"/>
              <w:rPr>
                <w:sz w:val="20"/>
                <w:szCs w:val="20"/>
                <w:color w:val="auto"/>
              </w:rPr>
            </w:pPr>
            <w:r>
              <w:rPr>
                <w:rFonts w:ascii="Arial" w:cs="Arial" w:eastAsia="Arial" w:hAnsi="Arial"/>
                <w:sz w:val="12"/>
                <w:szCs w:val="12"/>
                <w:color w:val="0000FF"/>
                <w:w w:val="98"/>
              </w:rPr>
              <w:t>Convertible</w:t>
            </w:r>
          </w:p>
        </w:tc>
        <w:tc>
          <w:tcPr>
            <w:tcW w:w="680" w:type="dxa"/>
            <w:vAlign w:val="bottom"/>
            <w:vMerge w:val="restart"/>
          </w:tcPr>
          <w:p>
            <w:pPr>
              <w:ind w:left="200"/>
              <w:spacing w:after="0"/>
              <w:rPr>
                <w:sz w:val="20"/>
                <w:szCs w:val="20"/>
                <w:color w:val="auto"/>
              </w:rPr>
            </w:pPr>
            <w:r>
              <w:rPr>
                <w:rFonts w:ascii="Arial" w:cs="Arial" w:eastAsia="Arial" w:hAnsi="Arial"/>
                <w:sz w:val="10"/>
                <w:szCs w:val="10"/>
                <w:color w:val="008000"/>
              </w:rPr>
              <w:t>(1)(2)(6)</w:t>
            </w: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gridSpan w:val="2"/>
            <w:vMerge w:val="restart"/>
          </w:tcPr>
          <w:p>
            <w:pPr>
              <w:jc w:val="right"/>
              <w:ind w:right="107"/>
              <w:spacing w:after="0"/>
              <w:rPr>
                <w:sz w:val="20"/>
                <w:szCs w:val="20"/>
                <w:color w:val="auto"/>
              </w:rPr>
            </w:pPr>
            <w:r>
              <w:rPr>
                <w:rFonts w:ascii="Arial" w:cs="Arial" w:eastAsia="Arial" w:hAnsi="Arial"/>
                <w:sz w:val="10"/>
                <w:szCs w:val="10"/>
                <w:color w:val="008000"/>
                <w:w w:val="92"/>
              </w:rPr>
              <w:t>(1)(2)(6)</w:t>
            </w:r>
          </w:p>
        </w:tc>
        <w:tc>
          <w:tcPr>
            <w:tcW w:w="180" w:type="dxa"/>
            <w:vAlign w:val="bottom"/>
          </w:tcPr>
          <w:p>
            <w:pPr>
              <w:spacing w:after="0"/>
              <w:rPr>
                <w:sz w:val="5"/>
                <w:szCs w:val="5"/>
                <w:color w:val="auto"/>
              </w:rPr>
            </w:pPr>
          </w:p>
        </w:tc>
        <w:tc>
          <w:tcPr>
            <w:tcW w:w="500" w:type="dxa"/>
            <w:vAlign w:val="bottom"/>
            <w:vMerge w:val="restart"/>
          </w:tcPr>
          <w:p>
            <w:pPr>
              <w:jc w:val="center"/>
              <w:ind w:right="109"/>
              <w:spacing w:after="0"/>
              <w:rPr>
                <w:sz w:val="20"/>
                <w:szCs w:val="20"/>
                <w:color w:val="auto"/>
              </w:rPr>
            </w:pPr>
            <w:r>
              <w:rPr>
                <w:rFonts w:ascii="Arial" w:cs="Arial" w:eastAsia="Arial" w:hAnsi="Arial"/>
                <w:sz w:val="10"/>
                <w:szCs w:val="10"/>
                <w:color w:val="008000"/>
                <w:w w:val="92"/>
              </w:rPr>
              <w:t>(1)(2)(6)</w:t>
            </w:r>
          </w:p>
        </w:tc>
        <w:tc>
          <w:tcPr>
            <w:tcW w:w="52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2"/>
              </w:rPr>
              <w:t>1,109,598</w:t>
            </w:r>
          </w:p>
        </w:tc>
        <w:tc>
          <w:tcPr>
            <w:tcW w:w="64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2"/>
              </w:rPr>
              <w:t>(1)(2)(6)</w:t>
            </w: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6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4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89"/>
              </w:rPr>
              <w:t>06/14/2019</w:t>
            </w:r>
          </w:p>
        </w:tc>
        <w:tc>
          <w:tcPr>
            <w:tcW w:w="980" w:type="dxa"/>
            <w:vAlign w:val="bottom"/>
          </w:tcPr>
          <w:p>
            <w:pPr>
              <w:spacing w:after="0"/>
              <w:rPr>
                <w:sz w:val="4"/>
                <w:szCs w:val="4"/>
                <w:color w:val="auto"/>
              </w:rPr>
            </w:pPr>
          </w:p>
        </w:tc>
        <w:tc>
          <w:tcPr>
            <w:tcW w:w="680" w:type="dxa"/>
            <w:vAlign w:val="bottom"/>
            <w:gridSpan w:val="2"/>
            <w:vMerge w:val="restart"/>
          </w:tcPr>
          <w:p>
            <w:pPr>
              <w:ind w:left="160"/>
              <w:spacing w:after="0" w:line="128" w:lineRule="exact"/>
              <w:rPr>
                <w:sz w:val="20"/>
                <w:szCs w:val="20"/>
                <w:color w:val="auto"/>
              </w:rPr>
            </w:pPr>
            <w:r>
              <w:rPr>
                <w:rFonts w:ascii="Arial" w:cs="Arial" w:eastAsia="Arial" w:hAnsi="Arial"/>
                <w:sz w:val="12"/>
                <w:szCs w:val="12"/>
                <w:color w:val="0000FF"/>
              </w:rPr>
              <w:t>C</w:t>
            </w:r>
          </w:p>
        </w:tc>
        <w:tc>
          <w:tcPr>
            <w:tcW w:w="580" w:type="dxa"/>
            <w:vAlign w:val="bottom"/>
          </w:tcPr>
          <w:p>
            <w:pPr>
              <w:spacing w:after="0"/>
              <w:rPr>
                <w:sz w:val="4"/>
                <w:szCs w:val="4"/>
                <w:color w:val="auto"/>
              </w:rPr>
            </w:pPr>
          </w:p>
        </w:tc>
        <w:tc>
          <w:tcPr>
            <w:tcW w:w="800" w:type="dxa"/>
            <w:vAlign w:val="bottom"/>
            <w:vMerge w:val="restart"/>
          </w:tcPr>
          <w:p>
            <w:pPr>
              <w:jc w:val="center"/>
              <w:ind w:left="64"/>
              <w:spacing w:after="0" w:line="128" w:lineRule="exact"/>
              <w:rPr>
                <w:sz w:val="20"/>
                <w:szCs w:val="20"/>
                <w:color w:val="auto"/>
              </w:rPr>
            </w:pPr>
            <w:r>
              <w:rPr>
                <w:rFonts w:ascii="Arial" w:cs="Arial" w:eastAsia="Arial" w:hAnsi="Arial"/>
                <w:sz w:val="12"/>
                <w:szCs w:val="12"/>
                <w:color w:val="0000FF"/>
                <w:w w:val="89"/>
              </w:rPr>
              <w:t>1,109,598</w:t>
            </w:r>
          </w:p>
        </w:tc>
        <w:tc>
          <w:tcPr>
            <w:tcW w:w="1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2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90"/>
              </w:rPr>
              <w:t>Common</w:t>
            </w:r>
          </w:p>
        </w:tc>
        <w:tc>
          <w:tcPr>
            <w:tcW w:w="86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vMerge w:val="restart"/>
          </w:tcPr>
          <w:p>
            <w:pPr>
              <w:jc w:val="center"/>
              <w:spacing w:after="0" w:line="128" w:lineRule="exact"/>
              <w:rPr>
                <w:sz w:val="20"/>
                <w:szCs w:val="20"/>
                <w:color w:val="auto"/>
              </w:rPr>
            </w:pPr>
            <w:r>
              <w:rPr>
                <w:rFonts w:ascii="Arial" w:cs="Arial" w:eastAsia="Arial" w:hAnsi="Arial"/>
                <w:sz w:val="12"/>
                <w:szCs w:val="12"/>
                <w:color w:val="0000FF"/>
                <w:w w:val="89"/>
              </w:rPr>
              <w:t>0</w:t>
            </w:r>
          </w:p>
        </w:tc>
        <w:tc>
          <w:tcPr>
            <w:tcW w:w="740" w:type="dxa"/>
            <w:vAlign w:val="bottom"/>
            <w:vMerge w:val="restart"/>
          </w:tcPr>
          <w:p>
            <w:pPr>
              <w:ind w:left="320"/>
              <w:spacing w:after="0" w:line="128" w:lineRule="exact"/>
              <w:rPr>
                <w:sz w:val="20"/>
                <w:szCs w:val="20"/>
                <w:color w:val="auto"/>
              </w:rPr>
            </w:pPr>
            <w:r>
              <w:rPr>
                <w:rFonts w:ascii="Arial" w:cs="Arial" w:eastAsia="Arial" w:hAnsi="Arial"/>
                <w:sz w:val="12"/>
                <w:szCs w:val="12"/>
                <w:color w:val="0000FF"/>
              </w:rPr>
              <w:t>I</w:t>
            </w:r>
          </w:p>
        </w:tc>
        <w:tc>
          <w:tcPr>
            <w:tcW w:w="10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gridSpan w:val="2"/>
          </w:tcPr>
          <w:p>
            <w:pPr>
              <w:spacing w:after="0" w:line="71" w:lineRule="exact"/>
              <w:rPr>
                <w:sz w:val="20"/>
                <w:szCs w:val="20"/>
                <w:color w:val="auto"/>
              </w:rPr>
            </w:pPr>
            <w:r>
              <w:rPr>
                <w:rFonts w:ascii="Arial" w:cs="Arial" w:eastAsia="Arial" w:hAnsi="Arial"/>
                <w:sz w:val="8"/>
                <w:szCs w:val="8"/>
                <w:color w:val="0000FF"/>
              </w:rPr>
              <w:t>See Footnotes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restart"/>
          </w:tcPr>
          <w:p>
            <w:pPr>
              <w:jc w:val="center"/>
              <w:ind w:left="4"/>
              <w:spacing w:after="0"/>
              <w:rPr>
                <w:sz w:val="20"/>
                <w:szCs w:val="20"/>
                <w:color w:val="auto"/>
              </w:rPr>
            </w:pPr>
            <w:r>
              <w:rPr>
                <w:rFonts w:ascii="Arial" w:cs="Arial" w:eastAsia="Arial" w:hAnsi="Arial"/>
                <w:sz w:val="12"/>
                <w:szCs w:val="12"/>
                <w:color w:val="0000FF"/>
                <w:w w:val="86"/>
              </w:rPr>
              <w:t>Stock</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line="74" w:lineRule="exact"/>
              <w:rPr>
                <w:sz w:val="20"/>
                <w:szCs w:val="20"/>
                <w:color w:val="auto"/>
              </w:rPr>
            </w:pPr>
            <w:r>
              <w:rPr>
                <w:rFonts w:ascii="Arial" w:cs="Arial" w:eastAsia="Arial" w:hAnsi="Arial"/>
                <w:sz w:val="7"/>
                <w:szCs w:val="7"/>
                <w:color w:val="008000"/>
              </w:rPr>
              <w:t>(4)(5)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220" w:hanging="10"/>
        <w:spacing w:after="0" w:line="261" w:lineRule="auto"/>
        <w:tabs>
          <w:tab w:leader="none" w:pos="15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Form 4 is filed on behalf of Joseph P. Landy. All shares indicated as indirectly owned by Mr. Landy are included because of his affiliation with the Warburg Pincus Entities (as defined below). Mr. Landy disclaims beneficial ownership of all shares held by the Warburg Pincus Entities. Warburg Pincus Private Equity X, L.P., a Delaware limited partnership ("WPPE X"), is a holder of record of 53,235,674 shares of Class B common stock, through the conversion of 48,450,000 shares of Series A-1 Convertible Preferred Stock (the "Series A-1 Preferred") of CrowdStrike Holdings, Inc. (the "Issuer"), 2,758,718 shares of Series B Convertible Preferred Stock (the "Series B Preferred") of the Issuer, 951,756 shares of Series C Convertible Preferred Stock (the "Series C Preferred") of the Issuer and 1,075,200 shares of Series D Convertible Preferred Stock (the "Series D Preferred") of the Issuer.</w:t>
      </w:r>
    </w:p>
    <w:p>
      <w:pPr>
        <w:spacing w:after="0" w:line="17" w:lineRule="exact"/>
        <w:rPr>
          <w:rFonts w:ascii="Arial" w:cs="Arial" w:eastAsia="Arial" w:hAnsi="Arial"/>
          <w:sz w:val="11"/>
          <w:szCs w:val="11"/>
          <w:color w:val="008000"/>
        </w:rPr>
      </w:pPr>
    </w:p>
    <w:p>
      <w:pPr>
        <w:ind w:left="40" w:right="140" w:hanging="10"/>
        <w:spacing w:after="0" w:line="234"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Warburg Pincus X Partners, L.P., a Delaware limited partnership ("WPXP" and together with WPPE X, the "WPP Funds"), is a holder of record of 1,703,102 shares of Class B common stock, through the conversion of 1,550,000 shares of Series A-1 Preferred of the Issuer, 88,256 of Series B Preferred of the Issuer, 30,448 of Series C Preferred of the Issuer and 34,398 of Series D Preferred of the Issuer. The Series A-1 Preferred, Series B Preferred, Series C Preferred and Series D Preferred converted into Class B common stock, without the payment of additional consideration by the holder, immediately prior to the completion of the Issuer's initial public offering on a one for one basis. This stock has no expiration date.</w:t>
      </w:r>
    </w:p>
    <w:p>
      <w:pPr>
        <w:spacing w:after="0" w:line="29" w:lineRule="exact"/>
        <w:rPr>
          <w:rFonts w:ascii="Arial" w:cs="Arial" w:eastAsia="Arial" w:hAnsi="Arial"/>
          <w:sz w:val="12"/>
          <w:szCs w:val="12"/>
          <w:color w:val="008000"/>
        </w:rPr>
      </w:pPr>
    </w:p>
    <w:p>
      <w:pPr>
        <w:jc w:val="both"/>
        <w:ind w:left="40" w:right="160" w:hanging="10"/>
        <w:spacing w:after="0" w:line="237"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Warburg Pincus X, L.P., a Delaware limited partnership ("WP X LP"), is the general partner of the WPP Funds. Warburg Pincus X GP L.P., a Delaware limited partnership ("WP X GP"), is the general partner of WP X LP. WPP GP LLC, a Delaware limited liability company ("WPP GP"), is the general partner of WP X GP. Warburg Pincus Partners, L.P., a Delaware limited partnership ("WP Partners"), is the managing member of WPP GP. Warburg Pincus Partners GP LLC, a Delaware limited liability company ("WP Partners GP"), is the general partner of WP Partners.</w:t>
      </w:r>
    </w:p>
    <w:p>
      <w:pPr>
        <w:spacing w:after="0" w:line="28" w:lineRule="exact"/>
        <w:rPr>
          <w:rFonts w:ascii="Arial" w:cs="Arial" w:eastAsia="Arial" w:hAnsi="Arial"/>
          <w:sz w:val="12"/>
          <w:szCs w:val="12"/>
          <w:color w:val="008000"/>
        </w:rPr>
      </w:pPr>
    </w:p>
    <w:p>
      <w:pPr>
        <w:ind w:left="40" w:right="180" w:hanging="10"/>
        <w:spacing w:after="0" w:line="237"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Warburg Pincus &amp; Co., a New York general partnership ("WP"), is the managing member of WP Partners GP. Warburg Pincus LLC, a New York limited liability company ("WP LLC"), is the manager of the WPP Funds. Charles R. Kaye and Joseph P. Landy are each Managing General Partners of WP and Managing Members and Co-Chief Executive Officers of WP LLC and may each be deemed to control the Warburg Pincus Entities. Mr. Landy disclaims beneficial ownership of all shares held by the Warburg Pincus Entities.</w:t>
      </w:r>
    </w:p>
    <w:p>
      <w:pPr>
        <w:spacing w:after="0" w:line="28" w:lineRule="exact"/>
        <w:rPr>
          <w:rFonts w:ascii="Arial" w:cs="Arial" w:eastAsia="Arial" w:hAnsi="Arial"/>
          <w:sz w:val="12"/>
          <w:szCs w:val="12"/>
          <w:color w:val="008000"/>
        </w:rPr>
      </w:pPr>
    </w:p>
    <w:p>
      <w:pPr>
        <w:ind w:left="140" w:hanging="110"/>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WPP Funds, WP X LP, WP X GP, WPP GP, WP Partners, WP Partners GP, WP and WP LLC are collectively referred to herein as the "Warburg Pincus Entities."</w:t>
      </w:r>
    </w:p>
    <w:p>
      <w:pPr>
        <w:spacing w:after="0" w:line="39" w:lineRule="exact"/>
        <w:rPr>
          <w:rFonts w:ascii="Arial" w:cs="Arial" w:eastAsia="Arial" w:hAnsi="Arial"/>
          <w:sz w:val="12"/>
          <w:szCs w:val="12"/>
          <w:color w:val="008000"/>
        </w:rPr>
      </w:pPr>
    </w:p>
    <w:p>
      <w:pPr>
        <w:ind w:left="40" w:right="140" w:hanging="10"/>
        <w:spacing w:after="0" w:line="245"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All shares of Class B common stock will automatically convert into shares of Class A common stock upon the occurrence of certain specified events.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58" w:lineRule="exact"/>
        <w:rPr>
          <w:sz w:val="20"/>
          <w:szCs w:val="20"/>
          <w:color w:val="auto"/>
        </w:rPr>
      </w:pPr>
    </w:p>
    <w:p>
      <w:pPr>
        <w:ind w:left="40" w:right="400"/>
        <w:spacing w:after="0" w:line="237" w:lineRule="auto"/>
        <w:rPr>
          <w:sz w:val="20"/>
          <w:szCs w:val="20"/>
          <w:color w:val="auto"/>
        </w:rPr>
      </w:pPr>
      <w:r>
        <w:rPr>
          <w:rFonts w:ascii="Arial" w:cs="Arial" w:eastAsia="Arial" w:hAnsi="Arial"/>
          <w:sz w:val="12"/>
          <w:szCs w:val="12"/>
          <w:color w:val="008000"/>
        </w:rPr>
        <w:t>This Form 4 is one of two Forms 4 filed relating to the same event. The Form 4 has been split into two filings because there are more than 10 reporting persons in total, and the SEC's EDGAR filing system limits a single Form 4 to a maximum of 10 reporting persons. The Power of Attorney given by Mr. Landy was previously filed with the U.S. Securities &amp; Exchange Commission on July 11, 2016 as exhibit 99.3 to the statement on Schedule 13D filed by Warburg Pincus LLC with respect to WEX Inc. and is hereby incorporated by reference.</w:t>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Steven G. Glenn, attorney-in-fact 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4356100</wp:posOffset>
            </wp:positionH>
            <wp:positionV relativeFrom="paragraph">
              <wp:posOffset>-6985</wp:posOffset>
            </wp:positionV>
            <wp:extent cx="18999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40" w:right="4680" w:hanging="10"/>
        <w:spacing w:after="0" w:line="334" w:lineRule="auto"/>
        <w:tabs>
          <w:tab w:leader="none" w:pos="16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0638" TargetMode="External"/><Relationship Id="rId13"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2019-12-23T20:35:03Z</dcterms:created>
  <dcterms:modified xsi:type="dcterms:W3CDTF">2019-12-23T20:35:03Z</dcterms:modified>
</cp:coreProperties>
</file>