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3"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6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31"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360" w:hanging="24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April 30, 2020</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360" w:hanging="26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transition period from to</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001-38933</w:t>
      </w:r>
    </w:p>
    <w:p>
      <w:pPr>
        <w:spacing w:after="0" w:line="26"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CROWDSTRIKE HOLDINGS, INC.</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6"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37" w:lineRule="exact"/>
        <w:rPr>
          <w:sz w:val="24"/>
          <w:szCs w:val="24"/>
          <w:color w:val="auto"/>
        </w:rPr>
      </w:pPr>
    </w:p>
    <w:tbl>
      <w:tblPr>
        <w:tblLayout w:type="fixed"/>
        <w:tblInd w:w="1080" w:type="dxa"/>
        <w:tblCellMar>
          <w:top w:w="0" w:type="dxa"/>
          <w:left w:w="0" w:type="dxa"/>
          <w:bottom w:w="0" w:type="dxa"/>
          <w:right w:w="0" w:type="dxa"/>
        </w:tblCellMar>
      </w:tblPr>
      <w:tr>
        <w:trPr>
          <w:trHeight w:val="210"/>
        </w:trPr>
        <w:tc>
          <w:tcPr>
            <w:tcW w:w="4660" w:type="dxa"/>
            <w:vAlign w:val="bottom"/>
          </w:tcPr>
          <w:p>
            <w:pPr>
              <w:jc w:val="center"/>
              <w:ind w:right="2639"/>
              <w:spacing w:after="0"/>
              <w:rPr>
                <w:sz w:val="20"/>
                <w:szCs w:val="20"/>
                <w:color w:val="auto"/>
              </w:rPr>
            </w:pPr>
            <w:r>
              <w:rPr>
                <w:rFonts w:ascii="Arial" w:cs="Arial" w:eastAsia="Arial" w:hAnsi="Arial"/>
                <w:sz w:val="16"/>
                <w:szCs w:val="16"/>
                <w:b w:val="1"/>
                <w:bCs w:val="1"/>
                <w:color w:val="auto"/>
                <w:w w:val="93"/>
              </w:rPr>
              <w:t>Delaware</w:t>
            </w:r>
          </w:p>
        </w:tc>
        <w:tc>
          <w:tcPr>
            <w:tcW w:w="4220" w:type="dxa"/>
            <w:vAlign w:val="bottom"/>
          </w:tcPr>
          <w:p>
            <w:pPr>
              <w:jc w:val="center"/>
              <w:ind w:left="2639"/>
              <w:spacing w:after="0"/>
              <w:rPr>
                <w:sz w:val="20"/>
                <w:szCs w:val="20"/>
                <w:color w:val="auto"/>
              </w:rPr>
            </w:pPr>
            <w:r>
              <w:rPr>
                <w:rFonts w:ascii="Arial" w:cs="Arial" w:eastAsia="Arial" w:hAnsi="Arial"/>
                <w:sz w:val="16"/>
                <w:szCs w:val="16"/>
                <w:b w:val="1"/>
                <w:bCs w:val="1"/>
                <w:color w:val="auto"/>
                <w:w w:val="91"/>
              </w:rPr>
              <w:t>45-3788918</w:t>
            </w:r>
          </w:p>
        </w:tc>
      </w:tr>
      <w:tr>
        <w:trPr>
          <w:trHeight w:val="253"/>
        </w:trPr>
        <w:tc>
          <w:tcPr>
            <w:tcW w:w="4660" w:type="dxa"/>
            <w:vAlign w:val="bottom"/>
          </w:tcPr>
          <w:p>
            <w:pPr>
              <w:jc w:val="center"/>
              <w:ind w:right="2699"/>
              <w:spacing w:after="0"/>
              <w:rPr>
                <w:sz w:val="20"/>
                <w:szCs w:val="20"/>
                <w:color w:val="auto"/>
              </w:rPr>
            </w:pPr>
            <w:r>
              <w:rPr>
                <w:rFonts w:ascii="Arial" w:cs="Arial" w:eastAsia="Arial" w:hAnsi="Arial"/>
                <w:sz w:val="16"/>
                <w:szCs w:val="16"/>
                <w:color w:val="auto"/>
                <w:w w:val="93"/>
              </w:rPr>
              <w:t>(State or other jurisdiction of</w:t>
            </w:r>
          </w:p>
        </w:tc>
        <w:tc>
          <w:tcPr>
            <w:tcW w:w="4220" w:type="dxa"/>
            <w:vAlign w:val="bottom"/>
          </w:tcPr>
          <w:p>
            <w:pPr>
              <w:jc w:val="center"/>
              <w:ind w:left="2579"/>
              <w:spacing w:after="0"/>
              <w:rPr>
                <w:sz w:val="20"/>
                <w:szCs w:val="20"/>
                <w:color w:val="auto"/>
              </w:rPr>
            </w:pPr>
            <w:r>
              <w:rPr>
                <w:rFonts w:ascii="Arial" w:cs="Arial" w:eastAsia="Arial" w:hAnsi="Arial"/>
                <w:sz w:val="16"/>
                <w:szCs w:val="16"/>
                <w:color w:val="auto"/>
                <w:w w:val="95"/>
              </w:rPr>
              <w:t>(I.R.S. Employer</w:t>
            </w:r>
          </w:p>
        </w:tc>
      </w:tr>
      <w:tr>
        <w:trPr>
          <w:trHeight w:val="206"/>
        </w:trPr>
        <w:tc>
          <w:tcPr>
            <w:tcW w:w="4660" w:type="dxa"/>
            <w:vAlign w:val="bottom"/>
          </w:tcPr>
          <w:p>
            <w:pPr>
              <w:jc w:val="center"/>
              <w:ind w:right="2639"/>
              <w:spacing w:after="0"/>
              <w:rPr>
                <w:sz w:val="20"/>
                <w:szCs w:val="20"/>
                <w:color w:val="auto"/>
              </w:rPr>
            </w:pPr>
            <w:r>
              <w:rPr>
                <w:rFonts w:ascii="Arial" w:cs="Arial" w:eastAsia="Arial" w:hAnsi="Arial"/>
                <w:sz w:val="16"/>
                <w:szCs w:val="16"/>
                <w:color w:val="auto"/>
                <w:w w:val="93"/>
              </w:rPr>
              <w:t>incorporation or organization)</w:t>
            </w:r>
          </w:p>
        </w:tc>
        <w:tc>
          <w:tcPr>
            <w:tcW w:w="4220" w:type="dxa"/>
            <w:vAlign w:val="bottom"/>
          </w:tcPr>
          <w:p>
            <w:pPr>
              <w:jc w:val="center"/>
              <w:ind w:left="2639"/>
              <w:spacing w:after="0"/>
              <w:rPr>
                <w:sz w:val="20"/>
                <w:szCs w:val="20"/>
                <w:color w:val="auto"/>
              </w:rPr>
            </w:pPr>
            <w:r>
              <w:rPr>
                <w:rFonts w:ascii="Arial" w:cs="Arial" w:eastAsia="Arial" w:hAnsi="Arial"/>
                <w:sz w:val="16"/>
                <w:szCs w:val="16"/>
                <w:color w:val="auto"/>
                <w:w w:val="95"/>
              </w:rPr>
              <w:t>Identification Number)</w:t>
            </w:r>
          </w:p>
        </w:tc>
      </w:tr>
    </w:tbl>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150 Mathilda Place, Suite 300, Sunnyvale, California 94086</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202"/>
        </w:trPr>
        <w:tc>
          <w:tcPr>
            <w:tcW w:w="900" w:type="dxa"/>
            <w:vAlign w:val="bottom"/>
            <w:tcBorders>
              <w:top w:val="single" w:sz="8" w:color="auto"/>
              <w:left w:val="single" w:sz="8" w:color="auto"/>
            </w:tcBorders>
          </w:tcPr>
          <w:p>
            <w:pPr>
              <w:spacing w:after="0"/>
              <w:rPr>
                <w:sz w:val="17"/>
                <w:szCs w:val="17"/>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Title of each class of securities</w:t>
            </w:r>
          </w:p>
        </w:tc>
        <w:tc>
          <w:tcPr>
            <w:tcW w:w="900" w:type="dxa"/>
            <w:vAlign w:val="bottom"/>
            <w:tcBorders>
              <w:top w:val="single" w:sz="8" w:color="auto"/>
              <w:right w:val="single" w:sz="8" w:color="auto"/>
            </w:tcBorders>
          </w:tcPr>
          <w:p>
            <w:pPr>
              <w:spacing w:after="0"/>
              <w:rPr>
                <w:sz w:val="17"/>
                <w:szCs w:val="17"/>
                <w:color w:val="auto"/>
              </w:rPr>
            </w:pPr>
          </w:p>
        </w:tc>
        <w:tc>
          <w:tcPr>
            <w:tcW w:w="374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w w:val="92"/>
              </w:rPr>
              <w:t>Trading symbol(s)</w:t>
            </w:r>
          </w:p>
        </w:tc>
        <w:tc>
          <w:tcPr>
            <w:tcW w:w="5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100" w:type="dxa"/>
            <w:vAlign w:val="bottom"/>
            <w:tcBorders>
              <w:top w:val="single" w:sz="8" w:color="auto"/>
              <w:right w:val="single" w:sz="8" w:color="auto"/>
            </w:tcBorders>
            <w:gridSpan w:val="3"/>
          </w:tcPr>
          <w:p>
            <w:pPr>
              <w:jc w:val="center"/>
              <w:ind w:right="700"/>
              <w:spacing w:after="0"/>
              <w:rPr>
                <w:sz w:val="20"/>
                <w:szCs w:val="20"/>
                <w:color w:val="auto"/>
              </w:rPr>
            </w:pPr>
            <w:r>
              <w:rPr>
                <w:rFonts w:ascii="Arial" w:cs="Arial" w:eastAsia="Arial" w:hAnsi="Arial"/>
                <w:sz w:val="16"/>
                <w:szCs w:val="16"/>
                <w:color w:val="auto"/>
                <w:w w:val="90"/>
              </w:rPr>
              <w:t>Name of each national exchange and</w:t>
            </w:r>
          </w:p>
        </w:tc>
      </w:tr>
      <w:tr>
        <w:trPr>
          <w:trHeight w:val="20"/>
        </w:trPr>
        <w:tc>
          <w:tcPr>
            <w:tcW w:w="900" w:type="dxa"/>
            <w:vAlign w:val="bottom"/>
            <w:tcBorders>
              <w:left w:val="single" w:sz="8" w:color="auto"/>
            </w:tcBorders>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r>
      <w:tr>
        <w:trPr>
          <w:trHeight w:val="183"/>
        </w:trPr>
        <w:tc>
          <w:tcPr>
            <w:tcW w:w="900" w:type="dxa"/>
            <w:vAlign w:val="bottom"/>
            <w:tcBorders>
              <w:left w:val="single" w:sz="8" w:color="auto"/>
            </w:tcBorders>
          </w:tcPr>
          <w:p>
            <w:pPr>
              <w:spacing w:after="0"/>
              <w:rPr>
                <w:sz w:val="15"/>
                <w:szCs w:val="15"/>
                <w:color w:val="auto"/>
              </w:rPr>
            </w:pPr>
          </w:p>
        </w:tc>
        <w:tc>
          <w:tcPr>
            <w:tcW w:w="200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3140" w:type="dxa"/>
            <w:vAlign w:val="bottom"/>
            <w:tcBorders>
              <w:right w:val="single" w:sz="8" w:color="auto"/>
            </w:tcBorders>
            <w:gridSpan w:val="4"/>
          </w:tcPr>
          <w:p>
            <w:pPr>
              <w:jc w:val="center"/>
              <w:ind w:right="620"/>
              <w:spacing w:after="0" w:line="183" w:lineRule="exact"/>
              <w:rPr>
                <w:sz w:val="20"/>
                <w:szCs w:val="20"/>
                <w:color w:val="auto"/>
              </w:rPr>
            </w:pPr>
            <w:r>
              <w:rPr>
                <w:rFonts w:ascii="Arial" w:cs="Arial" w:eastAsia="Arial" w:hAnsi="Arial"/>
                <w:sz w:val="16"/>
                <w:szCs w:val="16"/>
                <w:color w:val="auto"/>
                <w:w w:val="93"/>
              </w:rPr>
              <w:t>principal U.S. market for the securities</w:t>
            </w:r>
          </w:p>
        </w:tc>
      </w:tr>
      <w:tr>
        <w:trPr>
          <w:trHeight w:val="48"/>
        </w:trPr>
        <w:tc>
          <w:tcPr>
            <w:tcW w:w="900" w:type="dxa"/>
            <w:vAlign w:val="bottom"/>
            <w:tcBorders>
              <w:left w:val="single" w:sz="8" w:color="auto"/>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244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r>
      <w:tr>
        <w:trPr>
          <w:trHeight w:val="217"/>
        </w:trPr>
        <w:tc>
          <w:tcPr>
            <w:tcW w:w="38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0"/>
              </w:rPr>
              <w:t>Class A common stock, par value $0.0005 per share</w:t>
            </w:r>
          </w:p>
        </w:tc>
        <w:tc>
          <w:tcPr>
            <w:tcW w:w="1260" w:type="dxa"/>
            <w:vAlign w:val="bottom"/>
          </w:tcPr>
          <w:p>
            <w:pPr>
              <w:spacing w:after="0"/>
              <w:rPr>
                <w:sz w:val="18"/>
                <w:szCs w:val="18"/>
                <w:color w:val="auto"/>
              </w:rPr>
            </w:pPr>
          </w:p>
        </w:tc>
        <w:tc>
          <w:tcPr>
            <w:tcW w:w="2480" w:type="dxa"/>
            <w:vAlign w:val="bottom"/>
            <w:tcBorders>
              <w:right w:val="single" w:sz="8" w:color="auto"/>
            </w:tcBorders>
            <w:gridSpan w:val="2"/>
          </w:tcPr>
          <w:p>
            <w:pPr>
              <w:jc w:val="center"/>
              <w:ind w:right="1300"/>
              <w:spacing w:after="0"/>
              <w:rPr>
                <w:sz w:val="20"/>
                <w:szCs w:val="20"/>
                <w:color w:val="auto"/>
              </w:rPr>
            </w:pPr>
            <w:r>
              <w:rPr>
                <w:rFonts w:ascii="Arial" w:cs="Arial" w:eastAsia="Arial" w:hAnsi="Arial"/>
                <w:sz w:val="16"/>
                <w:szCs w:val="16"/>
                <w:color w:val="auto"/>
                <w:w w:val="92"/>
              </w:rPr>
              <w:t>CRWD</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tcBorders>
              <w:right w:val="single" w:sz="8" w:color="auto"/>
            </w:tcBorders>
            <w:gridSpan w:val="3"/>
          </w:tcPr>
          <w:p>
            <w:pPr>
              <w:jc w:val="center"/>
              <w:ind w:right="660"/>
              <w:spacing w:after="0"/>
              <w:rPr>
                <w:sz w:val="20"/>
                <w:szCs w:val="20"/>
                <w:color w:val="auto"/>
              </w:rPr>
            </w:pPr>
            <w:r>
              <w:rPr>
                <w:rFonts w:ascii="Arial" w:cs="Arial" w:eastAsia="Arial" w:hAnsi="Arial"/>
                <w:sz w:val="16"/>
                <w:szCs w:val="16"/>
                <w:color w:val="auto"/>
                <w:w w:val="93"/>
              </w:rPr>
              <w:t>The Nasdaq Stock Market LLC</w:t>
            </w:r>
          </w:p>
        </w:tc>
      </w:tr>
      <w:tr>
        <w:trPr>
          <w:trHeight w:val="256"/>
        </w:trPr>
        <w:tc>
          <w:tcPr>
            <w:tcW w:w="900" w:type="dxa"/>
            <w:vAlign w:val="bottom"/>
            <w:tcBorders>
              <w:left w:val="single" w:sz="8" w:color="auto"/>
            </w:tcBorders>
          </w:tcPr>
          <w:p>
            <w:pPr>
              <w:spacing w:after="0"/>
              <w:rPr>
                <w:sz w:val="22"/>
                <w:szCs w:val="22"/>
                <w:color w:val="auto"/>
              </w:rPr>
            </w:pPr>
          </w:p>
        </w:tc>
        <w:tc>
          <w:tcPr>
            <w:tcW w:w="2000" w:type="dxa"/>
            <w:vAlign w:val="bottom"/>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100" w:type="dxa"/>
            <w:vAlign w:val="bottom"/>
            <w:tcBorders>
              <w:right w:val="single" w:sz="8" w:color="auto"/>
            </w:tcBorders>
            <w:gridSpan w:val="3"/>
          </w:tcPr>
          <w:p>
            <w:pPr>
              <w:jc w:val="center"/>
              <w:ind w:right="640"/>
              <w:spacing w:after="0"/>
              <w:rPr>
                <w:sz w:val="20"/>
                <w:szCs w:val="20"/>
                <w:color w:val="auto"/>
              </w:rPr>
            </w:pPr>
            <w:r>
              <w:rPr>
                <w:rFonts w:ascii="Arial" w:cs="Arial" w:eastAsia="Arial" w:hAnsi="Arial"/>
                <w:sz w:val="16"/>
                <w:szCs w:val="16"/>
                <w:color w:val="auto"/>
                <w:w w:val="92"/>
              </w:rPr>
              <w:t>(Nasdaq Global Select Market)</w:t>
            </w:r>
          </w:p>
        </w:tc>
      </w:tr>
      <w:tr>
        <w:trPr>
          <w:trHeight w:val="33"/>
        </w:trPr>
        <w:tc>
          <w:tcPr>
            <w:tcW w:w="900" w:type="dxa"/>
            <w:vAlign w:val="bottom"/>
            <w:tcBorders>
              <w:left w:val="single" w:sz="8" w:color="auto"/>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(888) 512-8906</w:t>
      </w:r>
    </w:p>
    <w:p>
      <w:pPr>
        <w:spacing w:after="0" w:line="26"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95" w:lineRule="exact"/>
        <w:rPr>
          <w:sz w:val="24"/>
          <w:szCs w:val="24"/>
          <w:color w:val="auto"/>
        </w:rPr>
      </w:pPr>
    </w:p>
    <w:p>
      <w:pPr>
        <w:jc w:val="both"/>
        <w:ind w:right="300" w:firstLine="648"/>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80" w:lineRule="exact"/>
        <w:rPr>
          <w:sz w:val="24"/>
          <w:szCs w:val="24"/>
          <w:color w:val="auto"/>
        </w:rPr>
      </w:pPr>
    </w:p>
    <w:p>
      <w:pPr>
        <w:ind w:right="80" w:firstLine="648"/>
        <w:spacing w:after="0" w:line="21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79" w:lineRule="exact"/>
        <w:rPr>
          <w:sz w:val="24"/>
          <w:szCs w:val="24"/>
          <w:color w:val="auto"/>
        </w:rPr>
      </w:pPr>
    </w:p>
    <w:p>
      <w:pPr>
        <w:ind w:right="120" w:firstLine="648"/>
        <w:spacing w:after="0" w:line="263" w:lineRule="auto"/>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a non-accelerated filer, a smaller reporting company, or an emerging growth company. See the definitions of </w:t>
      </w:r>
      <w:r>
        <w:rPr>
          <w:rFonts w:ascii="Arial" w:cs="Arial" w:eastAsia="Arial" w:hAnsi="Arial"/>
          <w:sz w:val="17"/>
          <w:szCs w:val="17"/>
          <w:color w:val="auto"/>
        </w:rPr>
        <w:t>“</w:t>
      </w:r>
      <w:r>
        <w:rPr>
          <w:rFonts w:ascii="Arial" w:cs="Arial" w:eastAsia="Arial" w:hAnsi="Arial"/>
          <w:sz w:val="16"/>
          <w:szCs w:val="16"/>
          <w:color w:val="auto"/>
        </w:rPr>
        <w:t>large accelerated filer,</w:t>
      </w:r>
      <w:r>
        <w:rPr>
          <w:rFonts w:ascii="Arial" w:cs="Arial" w:eastAsia="Arial" w:hAnsi="Arial"/>
          <w:sz w:val="17"/>
          <w:szCs w:val="17"/>
          <w:color w:val="auto"/>
        </w:rPr>
        <w:t>” “</w:t>
      </w:r>
      <w:r>
        <w:rPr>
          <w:rFonts w:ascii="Arial" w:cs="Arial" w:eastAsia="Arial" w:hAnsi="Arial"/>
          <w:sz w:val="16"/>
          <w:szCs w:val="16"/>
          <w:color w:val="auto"/>
        </w:rPr>
        <w:t>accelerated filer,</w:t>
      </w:r>
      <w:r>
        <w:rPr>
          <w:rFonts w:ascii="Arial" w:cs="Arial" w:eastAsia="Arial" w:hAnsi="Arial"/>
          <w:sz w:val="17"/>
          <w:szCs w:val="17"/>
          <w:color w:val="auto"/>
        </w:rPr>
        <w:t>” “</w:t>
      </w:r>
      <w:r>
        <w:rPr>
          <w:rFonts w:ascii="Arial" w:cs="Arial" w:eastAsia="Arial" w:hAnsi="Arial"/>
          <w:sz w:val="16"/>
          <w:szCs w:val="16"/>
          <w:color w:val="auto"/>
        </w:rPr>
        <w:t>smaller reporting company</w:t>
      </w:r>
      <w:r>
        <w:rPr>
          <w:rFonts w:ascii="Arial" w:cs="Arial" w:eastAsia="Arial" w:hAnsi="Arial"/>
          <w:sz w:val="17"/>
          <w:szCs w:val="17"/>
          <w:color w:val="auto"/>
        </w:rPr>
        <w:t>”</w:t>
      </w:r>
      <w:r>
        <w:rPr>
          <w:rFonts w:ascii="Arial" w:cs="Arial" w:eastAsia="Arial" w:hAnsi="Arial"/>
          <w:sz w:val="16"/>
          <w:szCs w:val="16"/>
          <w:color w:val="auto"/>
        </w:rPr>
        <w:t xml:space="preserve"> and </w:t>
      </w:r>
      <w:r>
        <w:rPr>
          <w:rFonts w:ascii="Arial" w:cs="Arial" w:eastAsia="Arial" w:hAnsi="Arial"/>
          <w:sz w:val="17"/>
          <w:szCs w:val="17"/>
          <w:color w:val="auto"/>
        </w:rPr>
        <w:t>“</w:t>
      </w:r>
      <w:r>
        <w:rPr>
          <w:rFonts w:ascii="Arial" w:cs="Arial" w:eastAsia="Arial" w:hAnsi="Arial"/>
          <w:sz w:val="16"/>
          <w:szCs w:val="16"/>
          <w:color w:val="auto"/>
        </w:rPr>
        <w:t>emerging growth company</w:t>
      </w:r>
      <w:r>
        <w:rPr>
          <w:rFonts w:ascii="Arial" w:cs="Arial" w:eastAsia="Arial" w:hAnsi="Arial"/>
          <w:sz w:val="17"/>
          <w:szCs w:val="17"/>
          <w:color w:val="auto"/>
        </w:rPr>
        <w:t>”</w:t>
      </w:r>
      <w:r>
        <w:rPr>
          <w:rFonts w:ascii="Arial" w:cs="Arial" w:eastAsia="Arial" w:hAnsi="Arial"/>
          <w:sz w:val="16"/>
          <w:szCs w:val="16"/>
          <w:color w:val="auto"/>
        </w:rPr>
        <w:t xml:space="preserve"> in Rule 12b-2 of the Exchange Act.</w:t>
      </w:r>
    </w:p>
    <w:p>
      <w:pPr>
        <w:spacing w:after="0" w:line="75" w:lineRule="exact"/>
        <w:rPr>
          <w:sz w:val="24"/>
          <w:szCs w:val="24"/>
          <w:color w:val="auto"/>
        </w:rPr>
      </w:pPr>
    </w:p>
    <w:tbl>
      <w:tblPr>
        <w:tblLayout w:type="fixed"/>
        <w:tblInd w:w="1140" w:type="dxa"/>
        <w:tblCellMar>
          <w:top w:w="0" w:type="dxa"/>
          <w:left w:w="0" w:type="dxa"/>
          <w:bottom w:w="0" w:type="dxa"/>
          <w:right w:w="0" w:type="dxa"/>
        </w:tblCellMar>
      </w:tblPr>
      <w:tr>
        <w:trPr>
          <w:trHeight w:val="256"/>
        </w:trPr>
        <w:tc>
          <w:tcPr>
            <w:tcW w:w="3580" w:type="dxa"/>
            <w:vAlign w:val="bottom"/>
          </w:tcPr>
          <w:p>
            <w:pPr>
              <w:jc w:val="center"/>
              <w:ind w:right="479"/>
              <w:spacing w:after="0"/>
              <w:rPr>
                <w:sz w:val="20"/>
                <w:szCs w:val="20"/>
                <w:color w:val="auto"/>
              </w:rPr>
            </w:pPr>
            <w:r>
              <w:rPr>
                <w:rFonts w:ascii="Arial" w:cs="Arial" w:eastAsia="Arial" w:hAnsi="Arial"/>
                <w:sz w:val="16"/>
                <w:szCs w:val="16"/>
                <w:color w:val="auto"/>
                <w:w w:val="93"/>
              </w:rPr>
              <w:t>Large Accelerated Filer</w:t>
            </w:r>
          </w:p>
        </w:tc>
        <w:tc>
          <w:tcPr>
            <w:tcW w:w="16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jc w:val="center"/>
              <w:spacing w:after="0"/>
              <w:rPr>
                <w:sz w:val="20"/>
                <w:szCs w:val="20"/>
                <w:color w:val="auto"/>
              </w:rPr>
            </w:pPr>
            <w:r>
              <w:rPr>
                <w:rFonts w:ascii="Arial" w:cs="Arial" w:eastAsia="Arial" w:hAnsi="Arial"/>
                <w:sz w:val="16"/>
                <w:szCs w:val="16"/>
                <w:color w:val="auto"/>
                <w:w w:val="93"/>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3580" w:type="dxa"/>
            <w:vAlign w:val="bottom"/>
          </w:tcPr>
          <w:p>
            <w:pPr>
              <w:jc w:val="center"/>
              <w:ind w:right="479"/>
              <w:spacing w:after="0"/>
              <w:rPr>
                <w:sz w:val="20"/>
                <w:szCs w:val="20"/>
                <w:color w:val="auto"/>
              </w:rPr>
            </w:pPr>
            <w:r>
              <w:rPr>
                <w:rFonts w:ascii="Arial" w:cs="Arial" w:eastAsia="Arial" w:hAnsi="Arial"/>
                <w:sz w:val="16"/>
                <w:szCs w:val="16"/>
                <w:color w:val="auto"/>
                <w:w w:val="92"/>
              </w:rPr>
              <w:t>Non-accelerated Filer</w:t>
            </w:r>
          </w:p>
        </w:tc>
        <w:tc>
          <w:tcPr>
            <w:tcW w:w="16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jc w:val="center"/>
              <w:spacing w:after="0"/>
              <w:rPr>
                <w:sz w:val="20"/>
                <w:szCs w:val="20"/>
                <w:color w:val="auto"/>
              </w:rPr>
            </w:pPr>
            <w:r>
              <w:rPr>
                <w:rFonts w:ascii="Arial" w:cs="Arial" w:eastAsia="Arial" w:hAnsi="Arial"/>
                <w:sz w:val="16"/>
                <w:szCs w:val="16"/>
                <w:color w:val="auto"/>
                <w:w w:val="93"/>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580" w:type="dxa"/>
            <w:vAlign w:val="bottom"/>
          </w:tcPr>
          <w:p>
            <w:pPr>
              <w:jc w:val="center"/>
              <w:ind w:right="479"/>
              <w:spacing w:after="0"/>
              <w:rPr>
                <w:sz w:val="20"/>
                <w:szCs w:val="20"/>
                <w:color w:val="auto"/>
              </w:rPr>
            </w:pPr>
            <w:r>
              <w:rPr>
                <w:rFonts w:ascii="Arial" w:cs="Arial" w:eastAsia="Arial" w:hAnsi="Arial"/>
                <w:sz w:val="16"/>
                <w:szCs w:val="16"/>
                <w:color w:val="auto"/>
                <w:w w:val="93"/>
              </w:rPr>
              <w:t>(Do not check if a smaller reporting company)</w:t>
            </w:r>
          </w:p>
        </w:tc>
        <w:tc>
          <w:tcPr>
            <w:tcW w:w="16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6"/>
                <w:szCs w:val="16"/>
                <w:color w:val="auto"/>
                <w:w w:val="92"/>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8" w:lineRule="exact"/>
        <w:rPr>
          <w:sz w:val="24"/>
          <w:szCs w:val="24"/>
          <w:color w:val="auto"/>
        </w:rPr>
      </w:pPr>
    </w:p>
    <w:p>
      <w:pPr>
        <w:ind w:right="460" w:firstLine="648"/>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 w:lineRule="exact"/>
        <w:rPr>
          <w:sz w:val="24"/>
          <w:szCs w:val="24"/>
          <w:color w:val="auto"/>
        </w:rPr>
      </w:pPr>
    </w:p>
    <w:p>
      <w:pPr>
        <w:ind w:left="660"/>
        <w:spacing w:after="0" w:line="189" w:lineRule="exact"/>
        <w:tabs>
          <w:tab w:leader="none" w:pos="84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No</w:t>
      </w:r>
      <w:r>
        <w:rPr>
          <w:rFonts w:ascii="MS PGothic" w:cs="MS PGothic" w:eastAsia="MS PGothic" w:hAnsi="MS PGothic"/>
          <w:sz w:val="18"/>
          <w:szCs w:val="18"/>
          <w:color w:val="auto"/>
        </w:rPr>
        <w:t xml:space="preserve">  ☑</w:t>
      </w:r>
    </w:p>
    <w:p>
      <w:pPr>
        <w:spacing w:after="0" w:line="159" w:lineRule="exact"/>
        <w:rPr>
          <w:sz w:val="24"/>
          <w:szCs w:val="24"/>
          <w:color w:val="auto"/>
        </w:rPr>
      </w:pPr>
    </w:p>
    <w:p>
      <w:pPr>
        <w:ind w:right="340" w:firstLine="648"/>
        <w:spacing w:after="0" w:line="275" w:lineRule="auto"/>
        <w:rPr>
          <w:sz w:val="20"/>
          <w:szCs w:val="20"/>
          <w:color w:val="auto"/>
        </w:rPr>
      </w:pPr>
      <w:r>
        <w:rPr>
          <w:rFonts w:ascii="Arial" w:cs="Arial" w:eastAsia="Arial" w:hAnsi="Arial"/>
          <w:sz w:val="16"/>
          <w:szCs w:val="16"/>
          <w:color w:val="auto"/>
        </w:rPr>
        <w:t>As of May 31, 2020, the number of shares of the registrant’s Class A common stock outstanding was 151,213,435, and the number of shares of the registrant’s Class B common stock outstanding was 64,780,310.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852805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ind w:left="260"/>
              <w:spacing w:after="0"/>
              <w:rPr>
                <w:sz w:val="20"/>
                <w:szCs w:val="20"/>
                <w:color w:val="auto"/>
              </w:rPr>
            </w:pPr>
            <w:r>
              <w:rPr>
                <w:rFonts w:ascii="Arial" w:cs="Arial" w:eastAsia="Arial" w:hAnsi="Arial"/>
                <w:sz w:val="14"/>
                <w:szCs w:val="14"/>
                <w:color w:val="auto"/>
              </w:rPr>
              <w:t>Page No.</w:t>
            </w:r>
          </w:p>
        </w:tc>
        <w:tc>
          <w:tcPr>
            <w:tcW w:w="0" w:type="dxa"/>
            <w:vAlign w:val="bottom"/>
          </w:tcPr>
          <w:p>
            <w:pPr>
              <w:spacing w:after="0"/>
              <w:rPr>
                <w:sz w:val="1"/>
                <w:szCs w:val="1"/>
                <w:color w:val="auto"/>
              </w:rPr>
            </w:pPr>
          </w:p>
        </w:tc>
      </w:tr>
      <w:tr>
        <w:trPr>
          <w:trHeight w:val="242"/>
        </w:trPr>
        <w:tc>
          <w:tcPr>
            <w:tcW w:w="1020" w:type="dxa"/>
            <w:vAlign w:val="bottom"/>
          </w:tcPr>
          <w:p>
            <w:pPr>
              <w:spacing w:after="0"/>
              <w:rPr>
                <w:sz w:val="21"/>
                <w:szCs w:val="21"/>
                <w:color w:val="auto"/>
              </w:rPr>
            </w:pPr>
          </w:p>
        </w:tc>
        <w:tc>
          <w:tcPr>
            <w:tcW w:w="9220" w:type="dxa"/>
            <w:vAlign w:val="bottom"/>
            <w:gridSpan w:val="5"/>
          </w:tcPr>
          <w:p>
            <w:pPr>
              <w:ind w:left="31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 FINANCIAL INFORMATION</w:t>
              </w:r>
            </w:hyperlink>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020" w:type="dxa"/>
            <w:vAlign w:val="bottom"/>
            <w:shd w:val="clear" w:color="auto" w:fill="CCEEFF"/>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9220" w:type="dxa"/>
            <w:vAlign w:val="bottom"/>
            <w:gridSpan w:val="5"/>
            <w:shd w:val="clear" w:color="auto" w:fill="CCEEFF"/>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Statements (unaudited)</w:t>
              </w:r>
            </w:hyperlink>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9220" w:type="dxa"/>
            <w:vAlign w:val="bottom"/>
            <w:gridSpan w:val="5"/>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u w:val="single" w:color="auto"/>
                  <w:color w:val="0000FF"/>
                </w:rPr>
                <w:t>Condensed Consolidated Balance Sheets as of April</w:t>
              </w:r>
              <w:r>
                <w:rPr>
                  <w:rFonts w:ascii="Arial" w:cs="Arial" w:eastAsia="Arial" w:hAnsi="Arial"/>
                  <w:sz w:val="18"/>
                  <w:szCs w:val="18"/>
                  <w:color w:val="0000FF"/>
                </w:rPr>
                <w:t xml:space="preserve"> 30, </w:t>
              </w:r>
            </w:hyperlink>
            <w:r>
              <w:rPr>
                <w:rFonts w:ascii="Arial" w:cs="Arial" w:eastAsia="Arial" w:hAnsi="Arial"/>
                <w:sz w:val="18"/>
                <w:szCs w:val="18"/>
                <w:u w:val="single" w:color="auto"/>
                <w:color w:val="0000FF"/>
              </w:rPr>
              <w:t>2020</w:t>
            </w:r>
            <w:r>
              <w:rPr>
                <w:rFonts w:ascii="Arial" w:cs="Arial" w:eastAsia="Arial" w:hAnsi="Arial"/>
                <w:sz w:val="18"/>
                <w:szCs w:val="18"/>
                <w:color w:val="0000FF"/>
              </w:rPr>
              <w:t xml:space="preserve"> </w:t>
            </w:r>
            <w:hyperlink w:anchor="page5">
              <w:r>
                <w:rPr>
                  <w:rFonts w:ascii="Arial" w:cs="Arial" w:eastAsia="Arial" w:hAnsi="Arial"/>
                  <w:sz w:val="18"/>
                  <w:szCs w:val="18"/>
                  <w:u w:val="single" w:color="auto"/>
                  <w:color w:val="0000FF"/>
                </w:rPr>
                <w:t>and January 31, 20</w:t>
              </w:r>
            </w:hyperlink>
            <w:r>
              <w:rPr>
                <w:rFonts w:ascii="Arial" w:cs="Arial" w:eastAsia="Arial" w:hAnsi="Arial"/>
                <w:sz w:val="18"/>
                <w:szCs w:val="18"/>
                <w:color w:val="0000FF"/>
              </w:rPr>
              <w:t>20</w:t>
            </w:r>
          </w:p>
        </w:tc>
        <w:tc>
          <w:tcPr>
            <w:tcW w:w="1000" w:type="dxa"/>
            <w:vAlign w:val="bottom"/>
          </w:tcPr>
          <w:p>
            <w:pPr>
              <w:jc w:val="center"/>
              <w:spacing w:after="0" w:line="189" w:lineRule="exact"/>
              <w:rPr>
                <w:rFonts w:ascii="Arial" w:cs="Arial" w:eastAsia="Arial" w:hAnsi="Arial"/>
                <w:sz w:val="18"/>
                <w:szCs w:val="18"/>
                <w:color w:val="auto"/>
                <w:w w:val="99"/>
              </w:rPr>
            </w:pPr>
            <w:hyperlink w:anchor="page5">
              <w:r>
                <w:rPr>
                  <w:rFonts w:ascii="Arial" w:cs="Arial" w:eastAsia="Arial" w:hAnsi="Arial"/>
                  <w:sz w:val="18"/>
                  <w:szCs w:val="18"/>
                  <w:color w:val="auto"/>
                  <w:w w:val="99"/>
                </w:rPr>
                <w:t>5</w:t>
              </w:r>
            </w:hyperlink>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20" w:type="dxa"/>
            <w:vAlign w:val="bottom"/>
            <w:shd w:val="clear" w:color="auto" w:fill="CCEEFF"/>
          </w:tcPr>
          <w:p>
            <w:pPr>
              <w:spacing w:after="0"/>
              <w:rPr>
                <w:sz w:val="21"/>
                <w:szCs w:val="21"/>
                <w:color w:val="auto"/>
              </w:rPr>
            </w:pPr>
          </w:p>
        </w:tc>
        <w:tc>
          <w:tcPr>
            <w:tcW w:w="9220" w:type="dxa"/>
            <w:vAlign w:val="bottom"/>
            <w:gridSpan w:val="5"/>
            <w:shd w:val="clear" w:color="auto" w:fill="CCEEFF"/>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Operations for the Three Months Ended April 30, 2020 and April 30, 2019</w:t>
              </w:r>
            </w:hyperlink>
          </w:p>
        </w:tc>
        <w:tc>
          <w:tcPr>
            <w:tcW w:w="1000" w:type="dxa"/>
            <w:vAlign w:val="bottom"/>
            <w:shd w:val="clear" w:color="auto" w:fill="CCEEFF"/>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6</w:t>
              </w:r>
            </w:hyperlink>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9220" w:type="dxa"/>
            <w:vAlign w:val="bottom"/>
            <w:gridSpan w:val="5"/>
          </w:tcPr>
          <w:p>
            <w:pPr>
              <w:spacing w:after="0"/>
              <w:rPr>
                <w:rFonts w:ascii="Arial" w:cs="Arial" w:eastAsia="Arial" w:hAnsi="Arial"/>
                <w:sz w:val="18"/>
                <w:szCs w:val="18"/>
                <w:u w:val="single" w:color="auto"/>
                <w:color w:val="0000FF"/>
                <w:w w:val="93"/>
              </w:rPr>
            </w:pPr>
            <w:hyperlink w:anchor="page6">
              <w:r>
                <w:rPr>
                  <w:rFonts w:ascii="Arial" w:cs="Arial" w:eastAsia="Arial" w:hAnsi="Arial"/>
                  <w:sz w:val="18"/>
                  <w:szCs w:val="18"/>
                  <w:u w:val="single" w:color="auto"/>
                  <w:color w:val="0000FF"/>
                  <w:w w:val="93"/>
                </w:rPr>
                <w:t>Condensed Consolidated Statements of Comprehensive Loss for the Three Months Ended April 30, 2020 and April 30, 2019</w:t>
              </w:r>
            </w:hyperlink>
          </w:p>
        </w:tc>
        <w:tc>
          <w:tcPr>
            <w:tcW w:w="1000" w:type="dxa"/>
            <w:vAlign w:val="bottom"/>
          </w:tcPr>
          <w:p>
            <w:pPr>
              <w:jc w:val="center"/>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6</w:t>
              </w:r>
            </w:hyperlink>
          </w:p>
        </w:tc>
        <w:tc>
          <w:tcPr>
            <w:tcW w:w="0" w:type="dxa"/>
            <w:vAlign w:val="bottom"/>
          </w:tcPr>
          <w:p>
            <w:pPr>
              <w:spacing w:after="0"/>
              <w:rPr>
                <w:sz w:val="1"/>
                <w:szCs w:val="1"/>
                <w:color w:val="auto"/>
              </w:rPr>
            </w:pPr>
          </w:p>
        </w:tc>
      </w:tr>
      <w:tr>
        <w:trPr>
          <w:trHeight w:val="195"/>
        </w:trPr>
        <w:tc>
          <w:tcPr>
            <w:tcW w:w="1020" w:type="dxa"/>
            <w:vAlign w:val="bottom"/>
            <w:shd w:val="clear" w:color="auto" w:fill="CCEEFF"/>
          </w:tcPr>
          <w:p>
            <w:pPr>
              <w:spacing w:after="0"/>
              <w:rPr>
                <w:sz w:val="16"/>
                <w:szCs w:val="16"/>
                <w:color w:val="auto"/>
              </w:rPr>
            </w:pPr>
          </w:p>
        </w:tc>
        <w:tc>
          <w:tcPr>
            <w:tcW w:w="9220" w:type="dxa"/>
            <w:vAlign w:val="bottom"/>
            <w:gridSpan w:val="5"/>
            <w:shd w:val="clear" w:color="auto" w:fill="CCEEFF"/>
          </w:tcPr>
          <w:p>
            <w:pPr>
              <w:spacing w:after="0" w:line="195" w:lineRule="exact"/>
              <w:rPr>
                <w:rFonts w:ascii="Arial" w:cs="Arial" w:eastAsia="Arial" w:hAnsi="Arial"/>
                <w:sz w:val="18"/>
                <w:szCs w:val="18"/>
                <w:color w:val="0000FF"/>
                <w:w w:val="94"/>
              </w:rPr>
            </w:pPr>
            <w:hyperlink w:anchor="page7">
              <w:r>
                <w:rPr>
                  <w:rFonts w:ascii="Arial" w:cs="Arial" w:eastAsia="Arial" w:hAnsi="Arial"/>
                  <w:sz w:val="18"/>
                  <w:szCs w:val="18"/>
                  <w:color w:val="0000FF"/>
                  <w:w w:val="94"/>
                </w:rPr>
                <w:t>Condensed Consolidated Statements of Redeemable Convertible Preferred Stock and Stockholders’ Equity (Deficit) for the</w:t>
              </w:r>
            </w:hyperlink>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56"/>
        </w:trPr>
        <w:tc>
          <w:tcPr>
            <w:tcW w:w="1020" w:type="dxa"/>
            <w:vAlign w:val="bottom"/>
            <w:tcBorders>
              <w:top w:val="single" w:sz="8" w:color="CCEEFF"/>
            </w:tcBorders>
            <w:shd w:val="clear" w:color="auto" w:fill="CCEEFF"/>
          </w:tcPr>
          <w:p>
            <w:pPr>
              <w:spacing w:after="0"/>
              <w:rPr>
                <w:sz w:val="13"/>
                <w:szCs w:val="13"/>
                <w:color w:val="auto"/>
              </w:rPr>
            </w:pPr>
          </w:p>
        </w:tc>
        <w:tc>
          <w:tcPr>
            <w:tcW w:w="8880" w:type="dxa"/>
            <w:vAlign w:val="bottom"/>
            <w:tcBorders>
              <w:top w:val="single" w:sz="8" w:color="0000FF"/>
            </w:tcBorders>
            <w:gridSpan w:val="4"/>
            <w:shd w:val="clear" w:color="auto" w:fill="CCEEFF"/>
          </w:tcPr>
          <w:p>
            <w:pPr>
              <w:spacing w:after="0" w:line="142" w:lineRule="exact"/>
              <w:rPr>
                <w:rFonts w:ascii="Arial" w:cs="Arial" w:eastAsia="Arial" w:hAnsi="Arial"/>
                <w:sz w:val="16"/>
                <w:szCs w:val="16"/>
                <w:color w:val="0000FF"/>
              </w:rPr>
            </w:pPr>
            <w:hyperlink w:anchor="page7">
              <w:r>
                <w:rPr>
                  <w:rFonts w:ascii="Arial" w:cs="Arial" w:eastAsia="Arial" w:hAnsi="Arial"/>
                  <w:sz w:val="16"/>
                  <w:szCs w:val="16"/>
                  <w:color w:val="0000FF"/>
                </w:rPr>
                <w:t>Three Months Ended April 30, 2020 and April 30, 2019</w:t>
              </w:r>
            </w:hyperlink>
          </w:p>
        </w:tc>
        <w:tc>
          <w:tcPr>
            <w:tcW w:w="34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20" w:type="dxa"/>
            <w:vAlign w:val="bottom"/>
            <w:tcBorders>
              <w:top w:val="single" w:sz="8" w:color="CCEEFF"/>
            </w:tcBorders>
            <w:shd w:val="clear" w:color="auto" w:fill="CCEEFF"/>
          </w:tcPr>
          <w:p>
            <w:pPr>
              <w:spacing w:after="0"/>
              <w:rPr>
                <w:sz w:val="2"/>
                <w:szCs w:val="2"/>
                <w:color w:val="auto"/>
              </w:rPr>
            </w:pPr>
          </w:p>
        </w:tc>
        <w:tc>
          <w:tcPr>
            <w:tcW w:w="4020" w:type="dxa"/>
            <w:vAlign w:val="bottom"/>
            <w:tcBorders>
              <w:top w:val="single" w:sz="8" w:color="0000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220" w:type="dxa"/>
            <w:vAlign w:val="bottom"/>
            <w:gridSpan w:val="5"/>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Condensed Consolidated Statements of Cash Flows for the Three Months Ended April 30, 2020 and April 30, 2019</w:t>
              </w:r>
            </w:hyperlink>
          </w:p>
        </w:tc>
        <w:tc>
          <w:tcPr>
            <w:tcW w:w="1000" w:type="dxa"/>
            <w:vAlign w:val="bottom"/>
          </w:tcPr>
          <w:p>
            <w:pPr>
              <w:jc w:val="center"/>
              <w:spacing w:after="0"/>
              <w:rPr>
                <w:rFonts w:ascii="Arial" w:cs="Arial" w:eastAsia="Arial" w:hAnsi="Arial"/>
                <w:sz w:val="18"/>
                <w:szCs w:val="18"/>
                <w:color w:val="auto"/>
                <w:w w:val="99"/>
              </w:rPr>
            </w:pPr>
            <w:hyperlink w:anchor="page8">
              <w:r>
                <w:rPr>
                  <w:rFonts w:ascii="Arial" w:cs="Arial" w:eastAsia="Arial" w:hAnsi="Arial"/>
                  <w:sz w:val="18"/>
                  <w:szCs w:val="18"/>
                  <w:color w:val="auto"/>
                  <w:w w:val="99"/>
                </w:rPr>
                <w:t>9</w:t>
              </w:r>
            </w:hyperlink>
          </w:p>
        </w:tc>
        <w:tc>
          <w:tcPr>
            <w:tcW w:w="0" w:type="dxa"/>
            <w:vAlign w:val="bottom"/>
          </w:tcPr>
          <w:p>
            <w:pPr>
              <w:spacing w:after="0"/>
              <w:rPr>
                <w:sz w:val="1"/>
                <w:szCs w:val="1"/>
                <w:color w:val="auto"/>
              </w:rPr>
            </w:pPr>
          </w:p>
        </w:tc>
      </w:tr>
      <w:tr>
        <w:trPr>
          <w:trHeight w:val="249"/>
        </w:trPr>
        <w:tc>
          <w:tcPr>
            <w:tcW w:w="1020" w:type="dxa"/>
            <w:vAlign w:val="bottom"/>
            <w:shd w:val="clear" w:color="auto" w:fill="CCEEFF"/>
          </w:tcPr>
          <w:p>
            <w:pPr>
              <w:spacing w:after="0"/>
              <w:rPr>
                <w:sz w:val="21"/>
                <w:szCs w:val="21"/>
                <w:color w:val="auto"/>
              </w:rPr>
            </w:pPr>
          </w:p>
        </w:tc>
        <w:tc>
          <w:tcPr>
            <w:tcW w:w="9220" w:type="dxa"/>
            <w:vAlign w:val="bottom"/>
            <w:gridSpan w:val="5"/>
            <w:shd w:val="clear" w:color="auto" w:fill="CCEEFF"/>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w:t>
              </w:r>
            </w:hyperlink>
          </w:p>
        </w:tc>
        <w:tc>
          <w:tcPr>
            <w:tcW w:w="1000" w:type="dxa"/>
            <w:vAlign w:val="bottom"/>
            <w:shd w:val="clear" w:color="auto" w:fill="CCEEFF"/>
          </w:tcPr>
          <w:p>
            <w:pPr>
              <w:jc w:val="center"/>
              <w:spacing w:after="0"/>
              <w:rPr>
                <w:rFonts w:ascii="Arial" w:cs="Arial" w:eastAsia="Arial" w:hAnsi="Arial"/>
                <w:sz w:val="18"/>
                <w:szCs w:val="18"/>
                <w:color w:val="auto"/>
                <w:w w:val="89"/>
              </w:rPr>
            </w:pPr>
            <w:hyperlink w:anchor="page9">
              <w:r>
                <w:rPr>
                  <w:rFonts w:ascii="Arial" w:cs="Arial" w:eastAsia="Arial" w:hAnsi="Arial"/>
                  <w:sz w:val="18"/>
                  <w:szCs w:val="18"/>
                  <w:color w:val="auto"/>
                  <w:w w:val="89"/>
                </w:rPr>
                <w:t>10</w:t>
              </w:r>
            </w:hyperlink>
          </w:p>
        </w:tc>
        <w:tc>
          <w:tcPr>
            <w:tcW w:w="0" w:type="dxa"/>
            <w:vAlign w:val="bottom"/>
          </w:tcPr>
          <w:p>
            <w:pPr>
              <w:spacing w:after="0"/>
              <w:rPr>
                <w:sz w:val="1"/>
                <w:szCs w:val="1"/>
                <w:color w:val="auto"/>
              </w:rPr>
            </w:pPr>
          </w:p>
        </w:tc>
      </w:tr>
      <w:tr>
        <w:trPr>
          <w:trHeight w:val="237"/>
        </w:trPr>
        <w:tc>
          <w:tcPr>
            <w:tcW w:w="1020" w:type="dxa"/>
            <w:vAlign w:val="bottom"/>
          </w:tcPr>
          <w:p>
            <w:pPr>
              <w:ind w:left="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2.</w:t>
              </w:r>
            </w:hyperlink>
          </w:p>
        </w:tc>
        <w:tc>
          <w:tcPr>
            <w:tcW w:w="9220" w:type="dxa"/>
            <w:vAlign w:val="bottom"/>
            <w:gridSpan w:val="5"/>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Management’s Discussion and Analysis of Financial Condition and Results of Operations</w:t>
              </w:r>
            </w:hyperlink>
          </w:p>
        </w:tc>
        <w:tc>
          <w:tcPr>
            <w:tcW w:w="1000" w:type="dxa"/>
            <w:vAlign w:val="bottom"/>
          </w:tcPr>
          <w:p>
            <w:pPr>
              <w:jc w:val="center"/>
              <w:spacing w:after="0"/>
              <w:rPr>
                <w:rFonts w:ascii="Arial" w:cs="Arial" w:eastAsia="Arial" w:hAnsi="Arial"/>
                <w:sz w:val="18"/>
                <w:szCs w:val="18"/>
                <w:color w:val="auto"/>
                <w:w w:val="89"/>
              </w:rPr>
            </w:pPr>
            <w:hyperlink w:anchor="page29">
              <w:r>
                <w:rPr>
                  <w:rFonts w:ascii="Arial" w:cs="Arial" w:eastAsia="Arial" w:hAnsi="Arial"/>
                  <w:sz w:val="18"/>
                  <w:szCs w:val="18"/>
                  <w:color w:val="auto"/>
                  <w:w w:val="89"/>
                </w:rPr>
                <w:t>30</w:t>
              </w:r>
            </w:hyperlink>
          </w:p>
        </w:tc>
        <w:tc>
          <w:tcPr>
            <w:tcW w:w="0" w:type="dxa"/>
            <w:vAlign w:val="bottom"/>
          </w:tcPr>
          <w:p>
            <w:pPr>
              <w:spacing w:after="0"/>
              <w:rPr>
                <w:sz w:val="1"/>
                <w:szCs w:val="1"/>
                <w:color w:val="auto"/>
              </w:rPr>
            </w:pPr>
          </w:p>
        </w:tc>
      </w:tr>
      <w:tr>
        <w:trPr>
          <w:trHeight w:val="249"/>
        </w:trPr>
        <w:tc>
          <w:tcPr>
            <w:tcW w:w="1020" w:type="dxa"/>
            <w:vAlign w:val="bottom"/>
            <w:shd w:val="clear" w:color="auto" w:fill="CCEEFF"/>
          </w:tcPr>
          <w:p>
            <w:pPr>
              <w:ind w:left="2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3.</w:t>
              </w:r>
            </w:hyperlink>
          </w:p>
        </w:tc>
        <w:tc>
          <w:tcPr>
            <w:tcW w:w="9220" w:type="dxa"/>
            <w:vAlign w:val="bottom"/>
            <w:gridSpan w:val="5"/>
            <w:shd w:val="clear" w:color="auto" w:fill="CCEEFF"/>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Quantitative and Qualitative Disclosures about Market Risk</w:t>
              </w:r>
            </w:hyperlink>
          </w:p>
        </w:tc>
        <w:tc>
          <w:tcPr>
            <w:tcW w:w="1000" w:type="dxa"/>
            <w:vAlign w:val="bottom"/>
            <w:shd w:val="clear" w:color="auto" w:fill="CCEEFF"/>
          </w:tcPr>
          <w:p>
            <w:pPr>
              <w:jc w:val="center"/>
              <w:spacing w:after="0"/>
              <w:rPr>
                <w:rFonts w:ascii="Arial" w:cs="Arial" w:eastAsia="Arial" w:hAnsi="Arial"/>
                <w:sz w:val="18"/>
                <w:szCs w:val="18"/>
                <w:color w:val="auto"/>
                <w:w w:val="89"/>
              </w:rPr>
            </w:pPr>
            <w:hyperlink w:anchor="page46">
              <w:r>
                <w:rPr>
                  <w:rFonts w:ascii="Arial" w:cs="Arial" w:eastAsia="Arial" w:hAnsi="Arial"/>
                  <w:sz w:val="18"/>
                  <w:szCs w:val="18"/>
                  <w:color w:val="auto"/>
                  <w:w w:val="89"/>
                </w:rPr>
                <w:t>47</w:t>
              </w:r>
            </w:hyperlink>
          </w:p>
        </w:tc>
        <w:tc>
          <w:tcPr>
            <w:tcW w:w="0" w:type="dxa"/>
            <w:vAlign w:val="bottom"/>
          </w:tcPr>
          <w:p>
            <w:pPr>
              <w:spacing w:after="0"/>
              <w:rPr>
                <w:sz w:val="1"/>
                <w:szCs w:val="1"/>
                <w:color w:val="auto"/>
              </w:rPr>
            </w:pPr>
          </w:p>
        </w:tc>
      </w:tr>
      <w:tr>
        <w:trPr>
          <w:trHeight w:val="237"/>
        </w:trPr>
        <w:tc>
          <w:tcPr>
            <w:tcW w:w="1020" w:type="dxa"/>
            <w:vAlign w:val="bottom"/>
          </w:tcPr>
          <w:p>
            <w:pPr>
              <w:ind w:left="2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Item 4.</w:t>
              </w:r>
            </w:hyperlink>
          </w:p>
        </w:tc>
        <w:tc>
          <w:tcPr>
            <w:tcW w:w="9220" w:type="dxa"/>
            <w:vAlign w:val="bottom"/>
            <w:gridSpan w:val="5"/>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Controls and Procedures</w:t>
              </w:r>
            </w:hyperlink>
          </w:p>
        </w:tc>
        <w:tc>
          <w:tcPr>
            <w:tcW w:w="1000" w:type="dxa"/>
            <w:vAlign w:val="bottom"/>
          </w:tcPr>
          <w:p>
            <w:pPr>
              <w:jc w:val="center"/>
              <w:spacing w:after="0"/>
              <w:rPr>
                <w:rFonts w:ascii="Arial" w:cs="Arial" w:eastAsia="Arial" w:hAnsi="Arial"/>
                <w:sz w:val="18"/>
                <w:szCs w:val="18"/>
                <w:color w:val="auto"/>
                <w:w w:val="89"/>
              </w:rPr>
            </w:pPr>
            <w:hyperlink w:anchor="page47">
              <w:r>
                <w:rPr>
                  <w:rFonts w:ascii="Arial" w:cs="Arial" w:eastAsia="Arial" w:hAnsi="Arial"/>
                  <w:sz w:val="18"/>
                  <w:szCs w:val="18"/>
                  <w:color w:val="auto"/>
                  <w:w w:val="89"/>
                </w:rPr>
                <w:t>47</w:t>
              </w:r>
            </w:hyperlink>
          </w:p>
        </w:tc>
        <w:tc>
          <w:tcPr>
            <w:tcW w:w="0" w:type="dxa"/>
            <w:vAlign w:val="bottom"/>
          </w:tcPr>
          <w:p>
            <w:pPr>
              <w:spacing w:after="0"/>
              <w:rPr>
                <w:sz w:val="1"/>
                <w:szCs w:val="1"/>
                <w:color w:val="auto"/>
              </w:rPr>
            </w:pPr>
          </w:p>
        </w:tc>
      </w:tr>
      <w:tr>
        <w:trPr>
          <w:trHeight w:val="263"/>
        </w:trPr>
        <w:tc>
          <w:tcPr>
            <w:tcW w:w="1020" w:type="dxa"/>
            <w:vAlign w:val="bottom"/>
            <w:shd w:val="clear" w:color="auto" w:fill="CCEEFF"/>
          </w:tcPr>
          <w:p>
            <w:pPr>
              <w:spacing w:after="0"/>
              <w:rPr>
                <w:sz w:val="22"/>
                <w:szCs w:val="22"/>
                <w:color w:val="auto"/>
              </w:rPr>
            </w:pPr>
          </w:p>
        </w:tc>
        <w:tc>
          <w:tcPr>
            <w:tcW w:w="40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9220" w:type="dxa"/>
            <w:vAlign w:val="bottom"/>
            <w:gridSpan w:val="5"/>
          </w:tcPr>
          <w:p>
            <w:pPr>
              <w:ind w:left="334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PART II. OTHER INFORMATION</w:t>
              </w:r>
            </w:hyperlink>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020" w:type="dxa"/>
            <w:vAlign w:val="bottom"/>
            <w:shd w:val="clear" w:color="auto" w:fill="CCEEFF"/>
          </w:tcPr>
          <w:p>
            <w:pPr>
              <w:spacing w:after="0"/>
              <w:rPr>
                <w:sz w:val="22"/>
                <w:szCs w:val="22"/>
                <w:color w:val="auto"/>
              </w:rPr>
            </w:pPr>
          </w:p>
        </w:tc>
        <w:tc>
          <w:tcPr>
            <w:tcW w:w="40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2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1.</w:t>
              </w:r>
            </w:hyperlink>
          </w:p>
        </w:tc>
        <w:tc>
          <w:tcPr>
            <w:tcW w:w="9220" w:type="dxa"/>
            <w:vAlign w:val="bottom"/>
            <w:gridSpan w:val="5"/>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Legal Proceedings</w:t>
              </w:r>
            </w:hyperlink>
          </w:p>
        </w:tc>
        <w:tc>
          <w:tcPr>
            <w:tcW w:w="1000" w:type="dxa"/>
            <w:vAlign w:val="bottom"/>
          </w:tcPr>
          <w:p>
            <w:pPr>
              <w:jc w:val="center"/>
              <w:spacing w:after="0"/>
              <w:rPr>
                <w:rFonts w:ascii="Arial" w:cs="Arial" w:eastAsia="Arial" w:hAnsi="Arial"/>
                <w:sz w:val="18"/>
                <w:szCs w:val="18"/>
                <w:color w:val="auto"/>
                <w:w w:val="89"/>
              </w:rPr>
            </w:pPr>
            <w:hyperlink w:anchor="page49">
              <w:r>
                <w:rPr>
                  <w:rFonts w:ascii="Arial" w:cs="Arial" w:eastAsia="Arial" w:hAnsi="Arial"/>
                  <w:sz w:val="18"/>
                  <w:szCs w:val="18"/>
                  <w:color w:val="auto"/>
                  <w:w w:val="89"/>
                </w:rPr>
                <w:t>49</w:t>
              </w:r>
            </w:hyperlink>
          </w:p>
        </w:tc>
        <w:tc>
          <w:tcPr>
            <w:tcW w:w="0" w:type="dxa"/>
            <w:vAlign w:val="bottom"/>
          </w:tcPr>
          <w:p>
            <w:pPr>
              <w:spacing w:after="0"/>
              <w:rPr>
                <w:sz w:val="1"/>
                <w:szCs w:val="1"/>
                <w:color w:val="auto"/>
              </w:rPr>
            </w:pPr>
          </w:p>
        </w:tc>
      </w:tr>
      <w:tr>
        <w:trPr>
          <w:trHeight w:val="249"/>
        </w:trPr>
        <w:tc>
          <w:tcPr>
            <w:tcW w:w="1020" w:type="dxa"/>
            <w:vAlign w:val="bottom"/>
            <w:shd w:val="clear" w:color="auto" w:fill="CCEEFF"/>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1A.</w:t>
              </w:r>
            </w:hyperlink>
          </w:p>
        </w:tc>
        <w:tc>
          <w:tcPr>
            <w:tcW w:w="9220" w:type="dxa"/>
            <w:vAlign w:val="bottom"/>
            <w:gridSpan w:val="5"/>
            <w:shd w:val="clear" w:color="auto" w:fill="CCEEFF"/>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Risk Factors</w:t>
              </w:r>
            </w:hyperlink>
          </w:p>
        </w:tc>
        <w:tc>
          <w:tcPr>
            <w:tcW w:w="1000" w:type="dxa"/>
            <w:vAlign w:val="bottom"/>
            <w:shd w:val="clear" w:color="auto" w:fill="CCEEFF"/>
          </w:tcPr>
          <w:p>
            <w:pPr>
              <w:jc w:val="center"/>
              <w:spacing w:after="0"/>
              <w:rPr>
                <w:rFonts w:ascii="Arial" w:cs="Arial" w:eastAsia="Arial" w:hAnsi="Arial"/>
                <w:sz w:val="18"/>
                <w:szCs w:val="18"/>
                <w:color w:val="auto"/>
                <w:w w:val="89"/>
              </w:rPr>
            </w:pPr>
            <w:hyperlink w:anchor="page49">
              <w:r>
                <w:rPr>
                  <w:rFonts w:ascii="Arial" w:cs="Arial" w:eastAsia="Arial" w:hAnsi="Arial"/>
                  <w:sz w:val="18"/>
                  <w:szCs w:val="18"/>
                  <w:color w:val="auto"/>
                  <w:w w:val="89"/>
                </w:rPr>
                <w:t>49</w:t>
              </w:r>
            </w:hyperlink>
          </w:p>
        </w:tc>
        <w:tc>
          <w:tcPr>
            <w:tcW w:w="0" w:type="dxa"/>
            <w:vAlign w:val="bottom"/>
          </w:tcPr>
          <w:p>
            <w:pPr>
              <w:spacing w:after="0"/>
              <w:rPr>
                <w:sz w:val="1"/>
                <w:szCs w:val="1"/>
                <w:color w:val="auto"/>
              </w:rPr>
            </w:pPr>
          </w:p>
        </w:tc>
      </w:tr>
      <w:tr>
        <w:trPr>
          <w:trHeight w:val="237"/>
        </w:trPr>
        <w:tc>
          <w:tcPr>
            <w:tcW w:w="1020" w:type="dxa"/>
            <w:vAlign w:val="bottom"/>
          </w:tcPr>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Item 2.</w:t>
              </w:r>
            </w:hyperlink>
          </w:p>
        </w:tc>
        <w:tc>
          <w:tcPr>
            <w:tcW w:w="9220" w:type="dxa"/>
            <w:vAlign w:val="bottom"/>
            <w:gridSpan w:val="5"/>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Unregistered Shares of Equity Securities and Use of Proceeds</w:t>
              </w:r>
            </w:hyperlink>
          </w:p>
        </w:tc>
        <w:tc>
          <w:tcPr>
            <w:tcW w:w="1000" w:type="dxa"/>
            <w:vAlign w:val="bottom"/>
          </w:tcPr>
          <w:p>
            <w:pPr>
              <w:jc w:val="center"/>
              <w:spacing w:after="0"/>
              <w:rPr>
                <w:rFonts w:ascii="Arial" w:cs="Arial" w:eastAsia="Arial" w:hAnsi="Arial"/>
                <w:sz w:val="18"/>
                <w:szCs w:val="18"/>
                <w:color w:val="auto"/>
                <w:w w:val="89"/>
              </w:rPr>
            </w:pPr>
            <w:hyperlink w:anchor="page80">
              <w:r>
                <w:rPr>
                  <w:rFonts w:ascii="Arial" w:cs="Arial" w:eastAsia="Arial" w:hAnsi="Arial"/>
                  <w:sz w:val="18"/>
                  <w:szCs w:val="18"/>
                  <w:color w:val="auto"/>
                  <w:w w:val="89"/>
                </w:rPr>
                <w:t>80</w:t>
              </w:r>
            </w:hyperlink>
          </w:p>
        </w:tc>
        <w:tc>
          <w:tcPr>
            <w:tcW w:w="0" w:type="dxa"/>
            <w:vAlign w:val="bottom"/>
          </w:tcPr>
          <w:p>
            <w:pPr>
              <w:spacing w:after="0"/>
              <w:rPr>
                <w:sz w:val="1"/>
                <w:szCs w:val="1"/>
                <w:color w:val="auto"/>
              </w:rPr>
            </w:pPr>
          </w:p>
        </w:tc>
      </w:tr>
      <w:tr>
        <w:trPr>
          <w:trHeight w:val="249"/>
        </w:trPr>
        <w:tc>
          <w:tcPr>
            <w:tcW w:w="1020" w:type="dxa"/>
            <w:vAlign w:val="bottom"/>
            <w:shd w:val="clear" w:color="auto" w:fill="CCEEFF"/>
          </w:tcPr>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Item 3.</w:t>
              </w:r>
            </w:hyperlink>
          </w:p>
        </w:tc>
        <w:tc>
          <w:tcPr>
            <w:tcW w:w="9220" w:type="dxa"/>
            <w:vAlign w:val="bottom"/>
            <w:gridSpan w:val="5"/>
            <w:shd w:val="clear" w:color="auto" w:fill="CCEEFF"/>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Defaults Upon Senior Securities</w:t>
              </w:r>
            </w:hyperlink>
          </w:p>
        </w:tc>
        <w:tc>
          <w:tcPr>
            <w:tcW w:w="1000" w:type="dxa"/>
            <w:vAlign w:val="bottom"/>
            <w:shd w:val="clear" w:color="auto" w:fill="CCEEFF"/>
          </w:tcPr>
          <w:p>
            <w:pPr>
              <w:jc w:val="center"/>
              <w:spacing w:after="0"/>
              <w:rPr>
                <w:rFonts w:ascii="Arial" w:cs="Arial" w:eastAsia="Arial" w:hAnsi="Arial"/>
                <w:sz w:val="18"/>
                <w:szCs w:val="18"/>
                <w:color w:val="auto"/>
                <w:w w:val="89"/>
              </w:rPr>
            </w:pPr>
            <w:hyperlink w:anchor="page80">
              <w:r>
                <w:rPr>
                  <w:rFonts w:ascii="Arial" w:cs="Arial" w:eastAsia="Arial" w:hAnsi="Arial"/>
                  <w:sz w:val="18"/>
                  <w:szCs w:val="18"/>
                  <w:color w:val="auto"/>
                  <w:w w:val="89"/>
                </w:rPr>
                <w:t>80</w:t>
              </w:r>
            </w:hyperlink>
          </w:p>
        </w:tc>
        <w:tc>
          <w:tcPr>
            <w:tcW w:w="0" w:type="dxa"/>
            <w:vAlign w:val="bottom"/>
          </w:tcPr>
          <w:p>
            <w:pPr>
              <w:spacing w:after="0"/>
              <w:rPr>
                <w:sz w:val="1"/>
                <w:szCs w:val="1"/>
                <w:color w:val="auto"/>
              </w:rPr>
            </w:pPr>
          </w:p>
        </w:tc>
      </w:tr>
      <w:tr>
        <w:trPr>
          <w:trHeight w:val="237"/>
        </w:trPr>
        <w:tc>
          <w:tcPr>
            <w:tcW w:w="1020" w:type="dxa"/>
            <w:vAlign w:val="bottom"/>
          </w:tcPr>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Item 4.</w:t>
              </w:r>
            </w:hyperlink>
          </w:p>
        </w:tc>
        <w:tc>
          <w:tcPr>
            <w:tcW w:w="9220" w:type="dxa"/>
            <w:vAlign w:val="bottom"/>
            <w:gridSpan w:val="5"/>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Mine Safety Disclosures</w:t>
              </w:r>
            </w:hyperlink>
          </w:p>
        </w:tc>
        <w:tc>
          <w:tcPr>
            <w:tcW w:w="1000" w:type="dxa"/>
            <w:vAlign w:val="bottom"/>
          </w:tcPr>
          <w:p>
            <w:pPr>
              <w:jc w:val="center"/>
              <w:spacing w:after="0"/>
              <w:rPr>
                <w:rFonts w:ascii="Arial" w:cs="Arial" w:eastAsia="Arial" w:hAnsi="Arial"/>
                <w:sz w:val="18"/>
                <w:szCs w:val="18"/>
                <w:color w:val="auto"/>
                <w:w w:val="89"/>
              </w:rPr>
            </w:pPr>
            <w:hyperlink w:anchor="page80">
              <w:r>
                <w:rPr>
                  <w:rFonts w:ascii="Arial" w:cs="Arial" w:eastAsia="Arial" w:hAnsi="Arial"/>
                  <w:sz w:val="18"/>
                  <w:szCs w:val="18"/>
                  <w:color w:val="auto"/>
                  <w:w w:val="89"/>
                </w:rPr>
                <w:t>80</w:t>
              </w:r>
            </w:hyperlink>
          </w:p>
        </w:tc>
        <w:tc>
          <w:tcPr>
            <w:tcW w:w="0" w:type="dxa"/>
            <w:vAlign w:val="bottom"/>
          </w:tcPr>
          <w:p>
            <w:pPr>
              <w:spacing w:after="0"/>
              <w:rPr>
                <w:sz w:val="1"/>
                <w:szCs w:val="1"/>
                <w:color w:val="auto"/>
              </w:rPr>
            </w:pPr>
          </w:p>
        </w:tc>
      </w:tr>
      <w:tr>
        <w:trPr>
          <w:trHeight w:val="249"/>
        </w:trPr>
        <w:tc>
          <w:tcPr>
            <w:tcW w:w="1020" w:type="dxa"/>
            <w:vAlign w:val="bottom"/>
            <w:shd w:val="clear" w:color="auto" w:fill="CCEEFF"/>
          </w:tcPr>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Item 5.</w:t>
              </w:r>
            </w:hyperlink>
          </w:p>
        </w:tc>
        <w:tc>
          <w:tcPr>
            <w:tcW w:w="9220" w:type="dxa"/>
            <w:vAlign w:val="bottom"/>
            <w:gridSpan w:val="5"/>
            <w:shd w:val="clear" w:color="auto" w:fill="CCEEFF"/>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Other Information</w:t>
              </w:r>
            </w:hyperlink>
          </w:p>
        </w:tc>
        <w:tc>
          <w:tcPr>
            <w:tcW w:w="1000" w:type="dxa"/>
            <w:vAlign w:val="bottom"/>
            <w:shd w:val="clear" w:color="auto" w:fill="CCEEFF"/>
          </w:tcPr>
          <w:p>
            <w:pPr>
              <w:jc w:val="center"/>
              <w:spacing w:after="0"/>
              <w:rPr>
                <w:rFonts w:ascii="Arial" w:cs="Arial" w:eastAsia="Arial" w:hAnsi="Arial"/>
                <w:sz w:val="18"/>
                <w:szCs w:val="18"/>
                <w:color w:val="auto"/>
                <w:w w:val="89"/>
              </w:rPr>
            </w:pPr>
            <w:hyperlink w:anchor="page80">
              <w:r>
                <w:rPr>
                  <w:rFonts w:ascii="Arial" w:cs="Arial" w:eastAsia="Arial" w:hAnsi="Arial"/>
                  <w:sz w:val="18"/>
                  <w:szCs w:val="18"/>
                  <w:color w:val="auto"/>
                  <w:w w:val="89"/>
                </w:rPr>
                <w:t>80</w:t>
              </w:r>
            </w:hyperlink>
          </w:p>
        </w:tc>
        <w:tc>
          <w:tcPr>
            <w:tcW w:w="0" w:type="dxa"/>
            <w:vAlign w:val="bottom"/>
          </w:tcPr>
          <w:p>
            <w:pPr>
              <w:spacing w:after="0"/>
              <w:rPr>
                <w:sz w:val="1"/>
                <w:szCs w:val="1"/>
                <w:color w:val="auto"/>
              </w:rPr>
            </w:pPr>
          </w:p>
        </w:tc>
      </w:tr>
      <w:tr>
        <w:trPr>
          <w:trHeight w:val="237"/>
        </w:trPr>
        <w:tc>
          <w:tcPr>
            <w:tcW w:w="1020" w:type="dxa"/>
            <w:vAlign w:val="bottom"/>
          </w:tcPr>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Item 6.</w:t>
              </w:r>
            </w:hyperlink>
          </w:p>
        </w:tc>
        <w:tc>
          <w:tcPr>
            <w:tcW w:w="9220" w:type="dxa"/>
            <w:vAlign w:val="bottom"/>
            <w:gridSpan w:val="5"/>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Exhibits</w:t>
              </w:r>
            </w:hyperlink>
          </w:p>
        </w:tc>
        <w:tc>
          <w:tcPr>
            <w:tcW w:w="1000" w:type="dxa"/>
            <w:vAlign w:val="bottom"/>
          </w:tcPr>
          <w:p>
            <w:pPr>
              <w:jc w:val="center"/>
              <w:spacing w:after="0"/>
              <w:rPr>
                <w:rFonts w:ascii="Arial" w:cs="Arial" w:eastAsia="Arial" w:hAnsi="Arial"/>
                <w:sz w:val="18"/>
                <w:szCs w:val="18"/>
                <w:color w:val="auto"/>
                <w:w w:val="89"/>
              </w:rPr>
            </w:pPr>
            <w:hyperlink w:anchor="page80">
              <w:r>
                <w:rPr>
                  <w:rFonts w:ascii="Arial" w:cs="Arial" w:eastAsia="Arial" w:hAnsi="Arial"/>
                  <w:sz w:val="18"/>
                  <w:szCs w:val="18"/>
                  <w:color w:val="auto"/>
                  <w:w w:val="89"/>
                </w:rPr>
                <w:t>81</w:t>
              </w:r>
            </w:hyperlink>
          </w:p>
        </w:tc>
        <w:tc>
          <w:tcPr>
            <w:tcW w:w="0" w:type="dxa"/>
            <w:vAlign w:val="bottom"/>
          </w:tcPr>
          <w:p>
            <w:pPr>
              <w:spacing w:after="0"/>
              <w:rPr>
                <w:sz w:val="1"/>
                <w:szCs w:val="1"/>
                <w:color w:val="auto"/>
              </w:rPr>
            </w:pPr>
          </w:p>
        </w:tc>
      </w:tr>
      <w:tr>
        <w:trPr>
          <w:trHeight w:val="249"/>
        </w:trPr>
        <w:tc>
          <w:tcPr>
            <w:tcW w:w="1020" w:type="dxa"/>
            <w:vAlign w:val="bottom"/>
            <w:shd w:val="clear" w:color="auto" w:fill="CCEEFF"/>
          </w:tcPr>
          <w:p>
            <w:pPr>
              <w:spacing w:after="0"/>
              <w:rPr>
                <w:sz w:val="21"/>
                <w:szCs w:val="21"/>
                <w:color w:val="auto"/>
              </w:rPr>
            </w:pPr>
          </w:p>
        </w:tc>
        <w:tc>
          <w:tcPr>
            <w:tcW w:w="9220" w:type="dxa"/>
            <w:vAlign w:val="bottom"/>
            <w:gridSpan w:val="5"/>
            <w:shd w:val="clear" w:color="auto" w:fill="CCEEFF"/>
          </w:tcPr>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Signatures</w:t>
              </w:r>
            </w:hyperlink>
          </w:p>
        </w:tc>
        <w:tc>
          <w:tcPr>
            <w:tcW w:w="1000" w:type="dxa"/>
            <w:vAlign w:val="bottom"/>
            <w:shd w:val="clear" w:color="auto" w:fill="CCEEFF"/>
          </w:tcPr>
          <w:p>
            <w:pPr>
              <w:jc w:val="center"/>
              <w:spacing w:after="0"/>
              <w:rPr>
                <w:rFonts w:ascii="Arial" w:cs="Arial" w:eastAsia="Arial" w:hAnsi="Arial"/>
                <w:sz w:val="18"/>
                <w:szCs w:val="18"/>
                <w:color w:val="auto"/>
                <w:w w:val="89"/>
              </w:rPr>
            </w:pPr>
            <w:hyperlink w:anchor="page81">
              <w:r>
                <w:rPr>
                  <w:rFonts w:ascii="Arial" w:cs="Arial" w:eastAsia="Arial" w:hAnsi="Arial"/>
                  <w:sz w:val="18"/>
                  <w:szCs w:val="18"/>
                  <w:color w:val="auto"/>
                  <w:w w:val="89"/>
                </w:rPr>
                <w:t>82</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2" w:lineRule="exact"/>
        <w:rPr>
          <w:sz w:val="20"/>
          <w:szCs w:val="20"/>
          <w:color w:val="auto"/>
        </w:rPr>
      </w:pPr>
    </w:p>
    <w:p>
      <w:pPr>
        <w:ind w:firstLine="648"/>
        <w:spacing w:after="0" w:line="242"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forward-looking statements include, but are not limited to, statements concerning the following:</w:t>
      </w:r>
    </w:p>
    <w:p>
      <w:pPr>
        <w:spacing w:after="0" w:line="144" w:lineRule="exact"/>
        <w:rPr>
          <w:sz w:val="20"/>
          <w:szCs w:val="20"/>
          <w:color w:val="auto"/>
        </w:rPr>
      </w:pPr>
    </w:p>
    <w:p>
      <w:pPr>
        <w:ind w:left="1300" w:right="200" w:hanging="320"/>
        <w:spacing w:after="0" w:line="246"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operations, financial results, and liquidity and capital resources, including on customers, sales, expenses, and employees;</w:t>
      </w:r>
    </w:p>
    <w:p>
      <w:pPr>
        <w:spacing w:after="0" w:line="115" w:lineRule="exact"/>
        <w:rPr>
          <w:rFonts w:ascii="Arial" w:cs="Arial" w:eastAsia="Arial" w:hAnsi="Arial"/>
          <w:sz w:val="18"/>
          <w:szCs w:val="18"/>
          <w:color w:val="auto"/>
        </w:rPr>
      </w:pPr>
    </w:p>
    <w:p>
      <w:pPr>
        <w:ind w:left="1300" w:right="100" w:hanging="320"/>
        <w:spacing w:after="0" w:line="235"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2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our cloud platform;</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cloud platform;</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 including by attracting new customers;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solutions, or enhancements to our existing solutions, and bring them to market in a timely manner;</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 and associated investments;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beliefs and objectives for future operations;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 including channel partners and technology alliance partners;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rights;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in our existing markets and into new markets;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sufficiency of cash to meet cash needs for at least the next 12 months;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internationally;</w:t>
      </w:r>
    </w:p>
    <w:p>
      <w:pPr>
        <w:spacing w:after="0" w:line="144" w:lineRule="exact"/>
        <w:rPr>
          <w:rFonts w:ascii="Arial" w:cs="Arial" w:eastAsia="Arial" w:hAnsi="Arial"/>
          <w:sz w:val="18"/>
          <w:szCs w:val="18"/>
          <w:color w:val="auto"/>
        </w:rPr>
      </w:pPr>
    </w:p>
    <w:p>
      <w:pPr>
        <w:ind w:left="1300" w:right="220" w:hanging="320"/>
        <w:spacing w:after="0" w:line="246"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laws and regulations that currently apply or become applicable to our business both in the United States and internationally;</w:t>
      </w:r>
    </w:p>
    <w:p>
      <w:pPr>
        <w:spacing w:after="0" w:line="11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maintain, and improve our internal control over financial reporting;</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198" w:lineRule="exact"/>
        <w:rPr>
          <w:sz w:val="20"/>
          <w:szCs w:val="20"/>
          <w:color w:val="auto"/>
        </w:rPr>
      </w:pPr>
    </w:p>
    <w:p>
      <w:pPr>
        <w:ind w:right="20" w:firstLine="648"/>
        <w:spacing w:after="0" w:line="258" w:lineRule="auto"/>
        <w:rPr>
          <w:sz w:val="20"/>
          <w:szCs w:val="20"/>
          <w:color w:val="auto"/>
        </w:rPr>
      </w:pPr>
      <w:r>
        <w:rPr>
          <w:rFonts w:ascii="Arial" w:cs="Arial" w:eastAsia="Arial" w:hAnsi="Arial"/>
          <w:sz w:val="16"/>
          <w:szCs w:val="16"/>
          <w:color w:val="auto"/>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occurs,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48"/>
        <w:spacing w:after="0" w:line="258" w:lineRule="auto"/>
        <w:rPr>
          <w:sz w:val="20"/>
          <w:szCs w:val="20"/>
          <w:color w:val="auto"/>
        </w:rPr>
      </w:pPr>
      <w:r>
        <w:rPr>
          <w:rFonts w:ascii="Arial" w:cs="Arial" w:eastAsia="Arial" w:hAnsi="Arial"/>
          <w:sz w:val="16"/>
          <w:szCs w:val="16"/>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30,</w:t>
            </w:r>
          </w:p>
        </w:tc>
        <w:tc>
          <w:tcPr>
            <w:tcW w:w="180" w:type="dxa"/>
            <w:vAlign w:val="bottom"/>
          </w:tcPr>
          <w:p>
            <w:pPr>
              <w:spacing w:after="0"/>
              <w:rPr>
                <w:sz w:val="16"/>
                <w:szCs w:val="16"/>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96"/>
        </w:trPr>
        <w:tc>
          <w:tcPr>
            <w:tcW w:w="86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1,004,991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264,798</w:t>
            </w:r>
          </w:p>
        </w:tc>
        <w:tc>
          <w:tcPr>
            <w:tcW w:w="0" w:type="dxa"/>
            <w:vAlign w:val="bottom"/>
          </w:tcPr>
          <w:p>
            <w:pPr>
              <w:spacing w:after="0"/>
              <w:rPr>
                <w:sz w:val="1"/>
                <w:szCs w:val="1"/>
                <w:color w:val="auto"/>
              </w:rPr>
            </w:pPr>
          </w:p>
        </w:tc>
      </w:tr>
      <w:tr>
        <w:trPr>
          <w:trHeight w:val="196"/>
        </w:trPr>
        <w:tc>
          <w:tcPr>
            <w:tcW w:w="8600" w:type="dxa"/>
            <w:vAlign w:val="bottom"/>
          </w:tcPr>
          <w:p>
            <w:pPr>
              <w:ind w:left="120"/>
              <w:spacing w:after="0"/>
              <w:rPr>
                <w:sz w:val="20"/>
                <w:szCs w:val="20"/>
                <w:color w:val="auto"/>
              </w:rPr>
            </w:pPr>
            <w:r>
              <w:rPr>
                <w:rFonts w:ascii="Arial" w:cs="Arial" w:eastAsia="Arial" w:hAnsi="Arial"/>
                <w:sz w:val="14"/>
                <w:szCs w:val="14"/>
                <w:color w:val="auto"/>
              </w:rPr>
              <w:t>Marketable securities</w:t>
            </w:r>
          </w:p>
        </w:tc>
        <w:tc>
          <w:tcPr>
            <w:tcW w:w="2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647,266</w:t>
            </w:r>
          </w:p>
        </w:tc>
        <w:tc>
          <w:tcPr>
            <w:tcW w:w="0" w:type="dxa"/>
            <w:vAlign w:val="bottom"/>
          </w:tcPr>
          <w:p>
            <w:pPr>
              <w:spacing w:after="0"/>
              <w:rPr>
                <w:sz w:val="1"/>
                <w:szCs w:val="1"/>
                <w:color w:val="auto"/>
              </w:rPr>
            </w:pPr>
          </w:p>
        </w:tc>
      </w:tr>
      <w:tr>
        <w:trPr>
          <w:trHeight w:val="141"/>
        </w:trPr>
        <w:tc>
          <w:tcPr>
            <w:tcW w:w="860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Accounts receivable, net of allowance for doubtful accounts of $2.1 million and $1.1 million as of April 30, 2020 and January 31, 2020,</w:t>
            </w:r>
          </w:p>
        </w:tc>
        <w:tc>
          <w:tcPr>
            <w:tcW w:w="2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144,187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164,987</w:t>
            </w: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respectively</w:t>
            </w:r>
          </w:p>
        </w:tc>
        <w:tc>
          <w:tcPr>
            <w:tcW w:w="2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600" w:type="dxa"/>
            <w:vAlign w:val="bottom"/>
          </w:tcPr>
          <w:p>
            <w:pPr>
              <w:ind w:left="120"/>
              <w:spacing w:after="0"/>
              <w:rPr>
                <w:sz w:val="20"/>
                <w:szCs w:val="20"/>
                <w:color w:val="auto"/>
              </w:rPr>
            </w:pPr>
            <w:r>
              <w:rPr>
                <w:rFonts w:ascii="Arial" w:cs="Arial" w:eastAsia="Arial" w:hAnsi="Arial"/>
                <w:sz w:val="14"/>
                <w:szCs w:val="14"/>
                <w:color w:val="auto"/>
              </w:rPr>
              <w:t>Deferred contract acquisition costs, current</w:t>
            </w:r>
          </w:p>
        </w:tc>
        <w:tc>
          <w:tcPr>
            <w:tcW w:w="2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53,410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42,971</w:t>
            </w:r>
          </w:p>
        </w:tc>
        <w:tc>
          <w:tcPr>
            <w:tcW w:w="0" w:type="dxa"/>
            <w:vAlign w:val="bottom"/>
          </w:tcPr>
          <w:p>
            <w:pPr>
              <w:spacing w:after="0"/>
              <w:rPr>
                <w:sz w:val="1"/>
                <w:szCs w:val="1"/>
                <w:color w:val="auto"/>
              </w:rPr>
            </w:pPr>
          </w:p>
        </w:tc>
      </w:tr>
      <w:tr>
        <w:trPr>
          <w:trHeight w:val="203"/>
        </w:trPr>
        <w:tc>
          <w:tcPr>
            <w:tcW w:w="8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45,874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51,614</w:t>
            </w:r>
          </w:p>
        </w:tc>
        <w:tc>
          <w:tcPr>
            <w:tcW w:w="0" w:type="dxa"/>
            <w:vAlign w:val="bottom"/>
          </w:tcPr>
          <w:p>
            <w:pPr>
              <w:spacing w:after="0"/>
              <w:rPr>
                <w:sz w:val="1"/>
                <w:szCs w:val="1"/>
                <w:color w:val="auto"/>
              </w:rPr>
            </w:pPr>
          </w:p>
        </w:tc>
      </w:tr>
      <w:tr>
        <w:trPr>
          <w:trHeight w:val="196"/>
        </w:trPr>
        <w:tc>
          <w:tcPr>
            <w:tcW w:w="860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1,248,462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1,171,636</w:t>
            </w: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Strategic investments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96"/>
        </w:trPr>
        <w:tc>
          <w:tcPr>
            <w:tcW w:w="86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139,096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136,078</w:t>
            </w: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35,738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600" w:type="dxa"/>
            <w:vAlign w:val="bottom"/>
          </w:tcPr>
          <w:p>
            <w:pPr>
              <w:ind w:left="20"/>
              <w:spacing w:after="0"/>
              <w:rPr>
                <w:sz w:val="20"/>
                <w:szCs w:val="20"/>
                <w:color w:val="auto"/>
              </w:rPr>
            </w:pPr>
            <w:r>
              <w:rPr>
                <w:rFonts w:ascii="Arial" w:cs="Arial" w:eastAsia="Arial" w:hAnsi="Arial"/>
                <w:sz w:val="14"/>
                <w:szCs w:val="14"/>
                <w:color w:val="auto"/>
              </w:rPr>
              <w:t>Deferred contract acquisition costs, noncurrent</w:t>
            </w:r>
          </w:p>
        </w:tc>
        <w:tc>
          <w:tcPr>
            <w:tcW w:w="2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69,908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71,235</w:t>
            </w: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7,722</w:t>
            </w:r>
          </w:p>
        </w:tc>
        <w:tc>
          <w:tcPr>
            <w:tcW w:w="0" w:type="dxa"/>
            <w:vAlign w:val="bottom"/>
          </w:tcPr>
          <w:p>
            <w:pPr>
              <w:spacing w:after="0"/>
              <w:rPr>
                <w:sz w:val="1"/>
                <w:szCs w:val="1"/>
                <w:color w:val="auto"/>
              </w:rPr>
            </w:pPr>
          </w:p>
        </w:tc>
      </w:tr>
      <w:tr>
        <w:trPr>
          <w:trHeight w:val="196"/>
        </w:trPr>
        <w:tc>
          <w:tcPr>
            <w:tcW w:w="860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203"/>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17,121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16,708</w:t>
            </w:r>
          </w:p>
        </w:tc>
        <w:tc>
          <w:tcPr>
            <w:tcW w:w="0" w:type="dxa"/>
            <w:vAlign w:val="bottom"/>
          </w:tcPr>
          <w:p>
            <w:pPr>
              <w:spacing w:after="0"/>
              <w:rPr>
                <w:sz w:val="1"/>
                <w:szCs w:val="1"/>
                <w:color w:val="auto"/>
              </w:rPr>
            </w:pPr>
          </w:p>
        </w:tc>
      </w:tr>
      <w:tr>
        <w:trPr>
          <w:trHeight w:val="202"/>
        </w:trPr>
        <w:tc>
          <w:tcPr>
            <w:tcW w:w="8600" w:type="dxa"/>
            <w:vAlign w:val="bottom"/>
          </w:tcPr>
          <w:p>
            <w:pPr>
              <w:ind w:left="22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1,519,396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1,404,906</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1,345</w:t>
            </w:r>
          </w:p>
        </w:tc>
        <w:tc>
          <w:tcPr>
            <w:tcW w:w="0" w:type="dxa"/>
            <w:vAlign w:val="bottom"/>
          </w:tcPr>
          <w:p>
            <w:pPr>
              <w:spacing w:after="0"/>
              <w:rPr>
                <w:sz w:val="1"/>
                <w:szCs w:val="1"/>
                <w:color w:val="auto"/>
              </w:rPr>
            </w:pPr>
          </w:p>
        </w:tc>
      </w:tr>
      <w:tr>
        <w:trPr>
          <w:trHeight w:val="196"/>
        </w:trPr>
        <w:tc>
          <w:tcPr>
            <w:tcW w:w="8600" w:type="dxa"/>
            <w:vAlign w:val="bottom"/>
          </w:tcPr>
          <w:p>
            <w:pPr>
              <w:ind w:left="12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26,396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30,355</w:t>
            </w: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payroll and benefits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37,458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36,810</w:t>
            </w:r>
          </w:p>
        </w:tc>
        <w:tc>
          <w:tcPr>
            <w:tcW w:w="0" w:type="dxa"/>
            <w:vAlign w:val="bottom"/>
          </w:tcPr>
          <w:p>
            <w:pPr>
              <w:spacing w:after="0"/>
              <w:rPr>
                <w:sz w:val="1"/>
                <w:szCs w:val="1"/>
                <w:color w:val="auto"/>
              </w:rPr>
            </w:pPr>
          </w:p>
        </w:tc>
      </w:tr>
      <w:tr>
        <w:trPr>
          <w:trHeight w:val="196"/>
        </w:trPr>
        <w:tc>
          <w:tcPr>
            <w:tcW w:w="8600" w:type="dxa"/>
            <w:vAlign w:val="bottom"/>
          </w:tcPr>
          <w:p>
            <w:pPr>
              <w:ind w:left="120"/>
              <w:spacing w:after="0"/>
              <w:rPr>
                <w:sz w:val="20"/>
                <w:szCs w:val="20"/>
                <w:color w:val="auto"/>
              </w:rPr>
            </w:pPr>
            <w:r>
              <w:rPr>
                <w:rFonts w:ascii="Arial" w:cs="Arial" w:eastAsia="Arial" w:hAnsi="Arial"/>
                <w:sz w:val="14"/>
                <w:szCs w:val="14"/>
                <w:color w:val="auto"/>
              </w:rPr>
              <w:t>Operating lease liabilities, current</w:t>
            </w:r>
          </w:p>
        </w:tc>
        <w:tc>
          <w:tcPr>
            <w:tcW w:w="2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6,673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revenue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465,569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412,985</w:t>
            </w:r>
          </w:p>
        </w:tc>
        <w:tc>
          <w:tcPr>
            <w:tcW w:w="0" w:type="dxa"/>
            <w:vAlign w:val="bottom"/>
          </w:tcPr>
          <w:p>
            <w:pPr>
              <w:spacing w:after="0"/>
              <w:rPr>
                <w:sz w:val="1"/>
                <w:szCs w:val="1"/>
                <w:color w:val="auto"/>
              </w:rPr>
            </w:pPr>
          </w:p>
        </w:tc>
      </w:tr>
      <w:tr>
        <w:trPr>
          <w:trHeight w:val="196"/>
        </w:trPr>
        <w:tc>
          <w:tcPr>
            <w:tcW w:w="86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13,020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11,601</w:t>
            </w:r>
          </w:p>
        </w:tc>
        <w:tc>
          <w:tcPr>
            <w:tcW w:w="0" w:type="dxa"/>
            <w:vAlign w:val="bottom"/>
          </w:tcPr>
          <w:p>
            <w:pPr>
              <w:spacing w:after="0"/>
              <w:rPr>
                <w:sz w:val="1"/>
                <w:szCs w:val="1"/>
                <w:color w:val="auto"/>
              </w:rPr>
            </w:pPr>
          </w:p>
        </w:tc>
      </w:tr>
      <w:tr>
        <w:trPr>
          <w:trHeight w:val="202"/>
        </w:trPr>
        <w:tc>
          <w:tcPr>
            <w:tcW w:w="8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555,644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493,096</w:t>
            </w:r>
          </w:p>
        </w:tc>
        <w:tc>
          <w:tcPr>
            <w:tcW w:w="0" w:type="dxa"/>
            <w:vAlign w:val="bottom"/>
          </w:tcPr>
          <w:p>
            <w:pPr>
              <w:spacing w:after="0"/>
              <w:rPr>
                <w:sz w:val="1"/>
                <w:szCs w:val="1"/>
                <w:color w:val="auto"/>
              </w:rPr>
            </w:pPr>
          </w:p>
        </w:tc>
      </w:tr>
      <w:tr>
        <w:trPr>
          <w:trHeight w:val="196"/>
        </w:trPr>
        <w:tc>
          <w:tcPr>
            <w:tcW w:w="8600" w:type="dxa"/>
            <w:vAlign w:val="bottom"/>
          </w:tcPr>
          <w:p>
            <w:pPr>
              <w:ind w:left="20"/>
              <w:spacing w:after="0"/>
              <w:rPr>
                <w:sz w:val="20"/>
                <w:szCs w:val="20"/>
                <w:color w:val="auto"/>
              </w:rPr>
            </w:pPr>
            <w:r>
              <w:rPr>
                <w:rFonts w:ascii="Arial" w:cs="Arial" w:eastAsia="Arial" w:hAnsi="Arial"/>
                <w:sz w:val="14"/>
                <w:szCs w:val="14"/>
                <w:color w:val="auto"/>
              </w:rPr>
              <w:t>Deferred revenue, noncurrent</w:t>
            </w:r>
          </w:p>
        </w:tc>
        <w:tc>
          <w:tcPr>
            <w:tcW w:w="2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170,404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158,183</w:t>
            </w: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noncurrent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32,907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 noncurrent</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7,288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11,020</w:t>
            </w:r>
          </w:p>
        </w:tc>
        <w:tc>
          <w:tcPr>
            <w:tcW w:w="0" w:type="dxa"/>
            <w:vAlign w:val="bottom"/>
          </w:tcPr>
          <w:p>
            <w:pPr>
              <w:spacing w:after="0"/>
              <w:rPr>
                <w:sz w:val="1"/>
                <w:szCs w:val="1"/>
                <w:color w:val="auto"/>
              </w:rPr>
            </w:pPr>
          </w:p>
        </w:tc>
      </w:tr>
      <w:tr>
        <w:trPr>
          <w:trHeight w:val="202"/>
        </w:trPr>
        <w:tc>
          <w:tcPr>
            <w:tcW w:w="8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766,243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662,299</w:t>
            </w:r>
          </w:p>
        </w:tc>
        <w:tc>
          <w:tcPr>
            <w:tcW w:w="0" w:type="dxa"/>
            <w:vAlign w:val="bottom"/>
          </w:tcPr>
          <w:p>
            <w:pPr>
              <w:spacing w:after="0"/>
              <w:rPr>
                <w:sz w:val="1"/>
                <w:szCs w:val="1"/>
                <w:color w:val="auto"/>
              </w:rPr>
            </w:pPr>
          </w:p>
        </w:tc>
      </w:tr>
      <w:tr>
        <w:trPr>
          <w:trHeight w:val="176"/>
        </w:trPr>
        <w:tc>
          <w:tcPr>
            <w:tcW w:w="8600" w:type="dxa"/>
            <w:vAlign w:val="bottom"/>
          </w:tcPr>
          <w:p>
            <w:pPr>
              <w:ind w:left="20"/>
              <w:spacing w:after="0"/>
              <w:rPr>
                <w:sz w:val="20"/>
                <w:szCs w:val="20"/>
                <w:color w:val="auto"/>
              </w:rPr>
            </w:pPr>
            <w:r>
              <w:rPr>
                <w:rFonts w:ascii="Arial" w:cs="Arial" w:eastAsia="Arial" w:hAnsi="Arial"/>
                <w:sz w:val="14"/>
                <w:szCs w:val="14"/>
                <w:color w:val="auto"/>
              </w:rPr>
              <w:t>Commitments and contingencies (Note 11)</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600" w:type="dxa"/>
            <w:vAlign w:val="bottom"/>
          </w:tcPr>
          <w:p>
            <w:pPr>
              <w:ind w:left="20"/>
              <w:spacing w:after="0" w:line="135" w:lineRule="exact"/>
              <w:rPr>
                <w:sz w:val="20"/>
                <w:szCs w:val="20"/>
                <w:color w:val="auto"/>
              </w:rPr>
            </w:pPr>
            <w:r>
              <w:rPr>
                <w:rFonts w:ascii="Arial" w:cs="Arial" w:eastAsia="Arial" w:hAnsi="Arial"/>
                <w:sz w:val="14"/>
                <w:szCs w:val="14"/>
                <w:color w:val="auto"/>
                <w:w w:val="94"/>
              </w:rPr>
              <w:t>Preferred stock, $0.0005 par value; 100,000 shares authorized as of April 30, 2020 and January 31, 2020; no shares issued and outstanding as of</w:t>
            </w:r>
          </w:p>
        </w:tc>
        <w:tc>
          <w:tcPr>
            <w:tcW w:w="220" w:type="dxa"/>
            <w:vAlign w:val="bottom"/>
          </w:tcPr>
          <w:p>
            <w:pPr>
              <w:spacing w:after="0"/>
              <w:rPr>
                <w:sz w:val="11"/>
                <w:szCs w:val="11"/>
                <w:color w:val="auto"/>
              </w:rPr>
            </w:pP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600" w:type="dxa"/>
            <w:vAlign w:val="bottom"/>
          </w:tcPr>
          <w:p>
            <w:pPr>
              <w:ind w:left="20"/>
              <w:spacing w:after="0"/>
              <w:rPr>
                <w:sz w:val="20"/>
                <w:szCs w:val="20"/>
                <w:color w:val="auto"/>
              </w:rPr>
            </w:pPr>
            <w:r>
              <w:rPr>
                <w:rFonts w:ascii="Arial" w:cs="Arial" w:eastAsia="Arial" w:hAnsi="Arial"/>
                <w:sz w:val="14"/>
                <w:szCs w:val="14"/>
                <w:color w:val="auto"/>
              </w:rPr>
              <w:t>April 30, 2020 and January 31, 2020</w:t>
            </w: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6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2"/>
              </w:rPr>
              <w:t>Class A common stock, $0.0005 par value; 2,000,000 shares authorized as of April 30, 2020 and January 31, 2020, respectively; 149,899 shares and</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6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3"/>
              </w:rPr>
              <w:t>107,666 shares issued and outstanding as of April 30, 2020 and January 31, 2020, respectively; Class B common stock, $0.0005 par value; 300,000</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5"/>
              </w:rPr>
              <w:t>shares authorized as of April 30, 2020 and January 31, 2020, respectively; 65,606 shares and 105,282 shares issued and outstanding as of April</w:t>
            </w:r>
          </w:p>
        </w:tc>
        <w:tc>
          <w:tcPr>
            <w:tcW w:w="2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30, 2020 and January 31, 2020, respectively</w:t>
            </w:r>
          </w:p>
        </w:tc>
        <w:tc>
          <w:tcPr>
            <w:tcW w:w="2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600" w:type="dxa"/>
            <w:vAlign w:val="bottom"/>
          </w:tcPr>
          <w:p>
            <w:pPr>
              <w:ind w:left="12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1,409,758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1,378,479</w:t>
            </w:r>
          </w:p>
        </w:tc>
        <w:tc>
          <w:tcPr>
            <w:tcW w:w="0" w:type="dxa"/>
            <w:vAlign w:val="bottom"/>
          </w:tcPr>
          <w:p>
            <w:pPr>
              <w:spacing w:after="0"/>
              <w:rPr>
                <w:sz w:val="1"/>
                <w:szCs w:val="1"/>
                <w:color w:val="auto"/>
              </w:rPr>
            </w:pPr>
          </w:p>
        </w:tc>
      </w:tr>
      <w:tr>
        <w:trPr>
          <w:trHeight w:val="208"/>
        </w:trPr>
        <w:tc>
          <w:tcPr>
            <w:tcW w:w="8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Accumulated deficit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(656,709)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(637,487)</w:t>
            </w:r>
          </w:p>
        </w:tc>
        <w:tc>
          <w:tcPr>
            <w:tcW w:w="0" w:type="dxa"/>
            <w:vAlign w:val="bottom"/>
          </w:tcPr>
          <w:p>
            <w:pPr>
              <w:spacing w:after="0"/>
              <w:rPr>
                <w:sz w:val="1"/>
                <w:szCs w:val="1"/>
                <w:color w:val="auto"/>
              </w:rPr>
            </w:pPr>
          </w:p>
        </w:tc>
      </w:tr>
      <w:tr>
        <w:trPr>
          <w:trHeight w:val="197"/>
        </w:trPr>
        <w:tc>
          <w:tcPr>
            <w:tcW w:w="86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Accumulated other comprehensive income (loss)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202"/>
        </w:trPr>
        <w:tc>
          <w:tcPr>
            <w:tcW w:w="8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CrowdStrike Holdings, Inc. stockholders’ equity</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752,153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742,107</w:t>
            </w:r>
          </w:p>
        </w:tc>
        <w:tc>
          <w:tcPr>
            <w:tcW w:w="0" w:type="dxa"/>
            <w:vAlign w:val="bottom"/>
          </w:tcPr>
          <w:p>
            <w:pPr>
              <w:spacing w:after="0"/>
              <w:rPr>
                <w:sz w:val="1"/>
                <w:szCs w:val="1"/>
                <w:color w:val="auto"/>
              </w:rPr>
            </w:pPr>
          </w:p>
        </w:tc>
      </w:tr>
      <w:tr>
        <w:trPr>
          <w:trHeight w:val="197"/>
        </w:trPr>
        <w:tc>
          <w:tcPr>
            <w:tcW w:w="86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Non-controlling interest</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96"/>
        </w:trPr>
        <w:tc>
          <w:tcPr>
            <w:tcW w:w="8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753,153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742,607</w:t>
            </w:r>
          </w:p>
        </w:tc>
        <w:tc>
          <w:tcPr>
            <w:tcW w:w="0" w:type="dxa"/>
            <w:vAlign w:val="bottom"/>
          </w:tcPr>
          <w:p>
            <w:pPr>
              <w:spacing w:after="0"/>
              <w:rPr>
                <w:sz w:val="1"/>
                <w:szCs w:val="1"/>
                <w:color w:val="auto"/>
              </w:rPr>
            </w:pPr>
          </w:p>
        </w:tc>
      </w:tr>
      <w:tr>
        <w:trPr>
          <w:trHeight w:val="202"/>
        </w:trPr>
        <w:tc>
          <w:tcPr>
            <w:tcW w:w="8600" w:type="dxa"/>
            <w:vAlign w:val="bottom"/>
          </w:tcPr>
          <w:p>
            <w:pPr>
              <w:ind w:left="12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1,519,396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1,404,906</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22860</wp:posOffset>
            </wp:positionV>
            <wp:extent cx="1697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120"/>
              <w:spacing w:after="0"/>
              <w:rPr>
                <w:sz w:val="20"/>
                <w:szCs w:val="20"/>
                <w:color w:val="auto"/>
              </w:rPr>
            </w:pPr>
            <w:r>
              <w:rPr>
                <w:rFonts w:ascii="Arial" w:cs="Arial" w:eastAsia="Arial" w:hAnsi="Arial"/>
                <w:sz w:val="18"/>
                <w:szCs w:val="18"/>
                <w:color w:val="auto"/>
              </w:rPr>
              <w:t>Subscription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162,222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85,990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15,856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10,087</w:t>
            </w:r>
          </w:p>
        </w:tc>
        <w:tc>
          <w:tcPr>
            <w:tcW w:w="0" w:type="dxa"/>
            <w:vAlign w:val="bottom"/>
          </w:tcPr>
          <w:p>
            <w:pPr>
              <w:spacing w:after="0"/>
              <w:rPr>
                <w:sz w:val="1"/>
                <w:szCs w:val="1"/>
                <w:color w:val="auto"/>
              </w:rPr>
            </w:pPr>
          </w:p>
        </w:tc>
      </w:tr>
      <w:tr>
        <w:trPr>
          <w:trHeight w:val="236"/>
        </w:trPr>
        <w:tc>
          <w:tcPr>
            <w:tcW w:w="856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178,078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96,077</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Subscription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37,244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23,691</w:t>
            </w:r>
          </w:p>
        </w:tc>
        <w:tc>
          <w:tcPr>
            <w:tcW w:w="0" w:type="dxa"/>
            <w:vAlign w:val="bottom"/>
          </w:tcPr>
          <w:p>
            <w:pPr>
              <w:spacing w:after="0"/>
              <w:rPr>
                <w:sz w:val="1"/>
                <w:szCs w:val="1"/>
                <w:color w:val="auto"/>
              </w:rPr>
            </w:pPr>
          </w:p>
        </w:tc>
      </w:tr>
      <w:tr>
        <w:trPr>
          <w:trHeight w:val="243"/>
        </w:trPr>
        <w:tc>
          <w:tcPr>
            <w:tcW w:w="8560" w:type="dxa"/>
            <w:vAlign w:val="bottom"/>
          </w:tcPr>
          <w:p>
            <w:pPr>
              <w:ind w:left="12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9,651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46,895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29,273</w:t>
            </w:r>
          </w:p>
        </w:tc>
        <w:tc>
          <w:tcPr>
            <w:tcW w:w="0" w:type="dxa"/>
            <w:vAlign w:val="bottom"/>
          </w:tcPr>
          <w:p>
            <w:pPr>
              <w:spacing w:after="0"/>
              <w:rPr>
                <w:sz w:val="1"/>
                <w:szCs w:val="1"/>
                <w:color w:val="auto"/>
              </w:rPr>
            </w:pPr>
          </w:p>
        </w:tc>
      </w:tr>
      <w:tr>
        <w:trPr>
          <w:trHeight w:val="250"/>
        </w:trPr>
        <w:tc>
          <w:tcPr>
            <w:tcW w:w="85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131,183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66,804</w:t>
            </w:r>
          </w:p>
        </w:tc>
        <w:tc>
          <w:tcPr>
            <w:tcW w:w="0" w:type="dxa"/>
            <w:vAlign w:val="bottom"/>
          </w:tcPr>
          <w:p>
            <w:pPr>
              <w:spacing w:after="0"/>
              <w:rPr>
                <w:sz w:val="1"/>
                <w:szCs w:val="1"/>
                <w:color w:val="auto"/>
              </w:rPr>
            </w:pPr>
          </w:p>
        </w:tc>
      </w:tr>
      <w:tr>
        <w:trPr>
          <w:trHeight w:val="270"/>
        </w:trPr>
        <w:tc>
          <w:tcPr>
            <w:tcW w:w="8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88,138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56,843</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40,578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23,875</w:t>
            </w:r>
          </w:p>
        </w:tc>
        <w:tc>
          <w:tcPr>
            <w:tcW w:w="0" w:type="dxa"/>
            <w:vAlign w:val="bottom"/>
          </w:tcPr>
          <w:p>
            <w:pPr>
              <w:spacing w:after="0"/>
              <w:rPr>
                <w:sz w:val="1"/>
                <w:szCs w:val="1"/>
                <w:color w:val="auto"/>
              </w:rPr>
            </w:pPr>
          </w:p>
        </w:tc>
      </w:tr>
      <w:tr>
        <w:trPr>
          <w:trHeight w:val="243"/>
        </w:trPr>
        <w:tc>
          <w:tcPr>
            <w:tcW w:w="856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25,043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11,861</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153,759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92,579</w:t>
            </w:r>
          </w:p>
        </w:tc>
        <w:tc>
          <w:tcPr>
            <w:tcW w:w="0" w:type="dxa"/>
            <w:vAlign w:val="bottom"/>
          </w:tcPr>
          <w:p>
            <w:pPr>
              <w:spacing w:after="0"/>
              <w:rPr>
                <w:sz w:val="1"/>
                <w:szCs w:val="1"/>
                <w:color w:val="auto"/>
              </w:rPr>
            </w:pPr>
          </w:p>
        </w:tc>
      </w:tr>
      <w:tr>
        <w:trPr>
          <w:trHeight w:val="290"/>
        </w:trPr>
        <w:tc>
          <w:tcPr>
            <w:tcW w:w="85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(25,775)</w:t>
            </w:r>
          </w:p>
        </w:tc>
        <w:tc>
          <w:tcPr>
            <w:tcW w:w="0" w:type="dxa"/>
            <w:vAlign w:val="bottom"/>
          </w:tcPr>
          <w:p>
            <w:pPr>
              <w:spacing w:after="0"/>
              <w:rPr>
                <w:sz w:val="1"/>
                <w:szCs w:val="1"/>
                <w:color w:val="auto"/>
              </w:rPr>
            </w:pPr>
          </w:p>
        </w:tc>
      </w:tr>
      <w:tr>
        <w:trPr>
          <w:trHeight w:val="243"/>
        </w:trPr>
        <w:tc>
          <w:tcPr>
            <w:tcW w:w="85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50"/>
        </w:trPr>
        <w:tc>
          <w:tcPr>
            <w:tcW w:w="85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(25,382)</w:t>
            </w:r>
          </w:p>
        </w:tc>
        <w:tc>
          <w:tcPr>
            <w:tcW w:w="0" w:type="dxa"/>
            <w:vAlign w:val="bottom"/>
          </w:tcPr>
          <w:p>
            <w:pPr>
              <w:spacing w:after="0"/>
              <w:rPr>
                <w:sz w:val="1"/>
                <w:szCs w:val="1"/>
                <w:color w:val="auto"/>
              </w:rPr>
            </w:pPr>
          </w:p>
        </w:tc>
      </w:tr>
      <w:tr>
        <w:trPr>
          <w:trHeight w:val="311"/>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50"/>
        </w:trPr>
        <w:tc>
          <w:tcPr>
            <w:tcW w:w="85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(19,222)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(25,977)</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Class A and Class B common stockholders, 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Weighted-average shares used in computing net loss per share attributable to Class A and Class B common</w:t>
            </w:r>
          </w:p>
        </w:tc>
        <w:tc>
          <w:tcPr>
            <w:tcW w:w="30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213,129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47,205</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basic and diluted</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22860</wp:posOffset>
            </wp:positionV>
            <wp:extent cx="1697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7"/>
        </w:trPr>
        <w:tc>
          <w:tcPr>
            <w:tcW w:w="8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6"/>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(25,977)</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8560" w:type="dxa"/>
            <w:vAlign w:val="bottom"/>
          </w:tcPr>
          <w:p>
            <w:pPr>
              <w:ind w:left="120"/>
              <w:spacing w:after="0"/>
              <w:rPr>
                <w:sz w:val="20"/>
                <w:szCs w:val="20"/>
                <w:color w:val="auto"/>
              </w:rPr>
            </w:pPr>
            <w:r>
              <w:rPr>
                <w:rFonts w:ascii="Arial" w:cs="Arial" w:eastAsia="Arial" w:hAnsi="Arial"/>
                <w:sz w:val="18"/>
                <w:szCs w:val="18"/>
                <w:color w:val="auto"/>
              </w:rPr>
              <w:t>Reversal of unrealized gain upon sale of debt securities</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Unrealized loss on available-for-sale securities, net of tax</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8560" w:type="dxa"/>
            <w:vAlign w:val="bottom"/>
          </w:tcPr>
          <w:p>
            <w:pPr>
              <w:ind w:left="240"/>
              <w:spacing w:after="0"/>
              <w:rPr>
                <w:sz w:val="20"/>
                <w:szCs w:val="20"/>
                <w:color w:val="auto"/>
              </w:rPr>
            </w:pPr>
            <w:r>
              <w:rPr>
                <w:rFonts w:ascii="Arial" w:cs="Arial" w:eastAsia="Arial" w:hAnsi="Arial"/>
                <w:sz w:val="18"/>
                <w:szCs w:val="18"/>
                <w:color w:val="auto"/>
              </w:rPr>
              <w:t>Other comprehensive loss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8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comprehensive loss</w:t>
            </w: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(21,235)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(26,261)</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Redeemable Convertible Preferred Stock and Stockholders’ Equity (Deficit)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April 30, 2020 and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280" w:type="dxa"/>
            <w:vAlign w:val="bottom"/>
          </w:tcPr>
          <w:p>
            <w:pPr>
              <w:spacing w:after="0"/>
              <w:rPr>
                <w:sz w:val="14"/>
                <w:szCs w:val="14"/>
                <w:color w:val="auto"/>
              </w:rPr>
            </w:pPr>
          </w:p>
        </w:tc>
        <w:tc>
          <w:tcPr>
            <w:tcW w:w="1100" w:type="dxa"/>
            <w:vAlign w:val="bottom"/>
            <w:gridSpan w:val="4"/>
          </w:tcPr>
          <w:p>
            <w:pPr>
              <w:ind w:left="360"/>
              <w:spacing w:after="0"/>
              <w:rPr>
                <w:sz w:val="20"/>
                <w:szCs w:val="20"/>
                <w:color w:val="auto"/>
              </w:rPr>
            </w:pPr>
            <w:r>
              <w:rPr>
                <w:rFonts w:ascii="Arial" w:cs="Arial" w:eastAsia="Arial" w:hAnsi="Arial"/>
                <w:sz w:val="13"/>
                <w:szCs w:val="13"/>
                <w:b w:val="1"/>
                <w:bCs w:val="1"/>
                <w:color w:val="auto"/>
                <w:w w:val="93"/>
              </w:rPr>
              <w:t>Redeemable</w:t>
            </w:r>
          </w:p>
        </w:tc>
        <w:tc>
          <w:tcPr>
            <w:tcW w:w="3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280" w:type="dxa"/>
            <w:vAlign w:val="bottom"/>
          </w:tcPr>
          <w:p>
            <w:pPr>
              <w:spacing w:after="0"/>
              <w:rPr>
                <w:sz w:val="5"/>
                <w:szCs w:val="5"/>
                <w:color w:val="auto"/>
              </w:rPr>
            </w:pPr>
          </w:p>
        </w:tc>
        <w:tc>
          <w:tcPr>
            <w:tcW w:w="1540" w:type="dxa"/>
            <w:vAlign w:val="bottom"/>
            <w:tcBorders>
              <w:right w:val="single" w:sz="8" w:color="auto"/>
            </w:tcBorders>
            <w:gridSpan w:val="6"/>
            <w:vMerge w:val="restart"/>
          </w:tcPr>
          <w:p>
            <w:pPr>
              <w:ind w:left="80"/>
              <w:spacing w:after="0"/>
              <w:rPr>
                <w:sz w:val="20"/>
                <w:szCs w:val="20"/>
                <w:color w:val="auto"/>
              </w:rPr>
            </w:pPr>
            <w:r>
              <w:rPr>
                <w:rFonts w:ascii="Arial" w:cs="Arial" w:eastAsia="Arial" w:hAnsi="Arial"/>
                <w:sz w:val="13"/>
                <w:szCs w:val="13"/>
                <w:b w:val="1"/>
                <w:bCs w:val="1"/>
                <w:color w:val="auto"/>
              </w:rPr>
              <w:t>Convertible Preferred</w:t>
            </w: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280" w:type="dxa"/>
            <w:vAlign w:val="bottom"/>
          </w:tcPr>
          <w:p>
            <w:pPr>
              <w:spacing w:after="0"/>
              <w:rPr>
                <w:sz w:val="7"/>
                <w:szCs w:val="7"/>
                <w:color w:val="auto"/>
              </w:rPr>
            </w:pPr>
          </w:p>
        </w:tc>
        <w:tc>
          <w:tcPr>
            <w:tcW w:w="1540" w:type="dxa"/>
            <w:vAlign w:val="bottom"/>
            <w:tcBorders>
              <w:right w:val="single" w:sz="8" w:color="auto"/>
            </w:tcBorders>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68"/>
        </w:trPr>
        <w:tc>
          <w:tcPr>
            <w:tcW w:w="2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gridSpan w:val="3"/>
            <w:vMerge w:val="restart"/>
          </w:tcPr>
          <w:p>
            <w:pPr>
              <w:jc w:val="right"/>
              <w:ind w:right="153"/>
              <w:spacing w:after="0"/>
              <w:rPr>
                <w:sz w:val="20"/>
                <w:szCs w:val="20"/>
                <w:color w:val="auto"/>
              </w:rPr>
            </w:pPr>
            <w:r>
              <w:rPr>
                <w:rFonts w:ascii="Arial" w:cs="Arial" w:eastAsia="Arial" w:hAnsi="Arial"/>
                <w:sz w:val="13"/>
                <w:szCs w:val="13"/>
                <w:b w:val="1"/>
                <w:bCs w:val="1"/>
                <w:color w:val="auto"/>
                <w:w w:val="95"/>
              </w:rPr>
              <w:t>Stock</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gridSpan w:val="4"/>
            <w:vMerge w:val="restart"/>
          </w:tcPr>
          <w:p>
            <w:pPr>
              <w:jc w:val="right"/>
              <w:ind w:right="253"/>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2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3"/>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60"/>
              <w:spacing w:after="0" w:line="114"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9"/>
                <w:szCs w:val="9"/>
                <w:color w:val="auto"/>
              </w:rPr>
            </w:pPr>
          </w:p>
        </w:tc>
        <w:tc>
          <w:tcPr>
            <w:tcW w:w="1060" w:type="dxa"/>
            <w:vAlign w:val="bottom"/>
            <w:gridSpan w:val="2"/>
          </w:tcPr>
          <w:p>
            <w:pPr>
              <w:jc w:val="right"/>
              <w:ind w:right="280"/>
              <w:spacing w:after="0" w:line="114" w:lineRule="exact"/>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9"/>
                <w:szCs w:val="9"/>
                <w:color w:val="auto"/>
              </w:rPr>
            </w:pPr>
          </w:p>
        </w:tc>
        <w:tc>
          <w:tcPr>
            <w:tcW w:w="1200" w:type="dxa"/>
            <w:vAlign w:val="bottom"/>
            <w:gridSpan w:val="2"/>
          </w:tcPr>
          <w:p>
            <w:pPr>
              <w:jc w:val="center"/>
              <w:ind w:right="260"/>
              <w:spacing w:after="0" w:line="114" w:lineRule="exact"/>
              <w:rPr>
                <w:sz w:val="20"/>
                <w:szCs w:val="20"/>
                <w:color w:val="auto"/>
              </w:rPr>
            </w:pPr>
            <w:r>
              <w:rPr>
                <w:rFonts w:ascii="Arial" w:cs="Arial" w:eastAsia="Arial" w:hAnsi="Arial"/>
                <w:sz w:val="13"/>
                <w:szCs w:val="13"/>
                <w:b w:val="1"/>
                <w:bCs w:val="1"/>
                <w:color w:val="auto"/>
                <w:w w:val="92"/>
              </w:rPr>
              <w:t>Comprehensive</w:t>
            </w:r>
          </w:p>
        </w:tc>
        <w:tc>
          <w:tcPr>
            <w:tcW w:w="1080" w:type="dxa"/>
            <w:vAlign w:val="bottom"/>
            <w:gridSpan w:val="3"/>
          </w:tcPr>
          <w:p>
            <w:pPr>
              <w:ind w:left="40"/>
              <w:spacing w:after="0" w:line="114" w:lineRule="exact"/>
              <w:rPr>
                <w:sz w:val="20"/>
                <w:szCs w:val="20"/>
                <w:color w:val="auto"/>
              </w:rPr>
            </w:pPr>
            <w:r>
              <w:rPr>
                <w:rFonts w:ascii="Arial" w:cs="Arial" w:eastAsia="Arial" w:hAnsi="Arial"/>
                <w:sz w:val="13"/>
                <w:szCs w:val="13"/>
                <w:b w:val="1"/>
                <w:bCs w:val="1"/>
                <w:color w:val="auto"/>
              </w:rPr>
              <w:t>Non-controlling</w:t>
            </w:r>
          </w:p>
        </w:tc>
        <w:tc>
          <w:tcPr>
            <w:tcW w:w="100" w:type="dxa"/>
            <w:vAlign w:val="bottom"/>
          </w:tcPr>
          <w:p>
            <w:pPr>
              <w:spacing w:after="0"/>
              <w:rPr>
                <w:sz w:val="9"/>
                <w:szCs w:val="9"/>
                <w:color w:val="auto"/>
              </w:rPr>
            </w:pPr>
          </w:p>
        </w:tc>
        <w:tc>
          <w:tcPr>
            <w:tcW w:w="960" w:type="dxa"/>
            <w:vAlign w:val="bottom"/>
          </w:tcPr>
          <w:p>
            <w:pPr>
              <w:jc w:val="center"/>
              <w:ind w:right="53"/>
              <w:spacing w:after="0" w:line="114" w:lineRule="exact"/>
              <w:rPr>
                <w:sz w:val="20"/>
                <w:szCs w:val="20"/>
                <w:color w:val="auto"/>
              </w:rPr>
            </w:pPr>
            <w:r>
              <w:rPr>
                <w:rFonts w:ascii="Arial" w:cs="Arial" w:eastAsia="Arial" w:hAnsi="Arial"/>
                <w:sz w:val="13"/>
                <w:szCs w:val="13"/>
                <w:b w:val="1"/>
                <w:bCs w:val="1"/>
                <w:color w:val="auto"/>
                <w:w w:val="93"/>
              </w:rPr>
              <w:t>Stockholders’</w:t>
            </w: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right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7"/>
                <w:szCs w:val="17"/>
                <w:color w:val="auto"/>
              </w:rPr>
            </w:pPr>
          </w:p>
        </w:tc>
        <w:tc>
          <w:tcPr>
            <w:tcW w:w="84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7"/>
                <w:szCs w:val="17"/>
                <w:color w:val="auto"/>
              </w:rPr>
            </w:pPr>
          </w:p>
        </w:tc>
        <w:tc>
          <w:tcPr>
            <w:tcW w:w="1060" w:type="dxa"/>
            <w:vAlign w:val="bottom"/>
            <w:gridSpan w:val="2"/>
          </w:tcPr>
          <w:p>
            <w:pPr>
              <w:ind w:left="22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Income (Loss)</w:t>
            </w:r>
          </w:p>
        </w:tc>
        <w:tc>
          <w:tcPr>
            <w:tcW w:w="18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7"/>
                <w:szCs w:val="17"/>
                <w:color w:val="auto"/>
              </w:rPr>
            </w:pPr>
          </w:p>
        </w:tc>
        <w:tc>
          <w:tcPr>
            <w:tcW w:w="960" w:type="dxa"/>
            <w:vAlign w:val="bottom"/>
          </w:tcPr>
          <w:p>
            <w:pPr>
              <w:jc w:val="center"/>
              <w:ind w:right="3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57"/>
        </w:trPr>
        <w:tc>
          <w:tcPr>
            <w:tcW w:w="228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January 31, 2020</w:t>
            </w:r>
          </w:p>
        </w:tc>
        <w:tc>
          <w:tcPr>
            <w:tcW w:w="52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w:t>
            </w:r>
          </w:p>
        </w:tc>
        <w:tc>
          <w:tcPr>
            <w:tcW w:w="580" w:type="dxa"/>
            <w:vAlign w:val="bottom"/>
            <w:gridSpan w:val="3"/>
            <w:shd w:val="clear" w:color="auto" w:fill="CCEEFF"/>
          </w:tcPr>
          <w:p>
            <w:pPr>
              <w:jc w:val="right"/>
              <w:ind w:right="213"/>
              <w:spacing w:after="0"/>
              <w:rPr>
                <w:sz w:val="20"/>
                <w:szCs w:val="20"/>
                <w:color w:val="auto"/>
              </w:rPr>
            </w:pPr>
            <w:r>
              <w:rPr>
                <w:rFonts w:ascii="Arial" w:cs="Arial" w:eastAsia="Arial" w:hAnsi="Arial"/>
                <w:sz w:val="13"/>
                <w:szCs w:val="13"/>
                <w:b w:val="1"/>
                <w:bCs w:val="1"/>
                <w:color w:val="auto"/>
              </w:rPr>
              <w:t>$</w:t>
            </w:r>
          </w:p>
        </w:tc>
        <w:tc>
          <w:tcPr>
            <w:tcW w:w="440" w:type="dxa"/>
            <w:vAlign w:val="bottom"/>
            <w:tcBorders>
              <w:right w:val="single" w:sz="8" w:color="auto"/>
            </w:tcBorders>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212,948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8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106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1,378,479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(637,487)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1,009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500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742,607</w:t>
            </w:r>
          </w:p>
        </w:tc>
        <w:tc>
          <w:tcPr>
            <w:tcW w:w="0" w:type="dxa"/>
            <w:vAlign w:val="bottom"/>
          </w:tcPr>
          <w:p>
            <w:pPr>
              <w:spacing w:after="0"/>
              <w:rPr>
                <w:sz w:val="1"/>
                <w:szCs w:val="1"/>
                <w:color w:val="auto"/>
              </w:rPr>
            </w:pPr>
          </w:p>
        </w:tc>
      </w:tr>
      <w:tr>
        <w:trPr>
          <w:trHeight w:val="165"/>
        </w:trPr>
        <w:tc>
          <w:tcPr>
            <w:tcW w:w="2280" w:type="dxa"/>
            <w:vAlign w:val="bottom"/>
          </w:tcPr>
          <w:p>
            <w:pPr>
              <w:ind w:left="20"/>
              <w:spacing w:after="0"/>
              <w:rPr>
                <w:sz w:val="20"/>
                <w:szCs w:val="20"/>
                <w:color w:val="auto"/>
              </w:rPr>
            </w:pPr>
            <w:r>
              <w:rPr>
                <w:rFonts w:ascii="Arial" w:cs="Arial" w:eastAsia="Arial" w:hAnsi="Arial"/>
                <w:sz w:val="13"/>
                <w:szCs w:val="13"/>
                <w:color w:val="auto"/>
                <w:w w:val="93"/>
              </w:rPr>
              <w:t>Issuance of common stock upon exercise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20"/>
              <w:spacing w:after="0"/>
              <w:rPr>
                <w:sz w:val="20"/>
                <w:szCs w:val="20"/>
                <w:color w:val="auto"/>
              </w:rPr>
            </w:pPr>
            <w:r>
              <w:rPr>
                <w:rFonts w:ascii="Arial" w:cs="Arial" w:eastAsia="Arial" w:hAnsi="Arial"/>
                <w:sz w:val="13"/>
                <w:szCs w:val="13"/>
                <w:color w:val="auto"/>
              </w:rPr>
              <w:t>of options</w:t>
            </w:r>
          </w:p>
        </w:tc>
        <w:tc>
          <w:tcPr>
            <w:tcW w:w="520" w:type="dxa"/>
            <w:vAlign w:val="bottom"/>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color w:val="auto"/>
              </w:rPr>
              <w:t>2,056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6,391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6,393</w:t>
            </w:r>
          </w:p>
        </w:tc>
        <w:tc>
          <w:tcPr>
            <w:tcW w:w="0" w:type="dxa"/>
            <w:vAlign w:val="bottom"/>
          </w:tcPr>
          <w:p>
            <w:pPr>
              <w:spacing w:after="0"/>
              <w:rPr>
                <w:sz w:val="1"/>
                <w:szCs w:val="1"/>
                <w:color w:val="auto"/>
              </w:rPr>
            </w:pPr>
          </w:p>
        </w:tc>
      </w:tr>
      <w:tr>
        <w:trPr>
          <w:trHeight w:val="172"/>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RSU</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release</w:t>
            </w:r>
          </w:p>
        </w:tc>
        <w:tc>
          <w:tcPr>
            <w:tcW w:w="5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tcBorders>
              <w:right w:val="single" w:sz="8" w:color="auto"/>
            </w:tcBorders>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501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2280" w:type="dxa"/>
            <w:vAlign w:val="bottom"/>
          </w:tcPr>
          <w:p>
            <w:pPr>
              <w:ind w:left="20"/>
              <w:spacing w:after="0"/>
              <w:rPr>
                <w:sz w:val="20"/>
                <w:szCs w:val="20"/>
                <w:color w:val="auto"/>
              </w:rPr>
            </w:pPr>
            <w:r>
              <w:rPr>
                <w:rFonts w:ascii="Arial" w:cs="Arial" w:eastAsia="Arial" w:hAnsi="Arial"/>
                <w:sz w:val="13"/>
                <w:szCs w:val="13"/>
                <w:color w:val="auto"/>
              </w:rPr>
              <w:t>Vesting of early exercised options</w:t>
            </w:r>
          </w:p>
        </w:tc>
        <w:tc>
          <w:tcPr>
            <w:tcW w:w="520" w:type="dxa"/>
            <w:vAlign w:val="bottom"/>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873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873</w:t>
            </w: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5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tcBorders>
              <w:right w:val="single" w:sz="8" w:color="auto"/>
            </w:tcBorders>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23,638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23,638</w:t>
            </w:r>
          </w:p>
        </w:tc>
        <w:tc>
          <w:tcPr>
            <w:tcW w:w="0" w:type="dxa"/>
            <w:vAlign w:val="bottom"/>
          </w:tcPr>
          <w:p>
            <w:pPr>
              <w:spacing w:after="0"/>
              <w:rPr>
                <w:sz w:val="1"/>
                <w:szCs w:val="1"/>
                <w:color w:val="auto"/>
              </w:rPr>
            </w:pPr>
          </w:p>
        </w:tc>
      </w:tr>
      <w:tr>
        <w:trPr>
          <w:trHeight w:val="196"/>
        </w:trPr>
        <w:tc>
          <w:tcPr>
            <w:tcW w:w="2280" w:type="dxa"/>
            <w:vAlign w:val="bottom"/>
          </w:tcPr>
          <w:p>
            <w:pPr>
              <w:ind w:left="20"/>
              <w:spacing w:after="0"/>
              <w:rPr>
                <w:sz w:val="20"/>
                <w:szCs w:val="20"/>
                <w:color w:val="auto"/>
              </w:rPr>
            </w:pPr>
            <w:r>
              <w:rPr>
                <w:rFonts w:ascii="Arial" w:cs="Arial" w:eastAsia="Arial" w:hAnsi="Arial"/>
                <w:sz w:val="13"/>
                <w:szCs w:val="13"/>
                <w:color w:val="auto"/>
              </w:rPr>
              <w:t>Capitalized stock-based compensation</w:t>
            </w:r>
          </w:p>
        </w:tc>
        <w:tc>
          <w:tcPr>
            <w:tcW w:w="520" w:type="dxa"/>
            <w:vAlign w:val="bottom"/>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377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377</w:t>
            </w: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5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tcBorders>
              <w:right w:val="single" w:sz="8" w:color="auto"/>
            </w:tcBorders>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(19,222)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(19,222)</w:t>
            </w:r>
          </w:p>
        </w:tc>
        <w:tc>
          <w:tcPr>
            <w:tcW w:w="0" w:type="dxa"/>
            <w:vAlign w:val="bottom"/>
          </w:tcPr>
          <w:p>
            <w:pPr>
              <w:spacing w:after="0"/>
              <w:rPr>
                <w:sz w:val="1"/>
                <w:szCs w:val="1"/>
                <w:color w:val="auto"/>
              </w:rPr>
            </w:pPr>
          </w:p>
        </w:tc>
      </w:tr>
      <w:tr>
        <w:trPr>
          <w:trHeight w:val="196"/>
        </w:trPr>
        <w:tc>
          <w:tcPr>
            <w:tcW w:w="2280" w:type="dxa"/>
            <w:vAlign w:val="bottom"/>
          </w:tcPr>
          <w:p>
            <w:pPr>
              <w:ind w:left="20"/>
              <w:spacing w:after="0"/>
              <w:rPr>
                <w:sz w:val="20"/>
                <w:szCs w:val="20"/>
                <w:color w:val="auto"/>
              </w:rPr>
            </w:pPr>
            <w:r>
              <w:rPr>
                <w:rFonts w:ascii="Arial" w:cs="Arial" w:eastAsia="Arial" w:hAnsi="Arial"/>
                <w:sz w:val="13"/>
                <w:szCs w:val="13"/>
                <w:color w:val="auto"/>
              </w:rPr>
              <w:t>Non-controlling interest</w:t>
            </w:r>
          </w:p>
        </w:tc>
        <w:tc>
          <w:tcPr>
            <w:tcW w:w="520" w:type="dxa"/>
            <w:vAlign w:val="bottom"/>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500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(2,013)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(2,013)</w:t>
            </w:r>
          </w:p>
        </w:tc>
        <w:tc>
          <w:tcPr>
            <w:tcW w:w="0" w:type="dxa"/>
            <w:vAlign w:val="bottom"/>
          </w:tcPr>
          <w:p>
            <w:pPr>
              <w:spacing w:after="0"/>
              <w:rPr>
                <w:sz w:val="1"/>
                <w:szCs w:val="1"/>
                <w:color w:val="auto"/>
              </w:rPr>
            </w:pPr>
          </w:p>
        </w:tc>
      </w:tr>
      <w:tr>
        <w:trPr>
          <w:trHeight w:val="243"/>
        </w:trPr>
        <w:tc>
          <w:tcPr>
            <w:tcW w:w="2280" w:type="dxa"/>
            <w:vAlign w:val="bottom"/>
          </w:tcPr>
          <w:p>
            <w:pPr>
              <w:ind w:left="20"/>
              <w:spacing w:after="0"/>
              <w:rPr>
                <w:sz w:val="20"/>
                <w:szCs w:val="20"/>
                <w:color w:val="auto"/>
              </w:rPr>
            </w:pPr>
            <w:r>
              <w:rPr>
                <w:rFonts w:ascii="Arial" w:cs="Arial" w:eastAsia="Arial" w:hAnsi="Arial"/>
                <w:sz w:val="13"/>
                <w:szCs w:val="13"/>
                <w:b w:val="1"/>
                <w:bCs w:val="1"/>
                <w:color w:val="auto"/>
              </w:rPr>
              <w:t>Balances at April 30, 2020</w:t>
            </w: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w w:val="82"/>
              </w:rPr>
              <w: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215,505</w:t>
            </w:r>
          </w:p>
        </w:tc>
        <w:tc>
          <w:tcPr>
            <w:tcW w:w="12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108</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1,409,758</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(656,709)</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(1,004)</w:t>
            </w:r>
          </w:p>
        </w:tc>
        <w:tc>
          <w:tcPr>
            <w:tcW w:w="120" w:type="dxa"/>
            <w:vAlign w:val="bottom"/>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1,000</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753,153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098030" cy="1894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89484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Redeemable</w:t>
            </w:r>
          </w:p>
        </w:tc>
      </w:tr>
      <w:tr>
        <w:trPr>
          <w:trHeight w:val="148"/>
        </w:trPr>
        <w:tc>
          <w:tcPr>
            <w:tcW w:w="2680" w:type="dxa"/>
            <w:vAlign w:val="bottom"/>
          </w:tcPr>
          <w:p>
            <w:pPr>
              <w:spacing w:after="0"/>
              <w:rPr>
                <w:sz w:val="12"/>
                <w:szCs w:val="12"/>
                <w:color w:val="auto"/>
              </w:rPr>
            </w:pPr>
          </w:p>
        </w:tc>
        <w:tc>
          <w:tcPr>
            <w:tcW w:w="17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Convertible</w:t>
            </w:r>
          </w:p>
        </w:tc>
      </w:tr>
      <w:tr>
        <w:trPr>
          <w:trHeight w:val="192"/>
        </w:trPr>
        <w:tc>
          <w:tcPr>
            <w:tcW w:w="2680" w:type="dxa"/>
            <w:vAlign w:val="bottom"/>
          </w:tcPr>
          <w:p>
            <w:pPr>
              <w:spacing w:after="0"/>
              <w:rPr>
                <w:sz w:val="16"/>
                <w:szCs w:val="16"/>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Preferred Stock</w:t>
            </w:r>
          </w:p>
        </w:tc>
      </w:tr>
      <w:tr>
        <w:trPr>
          <w:trHeight w:val="196"/>
        </w:trPr>
        <w:tc>
          <w:tcPr>
            <w:tcW w:w="2680" w:type="dxa"/>
            <w:vAlign w:val="bottom"/>
          </w:tcPr>
          <w:p>
            <w:pPr>
              <w:spacing w:after="0"/>
              <w:rPr>
                <w:sz w:val="17"/>
                <w:szCs w:val="17"/>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w w:val="98"/>
              </w:rPr>
              <w:t>Amount</w:t>
            </w:r>
          </w:p>
        </w:tc>
      </w:tr>
      <w:tr>
        <w:trPr>
          <w:trHeight w:val="433"/>
        </w:trPr>
        <w:tc>
          <w:tcPr>
            <w:tcW w:w="2680" w:type="dxa"/>
            <w:vAlign w:val="bottom"/>
          </w:tcPr>
          <w:p>
            <w:pPr>
              <w:spacing w:after="0"/>
              <w:rPr>
                <w:sz w:val="20"/>
                <w:szCs w:val="20"/>
                <w:color w:val="auto"/>
              </w:rPr>
            </w:pPr>
            <w:r>
              <w:rPr>
                <w:rFonts w:ascii="Arial" w:cs="Arial" w:eastAsia="Arial" w:hAnsi="Arial"/>
                <w:sz w:val="14"/>
                <w:szCs w:val="14"/>
                <w:b w:val="1"/>
                <w:bCs w:val="1"/>
                <w:color w:val="auto"/>
              </w:rPr>
              <w:t>Balance at January 31, 2019</w:t>
            </w:r>
          </w:p>
        </w:tc>
        <w:tc>
          <w:tcPr>
            <w:tcW w:w="8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131,268</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557,912</w:t>
            </w:r>
          </w:p>
        </w:tc>
      </w:tr>
      <w:tr>
        <w:trPr>
          <w:trHeight w:val="203"/>
        </w:trPr>
        <w:tc>
          <w:tcPr>
            <w:tcW w:w="2680" w:type="dxa"/>
            <w:vAlign w:val="bottom"/>
          </w:tcPr>
          <w:p>
            <w:pPr>
              <w:spacing w:after="0"/>
              <w:rPr>
                <w:sz w:val="20"/>
                <w:szCs w:val="20"/>
                <w:color w:val="auto"/>
              </w:rPr>
            </w:pPr>
            <w:r>
              <w:rPr>
                <w:rFonts w:ascii="Arial" w:cs="Arial" w:eastAsia="Arial" w:hAnsi="Arial"/>
                <w:sz w:val="14"/>
                <w:szCs w:val="14"/>
                <w:color w:val="auto"/>
              </w:rPr>
              <w:t>Cumulative effect of accounting change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69"/>
        </w:trPr>
        <w:tc>
          <w:tcPr>
            <w:tcW w:w="2680" w:type="dxa"/>
            <w:vAlign w:val="bottom"/>
          </w:tcPr>
          <w:p>
            <w:pPr>
              <w:spacing w:after="0"/>
              <w:rPr>
                <w:sz w:val="20"/>
                <w:szCs w:val="20"/>
                <w:color w:val="auto"/>
              </w:rPr>
            </w:pPr>
            <w:r>
              <w:rPr>
                <w:rFonts w:ascii="Arial" w:cs="Arial" w:eastAsia="Arial" w:hAnsi="Arial"/>
                <w:sz w:val="14"/>
                <w:szCs w:val="14"/>
                <w:color w:val="auto"/>
                <w:w w:val="97"/>
              </w:rPr>
              <w:t>Issuance of common stock upon exercise of</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2"/>
        </w:trPr>
        <w:tc>
          <w:tcPr>
            <w:tcW w:w="2680" w:type="dxa"/>
            <w:vAlign w:val="bottom"/>
          </w:tcPr>
          <w:p>
            <w:pPr>
              <w:spacing w:after="0"/>
              <w:rPr>
                <w:sz w:val="20"/>
                <w:szCs w:val="20"/>
                <w:color w:val="auto"/>
              </w:rPr>
            </w:pPr>
            <w:r>
              <w:rPr>
                <w:rFonts w:ascii="Arial" w:cs="Arial" w:eastAsia="Arial" w:hAnsi="Arial"/>
                <w:sz w:val="14"/>
                <w:szCs w:val="14"/>
                <w:color w:val="auto"/>
              </w:rPr>
              <w:t>options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3"/>
        </w:trPr>
        <w:tc>
          <w:tcPr>
            <w:tcW w:w="2680" w:type="dxa"/>
            <w:vAlign w:val="bottom"/>
          </w:tcPr>
          <w:p>
            <w:pPr>
              <w:spacing w:after="0"/>
              <w:rPr>
                <w:sz w:val="20"/>
                <w:szCs w:val="20"/>
                <w:color w:val="auto"/>
              </w:rPr>
            </w:pPr>
            <w:r>
              <w:rPr>
                <w:rFonts w:ascii="Arial" w:cs="Arial" w:eastAsia="Arial" w:hAnsi="Arial"/>
                <w:sz w:val="14"/>
                <w:szCs w:val="14"/>
                <w:color w:val="auto"/>
              </w:rPr>
              <w:t>Vesting of early exercised options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3"/>
        </w:trPr>
        <w:tc>
          <w:tcPr>
            <w:tcW w:w="268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3"/>
        </w:trPr>
        <w:tc>
          <w:tcPr>
            <w:tcW w:w="2680" w:type="dxa"/>
            <w:vAlign w:val="bottom"/>
          </w:tcPr>
          <w:p>
            <w:pPr>
              <w:spacing w:after="0"/>
              <w:rPr>
                <w:sz w:val="20"/>
                <w:szCs w:val="20"/>
                <w:color w:val="auto"/>
              </w:rPr>
            </w:pPr>
            <w:r>
              <w:rPr>
                <w:rFonts w:ascii="Arial" w:cs="Arial" w:eastAsia="Arial" w:hAnsi="Arial"/>
                <w:sz w:val="14"/>
                <w:szCs w:val="14"/>
                <w:color w:val="auto"/>
              </w:rPr>
              <w:t>Capitalized stock-based compensation</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3"/>
        </w:trPr>
        <w:tc>
          <w:tcPr>
            <w:tcW w:w="2680" w:type="dxa"/>
            <w:vAlign w:val="bottom"/>
          </w:tcPr>
          <w:p>
            <w:pPr>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268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2"/>
        </w:trPr>
        <w:tc>
          <w:tcPr>
            <w:tcW w:w="2680" w:type="dxa"/>
            <w:vAlign w:val="bottom"/>
          </w:tcPr>
          <w:p>
            <w:pPr>
              <w:spacing w:after="0"/>
              <w:rPr>
                <w:sz w:val="20"/>
                <w:szCs w:val="20"/>
                <w:color w:val="auto"/>
              </w:rPr>
            </w:pPr>
            <w:r>
              <w:rPr>
                <w:rFonts w:ascii="Arial" w:cs="Arial" w:eastAsia="Arial" w:hAnsi="Arial"/>
                <w:sz w:val="14"/>
                <w:szCs w:val="14"/>
                <w:b w:val="1"/>
                <w:bCs w:val="1"/>
                <w:color w:val="auto"/>
              </w:rPr>
              <w:t>Balance at April 30, 2019</w:t>
            </w:r>
          </w:p>
        </w:tc>
        <w:tc>
          <w:tcPr>
            <w:tcW w:w="8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131,268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557,912</w:t>
            </w:r>
          </w:p>
        </w:tc>
      </w:tr>
      <w:tr>
        <w:trPr>
          <w:trHeight w:val="20"/>
        </w:trPr>
        <w:tc>
          <w:tcPr>
            <w:tcW w:w="2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9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580" w:type="dxa"/>
            <w:vAlign w:val="bottom"/>
            <w:gridSpan w:val="4"/>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58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01"/>
        </w:trPr>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220" w:type="dxa"/>
            <w:vAlign w:val="bottom"/>
          </w:tcPr>
          <w:p>
            <w:pPr>
              <w:spacing w:after="0"/>
              <w:rPr>
                <w:sz w:val="17"/>
                <w:szCs w:val="17"/>
                <w:color w:val="auto"/>
              </w:rPr>
            </w:pPr>
          </w:p>
        </w:tc>
        <w:tc>
          <w:tcPr>
            <w:tcW w:w="900" w:type="dxa"/>
            <w:vAlign w:val="bottom"/>
          </w:tcPr>
          <w:p>
            <w:pPr>
              <w:jc w:val="right"/>
              <w:ind w:right="288"/>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428"/>
        </w:trPr>
        <w:tc>
          <w:tcPr>
            <w:tcW w:w="7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47,421</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24</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31,211</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(519,126)</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98</w:t>
            </w:r>
          </w:p>
        </w:tc>
        <w:tc>
          <w:tcPr>
            <w:tcW w:w="120" w:type="dxa"/>
            <w:vAlign w:val="bottom"/>
          </w:tcPr>
          <w:p>
            <w:pPr>
              <w:spacing w:after="0"/>
              <w:rPr>
                <w:sz w:val="24"/>
                <w:szCs w:val="24"/>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(487,793)</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23,418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23,418</w:t>
            </w:r>
          </w:p>
        </w:tc>
        <w:tc>
          <w:tcPr>
            <w:tcW w:w="0" w:type="dxa"/>
            <w:vAlign w:val="bottom"/>
          </w:tcPr>
          <w:p>
            <w:pPr>
              <w:spacing w:after="0"/>
              <w:rPr>
                <w:sz w:val="1"/>
                <w:szCs w:val="1"/>
                <w:color w:val="auto"/>
              </w:rPr>
            </w:pPr>
          </w:p>
        </w:tc>
      </w:tr>
      <w:tr>
        <w:trPr>
          <w:trHeight w:val="351"/>
        </w:trPr>
        <w:tc>
          <w:tcPr>
            <w:tcW w:w="740" w:type="dxa"/>
            <w:vAlign w:val="bottom"/>
          </w:tcPr>
          <w:p>
            <w:pPr>
              <w:jc w:val="right"/>
              <w:ind w:right="68"/>
              <w:spacing w:after="0"/>
              <w:rPr>
                <w:sz w:val="20"/>
                <w:szCs w:val="20"/>
                <w:color w:val="auto"/>
              </w:rPr>
            </w:pPr>
            <w:r>
              <w:rPr>
                <w:rFonts w:ascii="Arial" w:cs="Arial" w:eastAsia="Arial" w:hAnsi="Arial"/>
                <w:sz w:val="14"/>
                <w:szCs w:val="14"/>
                <w:color w:val="auto"/>
              </w:rPr>
              <w:t>706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1,510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1,510</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3,752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3,752</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(25,977)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(25,977)</w:t>
            </w:r>
          </w:p>
        </w:tc>
        <w:tc>
          <w:tcPr>
            <w:tcW w:w="0" w:type="dxa"/>
            <w:vAlign w:val="bottom"/>
          </w:tcPr>
          <w:p>
            <w:pPr>
              <w:spacing w:after="0"/>
              <w:rPr>
                <w:sz w:val="1"/>
                <w:szCs w:val="1"/>
                <w:color w:val="auto"/>
              </w:rPr>
            </w:pPr>
          </w:p>
        </w:tc>
      </w:tr>
      <w:tr>
        <w:trPr>
          <w:trHeight w:val="208"/>
        </w:trPr>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96"/>
        </w:trPr>
        <w:tc>
          <w:tcPr>
            <w:tcW w:w="7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48,127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36,670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(521,685)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(186)</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(485,177)</w:t>
            </w:r>
          </w:p>
        </w:tc>
        <w:tc>
          <w:tcPr>
            <w:tcW w:w="0" w:type="dxa"/>
            <w:vAlign w:val="bottom"/>
          </w:tcPr>
          <w:p>
            <w:pPr>
              <w:spacing w:after="0"/>
              <w:rPr>
                <w:sz w:val="1"/>
                <w:szCs w:val="1"/>
                <w:color w:val="auto"/>
              </w:rPr>
            </w:pPr>
          </w:p>
        </w:tc>
      </w:tr>
      <w:tr>
        <w:trPr>
          <w:trHeight w:val="26"/>
        </w:trPr>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480" w:space="220"/>
            <w:col w:w="6540"/>
          </w:cols>
          <w:pgMar w:left="320" w:top="125" w:right="339" w:bottom="1440" w:gutter="0" w:footer="0" w:header="0"/>
          <w:type w:val="continuous"/>
        </w:sectPr>
      </w:pP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jc w:val="center"/>
        <w:spacing w:after="0" w:line="201" w:lineRule="auto"/>
        <w:rPr>
          <w:sz w:val="20"/>
          <w:szCs w:val="20"/>
          <w:color w:val="auto"/>
        </w:rPr>
      </w:pPr>
      <w:r>
        <w:rPr>
          <w:rFonts w:ascii="Arial" w:cs="Arial" w:eastAsia="Arial" w:hAnsi="Arial"/>
          <w:sz w:val="14"/>
          <w:szCs w:val="14"/>
          <w:b w:val="1"/>
          <w:bCs w:val="1"/>
          <w:color w:val="auto"/>
        </w:rPr>
        <w:t>Condensed Consolidated Statements of Cash Flows</w:t>
      </w:r>
    </w:p>
    <w:p>
      <w:pPr>
        <w:jc w:val="center"/>
        <w:spacing w:after="0" w:line="201" w:lineRule="auto"/>
        <w:rPr>
          <w:sz w:val="20"/>
          <w:szCs w:val="20"/>
          <w:color w:val="auto"/>
        </w:rPr>
      </w:pPr>
      <w:r>
        <w:rPr>
          <w:rFonts w:ascii="Arial" w:cs="Arial" w:eastAsia="Arial" w:hAnsi="Arial"/>
          <w:sz w:val="14"/>
          <w:szCs w:val="14"/>
          <w:i w:val="1"/>
          <w:iCs w:val="1"/>
          <w:color w:val="auto"/>
        </w:rPr>
        <w:t>(in thousands)</w:t>
      </w: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8"/>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580" w:type="dxa"/>
            <w:vAlign w:val="bottom"/>
          </w:tcPr>
          <w:p>
            <w:pPr>
              <w:ind w:left="20"/>
              <w:spacing w:after="0"/>
              <w:rPr>
                <w:sz w:val="20"/>
                <w:szCs w:val="20"/>
                <w:color w:val="auto"/>
              </w:rPr>
            </w:pPr>
            <w:r>
              <w:rPr>
                <w:rFonts w:ascii="Arial" w:cs="Arial" w:eastAsia="Arial" w:hAnsi="Arial"/>
                <w:sz w:val="14"/>
                <w:szCs w:val="14"/>
                <w:color w:val="auto"/>
              </w:rPr>
              <w:t>Net loss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(19,222)</w:t>
            </w:r>
          </w:p>
        </w:tc>
        <w:tc>
          <w:tcPr>
            <w:tcW w:w="14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(25,977)</w:t>
            </w: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58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8,202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4,873</w:t>
            </w: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97"/>
        </w:trPr>
        <w:tc>
          <w:tcPr>
            <w:tcW w:w="8580" w:type="dxa"/>
            <w:vAlign w:val="bottom"/>
          </w:tcPr>
          <w:p>
            <w:pPr>
              <w:ind w:left="120"/>
              <w:spacing w:after="0"/>
              <w:rPr>
                <w:sz w:val="20"/>
                <w:szCs w:val="20"/>
                <w:color w:val="auto"/>
              </w:rPr>
            </w:pPr>
            <w:r>
              <w:rPr>
                <w:rFonts w:ascii="Arial" w:cs="Arial" w:eastAsia="Arial" w:hAnsi="Arial"/>
                <w:sz w:val="14"/>
                <w:szCs w:val="14"/>
                <w:color w:val="auto"/>
              </w:rPr>
              <w:t>Amortization of deferred contract acquisition costs</w:t>
            </w:r>
          </w:p>
        </w:tc>
        <w:tc>
          <w:tcPr>
            <w:tcW w:w="24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13,451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7,345</w:t>
            </w: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Non-cash operating lease cost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2,283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580" w:type="dxa"/>
            <w:vAlign w:val="bottom"/>
          </w:tcPr>
          <w:p>
            <w:pPr>
              <w:ind w:left="120"/>
              <w:spacing w:after="0"/>
              <w:rPr>
                <w:sz w:val="20"/>
                <w:szCs w:val="20"/>
                <w:color w:val="auto"/>
              </w:rPr>
            </w:pPr>
            <w:r>
              <w:rPr>
                <w:rFonts w:ascii="Arial" w:cs="Arial" w:eastAsia="Arial" w:hAnsi="Arial"/>
                <w:sz w:val="14"/>
                <w:szCs w:val="14"/>
                <w:color w:val="auto"/>
              </w:rPr>
              <w:t>Change in fair value of redeemable convertible preferred stock warrant liability</w:t>
            </w:r>
          </w:p>
        </w:tc>
        <w:tc>
          <w:tcPr>
            <w:tcW w:w="2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1,167</w:t>
            </w: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for bad debts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97"/>
        </w:trPr>
        <w:tc>
          <w:tcPr>
            <w:tcW w:w="8580" w:type="dxa"/>
            <w:vAlign w:val="bottom"/>
          </w:tcPr>
          <w:p>
            <w:pPr>
              <w:ind w:left="120"/>
              <w:spacing w:after="0"/>
              <w:rPr>
                <w:sz w:val="20"/>
                <w:szCs w:val="20"/>
                <w:color w:val="auto"/>
              </w:rPr>
            </w:pPr>
            <w:r>
              <w:rPr>
                <w:rFonts w:ascii="Arial" w:cs="Arial" w:eastAsia="Arial" w:hAnsi="Arial"/>
                <w:sz w:val="14"/>
                <w:szCs w:val="14"/>
                <w:color w:val="auto"/>
              </w:rPr>
              <w:t>Stock-based compensation expense</w:t>
            </w:r>
          </w:p>
        </w:tc>
        <w:tc>
          <w:tcPr>
            <w:tcW w:w="24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23,638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3,752</w:t>
            </w: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Gain on sale of debt securities, net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580" w:type="dxa"/>
            <w:vAlign w:val="bottom"/>
          </w:tcPr>
          <w:p>
            <w:pPr>
              <w:ind w:left="120"/>
              <w:spacing w:after="0"/>
              <w:rPr>
                <w:sz w:val="20"/>
                <w:szCs w:val="20"/>
                <w:color w:val="auto"/>
              </w:rPr>
            </w:pPr>
            <w:r>
              <w:rPr>
                <w:rFonts w:ascii="Arial" w:cs="Arial" w:eastAsia="Arial" w:hAnsi="Arial"/>
                <w:sz w:val="14"/>
                <w:szCs w:val="14"/>
                <w:color w:val="auto"/>
              </w:rPr>
              <w:t>Amortization (accretion) of marketable securities purchased at a discount</w:t>
            </w:r>
          </w:p>
        </w:tc>
        <w:tc>
          <w:tcPr>
            <w:tcW w:w="24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578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Non-cash interest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97"/>
        </w:trPr>
        <w:tc>
          <w:tcPr>
            <w:tcW w:w="8580" w:type="dxa"/>
            <w:vAlign w:val="bottom"/>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20,651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5,375</w:t>
            </w:r>
          </w:p>
        </w:tc>
        <w:tc>
          <w:tcPr>
            <w:tcW w:w="0" w:type="dxa"/>
            <w:vAlign w:val="bottom"/>
          </w:tcPr>
          <w:p>
            <w:pPr>
              <w:spacing w:after="0"/>
              <w:rPr>
                <w:sz w:val="1"/>
                <w:szCs w:val="1"/>
                <w:color w:val="auto"/>
              </w:rPr>
            </w:pPr>
          </w:p>
        </w:tc>
      </w:tr>
      <w:tr>
        <w:trPr>
          <w:trHeight w:val="197"/>
        </w:trPr>
        <w:tc>
          <w:tcPr>
            <w:tcW w:w="8580" w:type="dxa"/>
            <w:vAlign w:val="bottom"/>
          </w:tcPr>
          <w:p>
            <w:pPr>
              <w:ind w:left="220"/>
              <w:spacing w:after="0"/>
              <w:rPr>
                <w:sz w:val="20"/>
                <w:szCs w:val="20"/>
                <w:color w:val="auto"/>
              </w:rPr>
            </w:pPr>
            <w:r>
              <w:rPr>
                <w:rFonts w:ascii="Arial" w:cs="Arial" w:eastAsia="Arial" w:hAnsi="Arial"/>
                <w:sz w:val="14"/>
                <w:szCs w:val="14"/>
                <w:color w:val="auto"/>
              </w:rPr>
              <w:t>Deferred contract acquisition costs</w:t>
            </w:r>
          </w:p>
        </w:tc>
        <w:tc>
          <w:tcPr>
            <w:tcW w:w="24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(22,563)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(8,471)</w:t>
            </w: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5,332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(4,049)</w:t>
            </w:r>
          </w:p>
        </w:tc>
        <w:tc>
          <w:tcPr>
            <w:tcW w:w="0" w:type="dxa"/>
            <w:vAlign w:val="bottom"/>
          </w:tcPr>
          <w:p>
            <w:pPr>
              <w:spacing w:after="0"/>
              <w:rPr>
                <w:sz w:val="1"/>
                <w:szCs w:val="1"/>
                <w:color w:val="auto"/>
              </w:rPr>
            </w:pPr>
          </w:p>
        </w:tc>
      </w:tr>
      <w:tr>
        <w:trPr>
          <w:trHeight w:val="197"/>
        </w:trPr>
        <w:tc>
          <w:tcPr>
            <w:tcW w:w="858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4,736</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2,818</w:t>
            </w: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(2,407)</w:t>
            </w:r>
          </w:p>
        </w:tc>
        <w:tc>
          <w:tcPr>
            <w:tcW w:w="0" w:type="dxa"/>
            <w:vAlign w:val="bottom"/>
          </w:tcPr>
          <w:p>
            <w:pPr>
              <w:spacing w:after="0"/>
              <w:rPr>
                <w:sz w:val="1"/>
                <w:szCs w:val="1"/>
                <w:color w:val="auto"/>
              </w:rPr>
            </w:pPr>
          </w:p>
        </w:tc>
      </w:tr>
      <w:tr>
        <w:trPr>
          <w:trHeight w:val="197"/>
        </w:trPr>
        <w:tc>
          <w:tcPr>
            <w:tcW w:w="8580" w:type="dxa"/>
            <w:vAlign w:val="bottom"/>
          </w:tcPr>
          <w:p>
            <w:pPr>
              <w:ind w:left="220"/>
              <w:spacing w:after="0"/>
              <w:rPr>
                <w:sz w:val="20"/>
                <w:szCs w:val="20"/>
                <w:color w:val="auto"/>
              </w:rPr>
            </w:pPr>
            <w:r>
              <w:rPr>
                <w:rFonts w:ascii="Arial" w:cs="Arial" w:eastAsia="Arial" w:hAnsi="Arial"/>
                <w:sz w:val="14"/>
                <w:szCs w:val="14"/>
                <w:color w:val="auto"/>
              </w:rPr>
              <w:t>Accrued payroll and benefits</w:t>
            </w:r>
          </w:p>
        </w:tc>
        <w:tc>
          <w:tcPr>
            <w:tcW w:w="24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648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(6,601)</w:t>
            </w: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 liabilities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580" w:type="dxa"/>
            <w:vAlign w:val="bottom"/>
          </w:tcPr>
          <w:p>
            <w:pPr>
              <w:ind w:left="220"/>
              <w:spacing w:after="0"/>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64,805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24,812</w:t>
            </w: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1,052</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90"/>
        </w:trPr>
        <w:tc>
          <w:tcPr>
            <w:tcW w:w="8580" w:type="dxa"/>
            <w:vAlign w:val="bottom"/>
          </w:tcPr>
          <w:p>
            <w:pPr>
              <w:ind w:left="34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98,577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1,415</w:t>
            </w: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58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(9,694)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(15,541)</w:t>
            </w: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Capitalized internal-use software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(1,984)</w:t>
            </w:r>
          </w:p>
        </w:tc>
        <w:tc>
          <w:tcPr>
            <w:tcW w:w="0" w:type="dxa"/>
            <w:vAlign w:val="bottom"/>
          </w:tcPr>
          <w:p>
            <w:pPr>
              <w:spacing w:after="0"/>
              <w:rPr>
                <w:sz w:val="1"/>
                <w:szCs w:val="1"/>
                <w:color w:val="auto"/>
              </w:rPr>
            </w:pPr>
          </w:p>
        </w:tc>
      </w:tr>
      <w:tr>
        <w:trPr>
          <w:trHeight w:val="197"/>
        </w:trPr>
        <w:tc>
          <w:tcPr>
            <w:tcW w:w="8580" w:type="dxa"/>
            <w:vAlign w:val="bottom"/>
          </w:tcPr>
          <w:p>
            <w:pPr>
              <w:ind w:left="20"/>
              <w:spacing w:after="0"/>
              <w:rPr>
                <w:sz w:val="20"/>
                <w:szCs w:val="20"/>
                <w:color w:val="auto"/>
              </w:rPr>
            </w:pPr>
            <w:r>
              <w:rPr>
                <w:rFonts w:ascii="Arial" w:cs="Arial" w:eastAsia="Arial" w:hAnsi="Arial"/>
                <w:sz w:val="14"/>
                <w:szCs w:val="14"/>
                <w:color w:val="auto"/>
              </w:rPr>
              <w:t>Purchases of marketable securities</w:t>
            </w:r>
          </w:p>
        </w:tc>
        <w:tc>
          <w:tcPr>
            <w:tcW w:w="24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(84,904)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(51,805)</w:t>
            </w: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sales of marketable securities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639,586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4,473</w:t>
            </w:r>
          </w:p>
        </w:tc>
        <w:tc>
          <w:tcPr>
            <w:tcW w:w="0" w:type="dxa"/>
            <w:vAlign w:val="bottom"/>
          </w:tcPr>
          <w:p>
            <w:pPr>
              <w:spacing w:after="0"/>
              <w:rPr>
                <w:sz w:val="1"/>
                <w:szCs w:val="1"/>
                <w:color w:val="auto"/>
              </w:rPr>
            </w:pPr>
          </w:p>
        </w:tc>
      </w:tr>
      <w:tr>
        <w:trPr>
          <w:trHeight w:val="197"/>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Maturities of marketable securities</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91,605</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68,995</w:t>
            </w:r>
          </w:p>
        </w:tc>
        <w:tc>
          <w:tcPr>
            <w:tcW w:w="0" w:type="dxa"/>
            <w:vAlign w:val="bottom"/>
          </w:tcPr>
          <w:p>
            <w:pPr>
              <w:spacing w:after="0"/>
              <w:rPr>
                <w:sz w:val="1"/>
                <w:szCs w:val="1"/>
                <w:color w:val="auto"/>
              </w:rPr>
            </w:pPr>
          </w:p>
        </w:tc>
      </w:tr>
      <w:tr>
        <w:trPr>
          <w:trHeight w:val="202"/>
        </w:trPr>
        <w:tc>
          <w:tcPr>
            <w:tcW w:w="8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provided by investing activities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634,711</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4,138</w:t>
            </w:r>
          </w:p>
        </w:tc>
        <w:tc>
          <w:tcPr>
            <w:tcW w:w="0" w:type="dxa"/>
            <w:vAlign w:val="bottom"/>
          </w:tcPr>
          <w:p>
            <w:pPr>
              <w:spacing w:after="0"/>
              <w:rPr>
                <w:sz w:val="1"/>
                <w:szCs w:val="1"/>
                <w:color w:val="auto"/>
              </w:rPr>
            </w:pPr>
          </w:p>
        </w:tc>
      </w:tr>
      <w:tr>
        <w:trPr>
          <w:trHeight w:val="197"/>
        </w:trPr>
        <w:tc>
          <w:tcPr>
            <w:tcW w:w="858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of deferred offering costs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(2,392)</w:t>
            </w:r>
          </w:p>
        </w:tc>
        <w:tc>
          <w:tcPr>
            <w:tcW w:w="0" w:type="dxa"/>
            <w:vAlign w:val="bottom"/>
          </w:tcPr>
          <w:p>
            <w:pPr>
              <w:spacing w:after="0"/>
              <w:rPr>
                <w:sz w:val="1"/>
                <w:szCs w:val="1"/>
                <w:color w:val="auto"/>
              </w:rPr>
            </w:pPr>
          </w:p>
        </w:tc>
      </w:tr>
      <w:tr>
        <w:trPr>
          <w:trHeight w:val="197"/>
        </w:trPr>
        <w:tc>
          <w:tcPr>
            <w:tcW w:w="8580" w:type="dxa"/>
            <w:vAlign w:val="bottom"/>
          </w:tcPr>
          <w:p>
            <w:pPr>
              <w:ind w:left="20"/>
              <w:spacing w:after="0"/>
              <w:rPr>
                <w:sz w:val="20"/>
                <w:szCs w:val="20"/>
                <w:color w:val="auto"/>
              </w:rPr>
            </w:pPr>
            <w:r>
              <w:rPr>
                <w:rFonts w:ascii="Arial" w:cs="Arial" w:eastAsia="Arial" w:hAnsi="Arial"/>
                <w:sz w:val="14"/>
                <w:szCs w:val="14"/>
                <w:color w:val="auto"/>
              </w:rPr>
              <w:t>Proceeds from issuance of common stock upon exercise of stock options</w:t>
            </w:r>
          </w:p>
        </w:tc>
        <w:tc>
          <w:tcPr>
            <w:tcW w:w="24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6,393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1,510</w:t>
            </w: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contributions from non-controlling interest holders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500</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8580" w:type="dxa"/>
            <w:vAlign w:val="bottom"/>
          </w:tcPr>
          <w:p>
            <w:pPr>
              <w:ind w:left="340"/>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6,893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168"/>
        </w:trPr>
        <w:tc>
          <w:tcPr>
            <w:tcW w:w="8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foreign exchange rates on cash and cash equivalents</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2"/>
        </w:trPr>
        <w:tc>
          <w:tcPr>
            <w:tcW w:w="8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increase in cash and cash equivalents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740,193</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4,585</w:t>
            </w:r>
          </w:p>
        </w:tc>
        <w:tc>
          <w:tcPr>
            <w:tcW w:w="0" w:type="dxa"/>
            <w:vAlign w:val="bottom"/>
          </w:tcPr>
          <w:p>
            <w:pPr>
              <w:spacing w:after="0"/>
              <w:rPr>
                <w:sz w:val="1"/>
                <w:szCs w:val="1"/>
                <w:color w:val="auto"/>
              </w:rPr>
            </w:pPr>
          </w:p>
        </w:tc>
      </w:tr>
      <w:tr>
        <w:trPr>
          <w:trHeight w:val="197"/>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264,798</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88,408</w:t>
            </w:r>
          </w:p>
        </w:tc>
        <w:tc>
          <w:tcPr>
            <w:tcW w:w="0" w:type="dxa"/>
            <w:vAlign w:val="bottom"/>
          </w:tcPr>
          <w:p>
            <w:pPr>
              <w:spacing w:after="0"/>
              <w:rPr>
                <w:sz w:val="1"/>
                <w:szCs w:val="1"/>
                <w:color w:val="auto"/>
              </w:rPr>
            </w:pPr>
          </w:p>
        </w:tc>
      </w:tr>
      <w:tr>
        <w:trPr>
          <w:trHeight w:val="221"/>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1,004,991</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92,993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5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paid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7"/>
        </w:trPr>
        <w:tc>
          <w:tcPr>
            <w:tcW w:w="8580" w:type="dxa"/>
            <w:vAlign w:val="bottom"/>
          </w:tcPr>
          <w:p>
            <w:pPr>
              <w:ind w:left="20"/>
              <w:spacing w:after="0"/>
              <w:rPr>
                <w:sz w:val="20"/>
                <w:szCs w:val="20"/>
                <w:color w:val="auto"/>
              </w:rPr>
            </w:pPr>
            <w:r>
              <w:rPr>
                <w:rFonts w:ascii="Arial" w:cs="Arial" w:eastAsia="Arial" w:hAnsi="Arial"/>
                <w:sz w:val="14"/>
                <w:szCs w:val="14"/>
                <w:color w:val="auto"/>
              </w:rPr>
              <w:t>Income taxes paid</w:t>
            </w:r>
          </w:p>
        </w:tc>
        <w:tc>
          <w:tcPr>
            <w:tcW w:w="24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353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580" w:type="dxa"/>
            <w:vAlign w:val="bottom"/>
          </w:tcPr>
          <w:p>
            <w:pPr>
              <w:ind w:left="20"/>
              <w:spacing w:after="0"/>
              <w:rPr>
                <w:sz w:val="20"/>
                <w:szCs w:val="20"/>
                <w:color w:val="auto"/>
              </w:rPr>
            </w:pPr>
            <w:r>
              <w:rPr>
                <w:rFonts w:ascii="Arial" w:cs="Arial" w:eastAsia="Arial" w:hAnsi="Arial"/>
                <w:sz w:val="14"/>
                <w:szCs w:val="14"/>
                <w:color w:val="auto"/>
              </w:rPr>
              <w:t>Net (decrease) increase in deferred offering costs, accrued but not paid</w:t>
            </w:r>
          </w:p>
        </w:tc>
        <w:tc>
          <w:tcPr>
            <w:tcW w:w="2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increase in property and equipment included in accounts payable and accrued 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1"/>
        </w:trPr>
        <w:tc>
          <w:tcPr>
            <w:tcW w:w="8580" w:type="dxa"/>
            <w:vAlign w:val="bottom"/>
          </w:tcPr>
          <w:p>
            <w:pPr>
              <w:ind w:left="20"/>
              <w:spacing w:after="0"/>
              <w:rPr>
                <w:sz w:val="20"/>
                <w:szCs w:val="20"/>
                <w:color w:val="auto"/>
              </w:rPr>
            </w:pPr>
            <w:r>
              <w:rPr>
                <w:rFonts w:ascii="Arial" w:cs="Arial" w:eastAsia="Arial" w:hAnsi="Arial"/>
                <w:sz w:val="14"/>
                <w:szCs w:val="14"/>
                <w:color w:val="auto"/>
              </w:rPr>
              <w:t>Vesting of early exercised stock options</w:t>
            </w:r>
          </w:p>
        </w:tc>
        <w:tc>
          <w:tcPr>
            <w:tcW w:w="24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873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660" w:right="7320" w:hanging="652"/>
        <w:spacing w:after="0" w:line="500" w:lineRule="auto"/>
        <w:tabs>
          <w:tab w:leader="none" w:pos="192"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Description of Business and Basis of Presentation Business</w:t>
      </w:r>
    </w:p>
    <w:p>
      <w:pPr>
        <w:spacing w:after="0" w:line="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CrowdStrike Holdings, Inc. (the “Company”) was formed on November 7, 2011. The Company provides a leading cloud-delivered solution for next-generation endpoint protection that offers 11 cloud modules on its Falcon platform via a software as a service (“SaaS”) subscription-based model that spans multiple large security markets, including endpoint security, security and IT operations (including vulnerability management), and threat intelligence. The Company is headquartered in Sunnyvale, California. The Company conducts its business in the United States, as well as locations internationally, including in Australia, Germany, India, Romania, and the United Kingdom.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June 14, 2019, the Company closed its initial public offering (“IPO”), in which it sold 20,700,000 shares of Class A common stock. The shares were sold at a public offering price of $34.00 per share for net proceeds of $659.2 million, after deducting underwriters’ discounts and commissions and offering expenses of $44.8 million. Immediately prior to the closing of the IPO, all outstanding shares of redeemable convertible preferred stock automatically converted into 131,267,586 shares of Class B common stock on a one-to-one basis. Additionally, in connection with the IPO, all of the Company’s outstanding common stock was reclassified into shares of Class B common stock on a one-for-one basis. Redeemable convertible preferred stock warrants also converted into 336,386 warrants to purchase Class B common stock on a one-to-one basis.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in conformity with U.S.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2020,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adjustments (consisting only of normal recurring adjustments) that are necessary for the fair statement of the Company’s condensed consolidated financial information. The results of operations for the three months ended April 30, 2020 are not necessarily indicative of the results to be expected for the year ending January 31, 2021 or for any other interim period or for any other future year.</w:t>
      </w:r>
    </w:p>
    <w:p>
      <w:pPr>
        <w:spacing w:after="0" w:line="166" w:lineRule="exact"/>
        <w:rPr>
          <w:sz w:val="20"/>
          <w:szCs w:val="20"/>
          <w:color w:val="auto"/>
        </w:rPr>
      </w:pPr>
    </w:p>
    <w:p>
      <w:pPr>
        <w:ind w:left="660" w:right="7720" w:hanging="652"/>
        <w:spacing w:after="0" w:line="563" w:lineRule="auto"/>
        <w:tabs>
          <w:tab w:leader="none" w:pos="192"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Summary of Significant Accounting Policies Principles of Consolidation</w:t>
      </w:r>
    </w:p>
    <w:p>
      <w:pPr>
        <w:spacing w:after="0" w:line="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intercompany balances and transactions have been eliminated in consolidation.</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U.S. GAAP have been condensed or omitted pursuant to the applicable required disclosures and regulations of the SEC. Therefore, the accompanying interim unaudited condensed consolidated financial statements and related financial information should be read in conjunction with Item 8, “Financial Statements and Supplementary Data” included in the Company’s Annual Report on Form 10-K for the fiscal year ended January 31, 2020, filed with the SEC on March 23, 2020.</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Company is an “emerging growth company” (“EGC”) as defined in the Jumpstart Our Business Startups Act of 2012 (“JOBS Act”). An EGC may take advantage of specified reduced reporting requirements that are otherwise applicable generally to public companies, including, but not limited to, delayed adoption of new or revised accounting pronouncements applicable to public companies until such pronouncements are made applicable to private companies, not being required to comply with the auditor attestation requirements of Section 404 of the Sarbanes-Oxley Act of 2002 (“Sarbanes-Oxley Act”), reduced disclosure obligations regarding executive compensation in the Company’s periodic reports and proxy statements, and exemptions from the requirements of holding a nonbinding advisory vote on executive compensation and stockholder approval of any golden parachute payments not previously approved.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may take advantage of these exemptions until it is no longer an EGC. The Company would cease to be an EGC upon the earliest to</w:t>
      </w:r>
    </w:p>
    <w:p>
      <w:pPr>
        <w:spacing w:after="0" w:line="46"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occur of: (i) the first fiscal year following the fifth anniversary of its initial public offering; (ii) the first fiscal year after annual gross revenue is $1.07 billion or more; (iii) the date on which the Company has, during the previous three-year period, issued more than $1.0 billion in non-convertible debt securities; or (iv) the date on which the Company qualifies as a “large accelerated filer,” as defined in Rule 12b-2 under the Exchange Act, which would occur at the end of any fiscal year in which the market value of the Company’s common stock held by non-affiliates exceeded $700.0 million as of the end of the second quarter of that fiscal year, and as of the end of such fiscal year the Company has been a reporting company for at least 12 months.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 could be material to the Company’s condensed consolidated financial statements.</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Estimates and assumptions used by management include, but are not limited to, revenue recognition, the allowance for doubtful accounts, the carrying value and the useful lives of long-lived assets, the fair values of financial instruments and strategic investments, the period of benefit for deferred contract acquisition costs, the discount rate used for operating leases, the recognition and disclosure of contingent liabilities, income taxes, and stock-based compensation.</w:t>
      </w:r>
    </w:p>
    <w:p>
      <w:pPr>
        <w:spacing w:after="0" w:line="214" w:lineRule="exact"/>
        <w:rPr>
          <w:sz w:val="20"/>
          <w:szCs w:val="20"/>
          <w:color w:val="auto"/>
        </w:rPr>
      </w:pPr>
    </w:p>
    <w:p>
      <w:pPr>
        <w:ind w:right="160" w:firstLine="648"/>
        <w:spacing w:after="0" w:line="279" w:lineRule="auto"/>
        <w:rPr>
          <w:sz w:val="20"/>
          <w:szCs w:val="20"/>
          <w:color w:val="auto"/>
        </w:rPr>
      </w:pPr>
      <w:r>
        <w:rPr>
          <w:rFonts w:ascii="Arial" w:cs="Arial" w:eastAsia="Arial" w:hAnsi="Arial"/>
          <w:sz w:val="16"/>
          <w:szCs w:val="16"/>
          <w:color w:val="auto"/>
        </w:rPr>
        <w:t>Due to the Coronavirus (“COVID-19”) pandemic, there has been uncertainty and disruption in the global economy and financial markets. The Company is not aware of any specific event or circumstance that would require a material update to its estimates or judgments or an adjustment of the carrying value of its assets or liabilities as of April 30, 2020. While there was not a material impact to the Company’s consolidated financial statements as of and for the quarter ended April 30, 2020, these estimates may change, as new events occur and additional information is obtained, as well as other factors related to COVID-19 that could result in material impacts to the Company’s consolidated financial statements in future reporting periods.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Geographic Information</w:t>
      </w:r>
    </w:p>
    <w:p>
      <w:pPr>
        <w:spacing w:after="0" w:line="22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 Due to the nature of the Company’s services and the terms and conditions of the Company’s contracts with its channel partners, the Company’s business could be affected unfavorably if it is not able to continue its relationships with them.</w:t>
      </w:r>
    </w:p>
    <w:p>
      <w:pPr>
        <w:spacing w:after="0" w:line="15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cash equivalents, marketable securities, accounts receivable, and strategic investments. The Company’s cash is placed with high-credit-quality financial institutions and issuers, and at times exceed federally insured limits. The Company limits its concentration of risk in cash equivalents and marketable securities by diversifying its investments among a variety of industries and issuers. The Company has not experienced any credit loss relating to its cash equivalents, marketable securities, and strategic investments. The Company performs periodic credit evaluations of its customers and generally does not require collateral.</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Channel partners or direct customers who represented 10% or more of the Company’s accounts receivable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3"/>
          </w:tcPr>
          <w:p>
            <w:pPr>
              <w:ind w:left="320"/>
              <w:spacing w:after="0"/>
              <w:rPr>
                <w:sz w:val="20"/>
                <w:szCs w:val="20"/>
                <w:color w:val="auto"/>
              </w:rPr>
            </w:pPr>
            <w:r>
              <w:rPr>
                <w:rFonts w:ascii="Arial" w:cs="Arial" w:eastAsia="Arial" w:hAnsi="Arial"/>
                <w:sz w:val="14"/>
                <w:szCs w:val="14"/>
                <w:b w:val="1"/>
                <w:bCs w:val="1"/>
                <w:color w:val="auto"/>
              </w:rPr>
              <w:t>April 30,</w:t>
            </w:r>
          </w:p>
        </w:tc>
        <w:tc>
          <w:tcPr>
            <w:tcW w:w="100" w:type="dxa"/>
            <w:vAlign w:val="bottom"/>
          </w:tcPr>
          <w:p>
            <w:pPr>
              <w:spacing w:after="0"/>
              <w:rPr>
                <w:sz w:val="16"/>
                <w:szCs w:val="16"/>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January 31,</w:t>
            </w:r>
          </w:p>
        </w:tc>
      </w:tr>
      <w:tr>
        <w:trPr>
          <w:trHeight w:val="196"/>
        </w:trPr>
        <w:tc>
          <w:tcPr>
            <w:tcW w:w="8440" w:type="dxa"/>
            <w:vAlign w:val="bottom"/>
            <w:tcBorders>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24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Channel partner A</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Channel partner B</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8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Channel partner C</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Customer B</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459"/>
        </w:trPr>
        <w:tc>
          <w:tcPr>
            <w:tcW w:w="8440" w:type="dxa"/>
            <w:vAlign w:val="bottom"/>
          </w:tcPr>
          <w:p>
            <w:pPr>
              <w:ind w:left="660"/>
              <w:spacing w:after="0"/>
              <w:rPr>
                <w:sz w:val="20"/>
                <w:szCs w:val="20"/>
                <w:color w:val="auto"/>
              </w:rPr>
            </w:pPr>
            <w:r>
              <w:rPr>
                <w:rFonts w:ascii="Arial" w:cs="Arial" w:eastAsia="Arial" w:hAnsi="Arial"/>
                <w:sz w:val="18"/>
                <w:szCs w:val="18"/>
                <w:color w:val="auto"/>
              </w:rPr>
              <w:t>Channel partners who represented 10% or more of the Company’s total revenue were as follows:</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3"/>
        </w:trPr>
        <w:tc>
          <w:tcPr>
            <w:tcW w:w="8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2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8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r>
      <w:tr>
        <w:trPr>
          <w:trHeight w:val="24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Channel partner A</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9 %</w:t>
            </w:r>
          </w:p>
        </w:tc>
        <w:tc>
          <w:tcPr>
            <w:tcW w:w="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12%</w:t>
            </w:r>
          </w:p>
        </w:tc>
      </w:tr>
      <w:tr>
        <w:trPr>
          <w:trHeight w:val="27"/>
        </w:trPr>
        <w:tc>
          <w:tcPr>
            <w:tcW w:w="8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were no direct customers who represented 10% or more of the Company’s total revenue during the three months ended April 30, 2020 and April 30,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Other than the policies described below, there have been no changes to the Company’s significant accounting policies described in its Annual Report on Form 10-K that have had a material impact on its consolidated financial statements and related notes.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Company enters into operating lease arrangements for real estate assets related to office space. The Company determines if an arrangement is or contains a lease at inception by evaluating various factors, including whether a vendor’s right to substitute an identified asset is substantive. Lease classification is determined at the lease commencement date, which is the date the leased assets are made available for use. Operating leases are included in “Operating lease right-of-use assets”, “Operating lease liabilities, current”, and “Operating lease liabilities, noncurrent” in the condensed consolidated balance sheets. The Company did not have any financing leases in any of the periods presented.</w:t>
      </w:r>
    </w:p>
    <w:p>
      <w:pPr>
        <w:spacing w:after="0" w:line="17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Operating lease right-of-use assets and lease liabilities are recognized at the lease commencement date based on the present value of lease payments over the lease term. Lease payments consist of the fixed payments under the arrangement, less any lease incentives, such as tenant improvement allowances. Variable costs, such as maintenance and utilities based on actual usage, are not included in the measurement of right-to-use assets and lease liabilities but are expensed when the event determining the amount of variable consideration to be paid occurs. As the implicit rate of the leases is not determinable, the Company uses an incremental borrowing rate (“IBR”) based on the information available at the lease commencement date in determining the present value of lease payments. Lease expenses are recognized on a straight-line basis over the lease term.</w:t>
      </w:r>
    </w:p>
    <w:p>
      <w:pPr>
        <w:spacing w:after="0" w:line="164"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The Company generally uses the non-cancelable lease term when recognizing the right-of-use (“ROU”) assets and lease liabilities, unless it is reasonably certain that a renewal or termination option will be exercised. The Company accounts for lease components and non-lease components as a single lease component.</w:t>
      </w:r>
    </w:p>
    <w:p>
      <w:pPr>
        <w:spacing w:after="0" w:line="21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Leases with a term of twelve months or less are not recognized on the consolidated balance sheets but are recognized as expense on a straight-line basis over the term of the lease.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Available-for-sale debt securities</w:t>
      </w:r>
    </w:p>
    <w:p>
      <w:pPr>
        <w:spacing w:after="0" w:line="23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212529"/>
        </w:rPr>
        <w:t xml:space="preserve">The Company evaluates investments with unrealized loss positions by assessing if they are related to deterioration in credit risk and whether we expect to recover the entire amortized cost basis of the security, our intent to sell and whether it is more likely than not that we will be required to sell the securities before the recovery of their cost basis. Credit-related impairment losses, not to exceed the amount that fair value is less than the amortized cost basis, are recognized through an allowance for credit losses with changes in the allowance for credit losses recorded in other income, net in the condensed consolidated statements of comprehensive income (loss). </w:t>
      </w:r>
      <w:r>
        <w:rPr>
          <w:rFonts w:ascii="Arial" w:cs="Arial" w:eastAsia="Arial" w:hAnsi="Arial"/>
          <w:sz w:val="18"/>
          <w:szCs w:val="18"/>
          <w:color w:val="000000"/>
        </w:rPr>
        <w:t>As of April 30, 2020, there were no marketable securities held by the Company and there were no</w:t>
      </w:r>
      <w:r>
        <w:rPr>
          <w:rFonts w:ascii="Arial" w:cs="Arial" w:eastAsia="Arial" w:hAnsi="Arial"/>
          <w:sz w:val="18"/>
          <w:szCs w:val="18"/>
          <w:color w:val="212529"/>
        </w:rPr>
        <w:t xml:space="preserve"> </w:t>
      </w:r>
      <w:r>
        <w:rPr>
          <w:rFonts w:ascii="Arial" w:cs="Arial" w:eastAsia="Arial" w:hAnsi="Arial"/>
          <w:sz w:val="18"/>
          <w:szCs w:val="18"/>
          <w:color w:val="000000"/>
        </w:rPr>
        <w:t>securities that had been in continuous unrealized loss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1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Accounts receivable are recorded at the invoiced amount and are non-interest bearing. Accounts receivable are stated at their net realizable value, net of allowance for doubtful accounts. The Company has a well-established collections history from its customers. Credit is extended to customers based on an evaluation of their financial condition and other factors. The Company generally does not require collateral from its customers; however, the Company may require payment prior to commencing service in certain instances to limit credit risk. The Company regularly reviews the adequacy of the allowance for doubtful accounts by considering various factors including the age of each outstanding invoice, each customer’s expected ability to pay, historical loss rates and expectations of forward-looking loss estimates to determine whether the allowance is appropriate. Amounts deemed uncollectible are written off against the allowance for doubtful accounts. As of April 30, 2020 and January 31, 2020, the allowance for doubtful accounts was $2.1 million and $1.1 million, respectively.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Software Implementation Costs</w:t>
      </w:r>
    </w:p>
    <w:p>
      <w:pPr>
        <w:spacing w:after="0" w:line="212"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The Company contracts with third party information technology providers for various service arrangements including software, platform, and information technology infrastructure. The Company capitalizes the implementation cost incurred to develop or obtain internal-use software in such arrangements. All capitalized implementation costs are amortized over the term of the arrangement which includes reasonably certain renewals. Costs incurred during the preliminary project and post implement stage are expensed as the activities are performed. Capitalized implementation costs were not material for the three months ended April 30, 2020.</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2016-02, “Leases (Topic 842),” which requires lessees to generally recognize on the balance sheet operating and financing lease liabilities and corresponding right-of-use assets, and to recognize on the income statement the expenses in a manner similar to prior practice. The Company adopted Topic 842 using the modified retrospective method as of February 1, 2020.</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212529"/>
        </w:rPr>
        <w:t xml:space="preserve">The Company elected </w:t>
      </w:r>
      <w:r>
        <w:rPr>
          <w:rFonts w:ascii="Arial" w:cs="Arial" w:eastAsia="Arial" w:hAnsi="Arial"/>
          <w:sz w:val="18"/>
          <w:szCs w:val="18"/>
          <w:color w:val="000000"/>
        </w:rPr>
        <w:t>the following practical expedients:</w:t>
      </w:r>
    </w:p>
    <w:p>
      <w:pPr>
        <w:spacing w:after="0" w:line="239" w:lineRule="exact"/>
        <w:rPr>
          <w:sz w:val="20"/>
          <w:szCs w:val="20"/>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212529"/>
        </w:rPr>
      </w:pPr>
      <w:r>
        <w:rPr>
          <w:rFonts w:ascii="Arial" w:cs="Arial" w:eastAsia="Arial" w:hAnsi="Arial"/>
          <w:sz w:val="18"/>
          <w:szCs w:val="18"/>
          <w:color w:val="212529"/>
        </w:rPr>
        <w:t>The package of practical expedients which allows for not reassessing 1) whether existing contracts contain leases, 2) the lease classification of existing leases, and 3) whether existing initial direct costs meet the new definition.</w:t>
      </w:r>
    </w:p>
    <w:p>
      <w:pPr>
        <w:spacing w:after="0" w:line="211" w:lineRule="exact"/>
        <w:rPr>
          <w:rFonts w:ascii="Arial" w:cs="Arial" w:eastAsia="Arial" w:hAnsi="Arial"/>
          <w:sz w:val="18"/>
          <w:szCs w:val="18"/>
          <w:color w:val="212529"/>
        </w:rPr>
      </w:pPr>
    </w:p>
    <w:p>
      <w:pPr>
        <w:jc w:val="both"/>
        <w:ind w:left="660" w:hanging="328"/>
        <w:spacing w:after="0" w:line="236"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color w:val="212529"/>
        </w:rPr>
        <w:t>The practical expedient in ASC Subtopic 842-10 to not separate non-lease components from lease components and instead account for each separate lease component and non-lease components associated with that lease component as a single lease component by class of the underlying assets.</w:t>
      </w:r>
    </w:p>
    <w:p>
      <w:pPr>
        <w:spacing w:after="0" w:line="230" w:lineRule="exact"/>
        <w:rPr>
          <w:rFonts w:ascii="Arial" w:cs="Arial" w:eastAsia="Arial" w:hAnsi="Arial"/>
          <w:sz w:val="20"/>
          <w:szCs w:val="20"/>
          <w:color w:val="auto"/>
        </w:rPr>
      </w:pPr>
    </w:p>
    <w:p>
      <w:pPr>
        <w:ind w:left="660" w:hanging="328"/>
        <w:spacing w:after="0" w:line="237"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color w:val="212529"/>
        </w:rPr>
        <w:t>Not to recognize right of use assets and lease liabilities for short-term leases, which have a lease term of twelve months or less and do not include an option to purchase the underlying asset that the Company is reasonably certain to exercise.</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212529"/>
        </w:rPr>
        <w:t>The Company did not elect the hindsight practical expedient.</w:t>
      </w:r>
    </w:p>
    <w:p>
      <w:pPr>
        <w:spacing w:after="0" w:line="2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212529"/>
        </w:rPr>
        <w:t>Lease payments consist primarily of the fixed payments under the arrangement, less any lease incentives such as tenant improvement allowance. The Company uses an estimate of our incremental borrowing rate (IBR) based on the information available at the lease commencement date in determining the present value of lease payments, unless the implicit rate is readily determinable. In determining the appropriate IBR, management considers information including, but not limited to, the Company</w:t>
      </w:r>
      <w:r>
        <w:rPr>
          <w:rFonts w:ascii="Arial" w:cs="Arial" w:eastAsia="Arial" w:hAnsi="Arial"/>
          <w:sz w:val="17"/>
          <w:szCs w:val="17"/>
          <w:color w:val="000000"/>
        </w:rPr>
        <w:t>’s</w:t>
      </w:r>
      <w:r>
        <w:rPr>
          <w:rFonts w:ascii="Arial" w:cs="Arial" w:eastAsia="Arial" w:hAnsi="Arial"/>
          <w:sz w:val="17"/>
          <w:szCs w:val="17"/>
          <w:color w:val="212529"/>
        </w:rPr>
        <w:t xml:space="preserve"> credit rating, the lease term, and the currency in which the arrangement is denominated. For leases which commenced prior to the adoption of Topic 842, the Company used the IBR on January 31, 2020.</w:t>
      </w:r>
    </w:p>
    <w:p>
      <w:pPr>
        <w:spacing w:after="0" w:line="201"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212529"/>
        </w:rPr>
        <w:t>The adoption of this new standard at February 1, 2020, and the application of the modified retrospective transition approach resulted in the following changes:</w:t>
      </w:r>
    </w:p>
    <w:p>
      <w:pPr>
        <w:spacing w:after="0" w:line="184"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18"/>
          <w:szCs w:val="18"/>
          <w:color w:val="212529"/>
        </w:rPr>
        <w:t>Assets increased by $37.4 million, primarily representing the recognition of ROU asset for operating leases; and</w:t>
      </w:r>
    </w:p>
    <w:p>
      <w:pPr>
        <w:spacing w:after="0" w:line="202" w:lineRule="exact"/>
        <w:rPr>
          <w:rFonts w:ascii="Arial" w:cs="Arial" w:eastAsia="Arial" w:hAnsi="Arial"/>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212529"/>
        </w:rPr>
      </w:pPr>
      <w:r>
        <w:rPr>
          <w:rFonts w:ascii="Arial" w:cs="Arial" w:eastAsia="Arial" w:hAnsi="Arial"/>
          <w:sz w:val="18"/>
          <w:szCs w:val="18"/>
          <w:color w:val="212529"/>
        </w:rPr>
        <w:t>Liabilities increased by $37.4 million, primarily representing the recognition of lease liabilities for operating leases partially offset by derecognition of liabilities for deferred rent previously designated under ASC Topic 840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This ASU requires a financial asset measured at amortized cost basis to be presented at the net amount expected to be collected, with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clarifications made more recently regarding the treatment of accrued interest, transfers between classifications for loans and debt securities, recoveries and the option to irrevocably elect the fair value option (on an instrument-by-instrument basis) for eligible financial assets at amortized costs. For trade receivables, loans, and other financial assets, the Company will be required to use a forward-looking expected loss model rather than the incurred loss model for recognizing credit losses which reflects losses that are probable. Credit losses relating to available-for-sale debt securities are required to be recorded through an allowance for credit losses in the condensed consolidated statements of operation rather than as a reduction in the amortized cost basis of the securities. On February 1, 2020, the Company adopted ASU No. 2016-13, which did not have a material effect on its condensed consolidated financial statements.</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Impairment</w:t>
      </w:r>
      <w:r>
        <w:rPr>
          <w:rFonts w:ascii="Arial" w:cs="Arial" w:eastAsia="Arial" w:hAnsi="Arial"/>
          <w:sz w:val="18"/>
          <w:szCs w:val="18"/>
          <w:color w:val="auto"/>
        </w:rPr>
        <w:t>. This ASU simplifies the measurement of goodwill by eliminating step two of the two-step impairment test. Step two measures a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loss by comparing the implied fair value of a reporting unit’s goodwill with the carrying amount of that goodwill. This ASU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On February 1, 2020, the Company adopted ASU No. 2017-04, which did not have material effect on its condensed consolidated financial statements.</w:t>
      </w:r>
    </w:p>
    <w:p>
      <w:pPr>
        <w:spacing w:after="0" w:line="195" w:lineRule="exact"/>
        <w:rPr>
          <w:sz w:val="20"/>
          <w:szCs w:val="20"/>
          <w:color w:val="auto"/>
        </w:rPr>
      </w:pPr>
    </w:p>
    <w:p>
      <w:pPr>
        <w:ind w:right="260" w:firstLine="648"/>
        <w:spacing w:after="0" w:line="243"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This ASU modifies the disclosure requirements on fair value measurements in Topic 820,</w:t>
      </w:r>
      <w:r>
        <w:rPr>
          <w:rFonts w:ascii="Arial" w:cs="Arial" w:eastAsia="Arial" w:hAnsi="Arial"/>
          <w:sz w:val="18"/>
          <w:szCs w:val="18"/>
          <w:i w:val="1"/>
          <w:iCs w:val="1"/>
          <w:color w:val="auto"/>
        </w:rPr>
        <w:t xml:space="preserve"> Fair Value Measurement</w:t>
      </w:r>
      <w:r>
        <w:rPr>
          <w:rFonts w:ascii="Arial" w:cs="Arial" w:eastAsia="Arial" w:hAnsi="Arial"/>
          <w:sz w:val="18"/>
          <w:szCs w:val="18"/>
          <w:color w:val="auto"/>
        </w:rPr>
        <w:t>. On February 1, 2020, the Company adopted ASU No. 2018-13 on a prospective basis. This standard did not have a material effect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financial statements.</w:t>
      </w:r>
    </w:p>
    <w:p>
      <w:pPr>
        <w:spacing w:after="0" w:line="188"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(a consensus of the FASB Emerging Issues</w:t>
      </w:r>
    </w:p>
    <w:p>
      <w:pPr>
        <w:jc w:val="both"/>
        <w:ind w:right="240"/>
        <w:spacing w:after="0" w:line="255" w:lineRule="auto"/>
        <w:rPr>
          <w:sz w:val="20"/>
          <w:szCs w:val="20"/>
          <w:color w:val="auto"/>
        </w:rPr>
      </w:pPr>
      <w:r>
        <w:rPr>
          <w:rFonts w:ascii="Arial" w:cs="Arial" w:eastAsia="Arial" w:hAnsi="Arial"/>
          <w:sz w:val="18"/>
          <w:szCs w:val="18"/>
          <w:color w:val="auto"/>
        </w:rPr>
        <w:t>Task Force). This ASU aligns the requirements for capitalizing implementation costs incurred in a hosting arrangement that is a service contract with the requirements for capitalizing implementation costs incurred to develop or obtain internal use software. On February 1, 2020, the Company adopted ASU No. 2018-15, which did not have material effect on its condensed consolidated financial statements.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which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For public business entities, this ASU is effective for fiscal years beginning after December 15, 2020, and interim periods within those fiscal years. The Company is currently assessing the impact of this pronouncement on its condensed consolidated financial statements.</w:t>
      </w:r>
    </w:p>
    <w:p>
      <w:pPr>
        <w:spacing w:after="0" w:line="201"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Reporting. </w:t>
      </w:r>
      <w:r>
        <w:rPr>
          <w:rFonts w:ascii="Arial" w:cs="Arial" w:eastAsia="Arial" w:hAnsi="Arial"/>
          <w:sz w:val="18"/>
          <w:szCs w:val="18"/>
          <w:color w:val="auto"/>
        </w:rPr>
        <w:t>The ASU provides optional expedients and exceptions for applying generally accepted accounting principles to contract modifications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hedging relationships, subject to meeting certain criteria, that reference LIBOR or another reference rate expected to be discontinued. This ASU may be applied prospectively through December 31, 2022. The Company is currently assessing the impact of this pronouncement on its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Fair Value Measurements and Marketable Securities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follows ASC 820</w:t>
      </w:r>
      <w:r>
        <w:rPr>
          <w:rFonts w:ascii="Arial" w:cs="Arial" w:eastAsia="Arial" w:hAnsi="Arial"/>
          <w:sz w:val="17"/>
          <w:szCs w:val="17"/>
          <w:i w:val="1"/>
          <w:iCs w:val="1"/>
          <w:color w:val="auto"/>
        </w:rPr>
        <w:t>, Fair Value Measurements</w:t>
      </w:r>
      <w:r>
        <w:rPr>
          <w:rFonts w:ascii="Arial" w:cs="Arial" w:eastAsia="Arial" w:hAnsi="Arial"/>
          <w:sz w:val="17"/>
          <w:szCs w:val="17"/>
          <w:color w:val="auto"/>
        </w:rPr>
        <w:t>, with respect to marketable securities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hierarchy is broken down into three levels as follows:</w:t>
      </w:r>
    </w:p>
    <w:p>
      <w:pPr>
        <w:spacing w:after="0" w:line="225" w:lineRule="exact"/>
        <w:rPr>
          <w:sz w:val="20"/>
          <w:szCs w:val="20"/>
          <w:color w:val="auto"/>
        </w:rPr>
      </w:pPr>
    </w:p>
    <w:p>
      <w:pPr>
        <w:ind w:left="660" w:right="120"/>
        <w:spacing w:after="0" w:line="291" w:lineRule="auto"/>
        <w:rPr>
          <w:sz w:val="20"/>
          <w:szCs w:val="20"/>
          <w:color w:val="auto"/>
        </w:rPr>
      </w:pPr>
      <w:r>
        <w:rPr>
          <w:rFonts w:ascii="Arial" w:cs="Arial" w:eastAsia="Arial" w:hAnsi="Arial"/>
          <w:sz w:val="16"/>
          <w:szCs w:val="16"/>
          <w:color w:val="auto"/>
        </w:rPr>
        <w:t>Level 1 Assets and liabilities whose values are based on unadjusted quoted market prices for identical assets and liabilities in active markets Level 2 Assets and liabilities whose values are based on quoted prices in markets that are not active or inputs that are observable for substantially</w:t>
      </w:r>
    </w:p>
    <w:p>
      <w:pPr>
        <w:ind w:left="1460"/>
        <w:spacing w:after="0"/>
        <w:rPr>
          <w:sz w:val="20"/>
          <w:szCs w:val="20"/>
          <w:color w:val="auto"/>
        </w:rPr>
      </w:pPr>
      <w:r>
        <w:rPr>
          <w:rFonts w:ascii="Arial" w:cs="Arial" w:eastAsia="Arial" w:hAnsi="Arial"/>
          <w:sz w:val="18"/>
          <w:szCs w:val="18"/>
          <w:color w:val="auto"/>
        </w:rPr>
        <w:t>the full term of the asset or liability</w:t>
      </w:r>
    </w:p>
    <w:p>
      <w:pPr>
        <w:spacing w:after="0" w:line="9" w:lineRule="exact"/>
        <w:rPr>
          <w:sz w:val="20"/>
          <w:szCs w:val="20"/>
          <w:color w:val="auto"/>
        </w:rPr>
      </w:pPr>
    </w:p>
    <w:p>
      <w:pPr>
        <w:ind w:left="1460" w:right="740" w:hanging="809"/>
        <w:spacing w:after="0" w:line="260" w:lineRule="auto"/>
        <w:rPr>
          <w:sz w:val="20"/>
          <w:szCs w:val="20"/>
          <w:color w:val="auto"/>
        </w:rPr>
      </w:pPr>
      <w:r>
        <w:rPr>
          <w:rFonts w:ascii="Arial" w:cs="Arial" w:eastAsia="Arial" w:hAnsi="Arial"/>
          <w:sz w:val="18"/>
          <w:szCs w:val="18"/>
          <w:color w:val="auto"/>
        </w:rPr>
        <w:t>Level 3 Assets and liabilities whose values are based on prices or valuation techniques that require inputs that are both unobservable and significant to the overall fair value measurement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Categorization within the valuation hierarchy is based upon the lowest level of input that is significant to the fair value measurement.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fair value hierarchy for its financial assets and liabilities that are measured at fair value on a recurring basis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April 30, 2020</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4"/>
              </w:rPr>
              <w:t>January 31, 2020</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96"/>
        </w:trPr>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7"/>
                <w:szCs w:val="17"/>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r>
      <w:tr>
        <w:trPr>
          <w:trHeight w:val="196"/>
        </w:trPr>
        <w:tc>
          <w:tcPr>
            <w:tcW w:w="3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08"/>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 xml:space="preserve">Cash equivalents </w:t>
            </w:r>
            <w:r>
              <w:rPr>
                <w:rFonts w:ascii="Arial" w:cs="Arial" w:eastAsia="Arial" w:hAnsi="Arial"/>
                <w:sz w:val="7"/>
                <w:szCs w:val="7"/>
                <w:color w:val="auto"/>
              </w:rPr>
              <w:t>(1)</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6"/>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Money market funds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252,523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252,523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205,379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205,379</w:t>
            </w:r>
          </w:p>
        </w:tc>
      </w:tr>
      <w:tr>
        <w:trPr>
          <w:trHeight w:val="196"/>
        </w:trPr>
        <w:tc>
          <w:tcPr>
            <w:tcW w:w="3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Corporate debt securities</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39,940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39,940</w:t>
            </w:r>
          </w:p>
        </w:tc>
      </w:tr>
      <w:tr>
        <w:trPr>
          <w:trHeight w:val="202"/>
        </w:trPr>
        <w:tc>
          <w:tcPr>
            <w:tcW w:w="3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cash equivalents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252,523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252,523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205,379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39,940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245,319</w:t>
            </w:r>
          </w:p>
        </w:tc>
      </w:tr>
      <w:tr>
        <w:trPr>
          <w:trHeight w:val="177"/>
        </w:trPr>
        <w:tc>
          <w:tcPr>
            <w:tcW w:w="324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r>
      <w:tr>
        <w:trPr>
          <w:trHeight w:val="208"/>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Corporate debt securities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495,022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495,022</w:t>
            </w:r>
          </w:p>
        </w:tc>
      </w:tr>
      <w:tr>
        <w:trPr>
          <w:trHeight w:val="197"/>
        </w:trPr>
        <w:tc>
          <w:tcPr>
            <w:tcW w:w="3240" w:type="dxa"/>
            <w:vAlign w:val="bottom"/>
          </w:tcPr>
          <w:p>
            <w:pPr>
              <w:ind w:left="120"/>
              <w:spacing w:after="0"/>
              <w:rPr>
                <w:sz w:val="20"/>
                <w:szCs w:val="20"/>
                <w:color w:val="auto"/>
              </w:rPr>
            </w:pPr>
            <w:r>
              <w:rPr>
                <w:rFonts w:ascii="Arial" w:cs="Arial" w:eastAsia="Arial" w:hAnsi="Arial"/>
                <w:sz w:val="14"/>
                <w:szCs w:val="14"/>
                <w:color w:val="auto"/>
              </w:rPr>
              <w:t>U.S. treasury securities</w:t>
            </w:r>
          </w:p>
        </w:tc>
        <w:tc>
          <w:tcPr>
            <w:tcW w:w="16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84,431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84,431</w:t>
            </w:r>
          </w:p>
        </w:tc>
      </w:tr>
      <w:tr>
        <w:trPr>
          <w:trHeight w:val="202"/>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Asset backed securities</w:t>
            </w: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67,813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67,813</w:t>
            </w:r>
          </w:p>
        </w:tc>
      </w:tr>
      <w:tr>
        <w:trPr>
          <w:trHeight w:val="196"/>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marketable securities</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84,431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562,835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647,266</w:t>
            </w:r>
          </w:p>
        </w:tc>
      </w:tr>
      <w:tr>
        <w:trPr>
          <w:trHeight w:val="222"/>
        </w:trPr>
        <w:tc>
          <w:tcPr>
            <w:tcW w:w="3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252,523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252,523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289,810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602,775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892,585</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w:t>
      </w:r>
    </w:p>
    <w:p>
      <w:pPr>
        <w:spacing w:after="0" w:line="229"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in “Cash and cash equivalents” on the condensed consolidated balance sheets.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There were no transfers between the levels of the fair value hierarchy during the three months ended April 30, 2020 or April 30, 2019.</w:t>
      </w:r>
    </w:p>
    <w:p>
      <w:pPr>
        <w:spacing w:after="0" w:line="237"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As of April 30, 2020, there were no marketable securities held by the Company and there were no securities that had been in continuous unrealized loss position. As of January 31, 2020, the amortized cost of the Company’s cash equivalents and marketable securities approximated their fair value and there were no material realized or unrealized gains or losses, either individually or in the aggregate. In addition, the securities that had been in continuous unrealized loss position per security type and in aggregate are not material as of January 31, 2020. There were no impairments considered “other-than-temporary” as it is more likely than not the Company will hold the securities until maturity or a recovery of the cost basis as of January 31, 2020.</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w w:val="96"/>
              </w:rPr>
              <w:t>The following table presents the contractual maturities of marketable securities as of January 31, 2020:</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56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2"/>
              </w:rPr>
              <w:t>Amortized cost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1"/>
              </w:rPr>
              <w:t>Fair value</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4"/>
          </w:tcPr>
          <w:p>
            <w:pPr>
              <w:jc w:val="right"/>
              <w:ind w:right="75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377,722</w:t>
            </w:r>
          </w:p>
        </w:tc>
        <w:tc>
          <w:tcPr>
            <w:tcW w:w="1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378,408</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2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266,670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267,728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after five years through nineteen years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37"/>
        </w:trPr>
        <w:tc>
          <w:tcPr>
            <w:tcW w:w="856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645,519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647,266</w:t>
            </w:r>
          </w:p>
        </w:tc>
        <w:tc>
          <w:tcPr>
            <w:tcW w:w="0" w:type="dxa"/>
            <w:vAlign w:val="bottom"/>
          </w:tcPr>
          <w:p>
            <w:pPr>
              <w:spacing w:after="0"/>
              <w:rPr>
                <w:sz w:val="1"/>
                <w:szCs w:val="1"/>
                <w:color w:val="auto"/>
              </w:rPr>
            </w:pPr>
          </w:p>
        </w:tc>
      </w:tr>
      <w:tr>
        <w:trPr>
          <w:trHeight w:val="27"/>
        </w:trPr>
        <w:tc>
          <w:tcPr>
            <w:tcW w:w="8560" w:type="dxa"/>
            <w:vAlign w:val="bottom"/>
            <w:vMerge w:val="restart"/>
          </w:tcPr>
          <w:p>
            <w:pPr>
              <w:ind w:left="660"/>
              <w:spacing w:after="0"/>
              <w:rPr>
                <w:sz w:val="20"/>
                <w:szCs w:val="20"/>
                <w:color w:val="auto"/>
              </w:rPr>
            </w:pPr>
            <w:r>
              <w:rPr>
                <w:rFonts w:ascii="Arial" w:cs="Arial" w:eastAsia="Arial" w:hAnsi="Arial"/>
                <w:sz w:val="18"/>
                <w:szCs w:val="18"/>
                <w:color w:val="auto"/>
              </w:rPr>
              <w:t>The following summarizes the changes in strategic investments:</w:t>
            </w: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April 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January 31,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initial cost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Cumulative gain</w:t>
            </w:r>
          </w:p>
        </w:tc>
        <w:tc>
          <w:tcPr>
            <w:tcW w:w="2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Carrying value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was no unrealized gain and loss included as an adjustment to the carrying value related to the carrying value of non-marketable securities as of April 30, 2020 and January 31,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summarizes the changes in the redeemable convertible preferred stock warrant liability, which is classified as a Level 3 instrument: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6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Three Months Ended April 30,</w:t>
            </w:r>
          </w:p>
        </w:tc>
      </w:tr>
      <w:tr>
        <w:trPr>
          <w:trHeight w:val="196"/>
        </w:trPr>
        <w:tc>
          <w:tcPr>
            <w:tcW w:w="856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196"/>
        </w:trPr>
        <w:tc>
          <w:tcPr>
            <w:tcW w:w="8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7"/>
                <w:szCs w:val="17"/>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4,537</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w w:val="94"/>
              </w:rPr>
              <w:t>Adjustment resulting from change in fair value recognized in the condensed consolidated statement of operations</w:t>
            </w:r>
          </w:p>
        </w:tc>
        <w:tc>
          <w:tcPr>
            <w:tcW w:w="840" w:type="dxa"/>
            <w:vAlign w:val="bottom"/>
          </w:tcPr>
          <w:p>
            <w:pPr>
              <w:spacing w:after="0"/>
              <w:rPr>
                <w:sz w:val="21"/>
                <w:szCs w:val="21"/>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1,167</w:t>
            </w:r>
          </w:p>
        </w:tc>
      </w:tr>
      <w:tr>
        <w:trPr>
          <w:trHeight w:val="27"/>
        </w:trPr>
        <w:tc>
          <w:tcPr>
            <w:tcW w:w="85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4"/>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5,704</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fair value of the redeemable convertible preferred stock warrant liability was estimated using the Black-Scholes option-pricing model and was based on significant inputs not observable in the market, and therefore was classified as a Level 3 instrument. The inputs include the Company’s preferred stock price, expected stock price volatility, risk-free interest rate, and contractual term. A loss of $1.2 million was recorded as a component of Other income (expense), net, because of the remeasurement of the redeemable convertible preferred stock warrant liability during the three months ended</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April 30, 2019. Immediately prior to the closing of the IPO on June 14, 2019, the redeemable convertible preferred stock warrants converted into 336,386 warrants to purchase Class B common stock on a one-to-one basis. The redeemable convertible preferred stock warrant liability was reclassified to additional paid-in capital upon the closing of the IPO.</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Balance Sheet Components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7"/>
              </w:rPr>
              <w:t>April 30,</w:t>
            </w:r>
          </w:p>
        </w:tc>
        <w:tc>
          <w:tcPr>
            <w:tcW w:w="180" w:type="dxa"/>
            <w:vAlign w:val="bottom"/>
          </w:tcPr>
          <w:p>
            <w:pPr>
              <w:spacing w:after="0"/>
              <w:rPr>
                <w:sz w:val="14"/>
                <w:szCs w:val="14"/>
                <w:color w:val="auto"/>
              </w:rPr>
            </w:pPr>
          </w:p>
        </w:tc>
        <w:tc>
          <w:tcPr>
            <w:tcW w:w="1100" w:type="dxa"/>
            <w:vAlign w:val="bottom"/>
          </w:tcPr>
          <w:p>
            <w:pPr>
              <w:jc w:val="center"/>
              <w:ind w:right="94"/>
              <w:spacing w:after="0"/>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6"/>
        </w:trPr>
        <w:tc>
          <w:tcPr>
            <w:tcW w:w="8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5"/>
          </w:tcPr>
          <w:p>
            <w:pPr>
              <w:jc w:val="right"/>
              <w:ind w:right="81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17,495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20,390</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Prepaid software licenses</w:t>
            </w:r>
          </w:p>
        </w:tc>
        <w:tc>
          <w:tcPr>
            <w:tcW w:w="24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16,013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16,645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hosting services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7,359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8,056</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5,007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45,874</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51,614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60" w:type="dxa"/>
            <w:vAlign w:val="bottom"/>
          </w:tcPr>
          <w:p>
            <w:pPr>
              <w:ind w:left="660"/>
              <w:spacing w:after="0"/>
              <w:rPr>
                <w:sz w:val="20"/>
                <w:szCs w:val="20"/>
                <w:color w:val="auto"/>
              </w:rPr>
            </w:pPr>
            <w:r>
              <w:rPr>
                <w:rFonts w:ascii="Arial" w:cs="Arial" w:eastAsia="Arial" w:hAnsi="Arial"/>
                <w:sz w:val="18"/>
                <w:szCs w:val="18"/>
                <w:color w:val="auto"/>
              </w:rPr>
              <w:t>Property and equipment, net consisted of the following:</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7"/>
              </w:rPr>
              <w:t>April 30,</w:t>
            </w:r>
          </w:p>
        </w:tc>
        <w:tc>
          <w:tcPr>
            <w:tcW w:w="180" w:type="dxa"/>
            <w:vAlign w:val="bottom"/>
          </w:tcPr>
          <w:p>
            <w:pPr>
              <w:spacing w:after="0"/>
              <w:rPr>
                <w:sz w:val="24"/>
                <w:szCs w:val="24"/>
                <w:color w:val="auto"/>
              </w:rPr>
            </w:pPr>
          </w:p>
        </w:tc>
        <w:tc>
          <w:tcPr>
            <w:tcW w:w="1100" w:type="dxa"/>
            <w:vAlign w:val="bottom"/>
          </w:tcPr>
          <w:p>
            <w:pPr>
              <w:jc w:val="center"/>
              <w:ind w:right="114"/>
              <w:spacing w:after="0"/>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96"/>
        </w:trPr>
        <w:tc>
          <w:tcPr>
            <w:tcW w:w="8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5"/>
          </w:tcPr>
          <w:p>
            <w:pPr>
              <w:jc w:val="right"/>
              <w:ind w:right="81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Data center and other computer equipment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109,988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87,166</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Capitalized internal-use software</w:t>
            </w:r>
          </w:p>
        </w:tc>
        <w:tc>
          <w:tcPr>
            <w:tcW w:w="24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32,613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30,354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15,352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13,157</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24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5,329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Construction in process</w:t>
            </w:r>
          </w:p>
        </w:tc>
        <w:tc>
          <w:tcPr>
            <w:tcW w:w="24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30,883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47,626</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196,892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185,742</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(57,796)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(49,664)</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139,096</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136,078</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Construction in process mainly includes data center equipment purchased that has not yet been placed in service. As of April 30, 2020, $27.4 million of data center equipment was purchased but not yet been placed into service.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Depreciation and amortization expense of property and equipment was $8.2 million and $4.9 million during the three months ended April 30, 2020 and April 30, 2019, respectively.</w:t>
      </w:r>
    </w:p>
    <w:p>
      <w:pPr>
        <w:spacing w:after="0" w:line="170"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There were no impairments of internal-use software during the three months ended April 30, 2020 and April 30, 2019. The Company capitalized $2.3 million and $2.0 million in internal-use software during the three months ended April 30, 2020 and April 30, 2019, respectively. Amortization expense associated with internal-use software totaled $1.9 million and $1.5 million during the three months ended April 30, 2020 and April 30, 2019, respectively. The net book value of capitalized internal-use software was $13.8 million and $13.4 million as of April 30, 2020 and January 31, 2020,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intangible assets, net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April 30, 2020</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54"/>
        </w:trPr>
        <w:tc>
          <w:tcPr>
            <w:tcW w:w="57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52"/>
        </w:trPr>
        <w:tc>
          <w:tcPr>
            <w:tcW w:w="5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4"/>
                <w:szCs w:val="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Net Amount</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Useful</w:t>
            </w:r>
          </w:p>
        </w:tc>
        <w:tc>
          <w:tcPr>
            <w:tcW w:w="0" w:type="dxa"/>
            <w:vAlign w:val="bottom"/>
          </w:tcPr>
          <w:p>
            <w:pPr>
              <w:spacing w:after="0"/>
              <w:rPr>
                <w:sz w:val="1"/>
                <w:szCs w:val="1"/>
                <w:color w:val="auto"/>
              </w:rPr>
            </w:pPr>
          </w:p>
        </w:tc>
      </w:tr>
      <w:tr>
        <w:trPr>
          <w:trHeight w:val="192"/>
        </w:trPr>
        <w:tc>
          <w:tcPr>
            <w:tcW w:w="5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(in months)</w:t>
            </w:r>
          </w:p>
        </w:tc>
        <w:tc>
          <w:tcPr>
            <w:tcW w:w="0" w:type="dxa"/>
            <w:vAlign w:val="bottom"/>
          </w:tcPr>
          <w:p>
            <w:pPr>
              <w:spacing w:after="0"/>
              <w:rPr>
                <w:sz w:val="1"/>
                <w:szCs w:val="1"/>
                <w:color w:val="auto"/>
              </w:rPr>
            </w:pPr>
          </w:p>
        </w:tc>
      </w:tr>
      <w:tr>
        <w:trPr>
          <w:trHeight w:val="256"/>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9"/>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293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Non-compete agreement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5780" w:type="dxa"/>
            <w:vAlign w:val="bottom"/>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January 31, 2020</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54"/>
        </w:trPr>
        <w:tc>
          <w:tcPr>
            <w:tcW w:w="57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52"/>
        </w:trPr>
        <w:tc>
          <w:tcPr>
            <w:tcW w:w="5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100" w:type="dxa"/>
            <w:vAlign w:val="bottom"/>
          </w:tcPr>
          <w:p>
            <w:pPr>
              <w:spacing w:after="0"/>
              <w:rPr>
                <w:sz w:val="4"/>
                <w:szCs w:val="4"/>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Net Amount</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Useful</w:t>
            </w:r>
          </w:p>
        </w:tc>
        <w:tc>
          <w:tcPr>
            <w:tcW w:w="0" w:type="dxa"/>
            <w:vAlign w:val="bottom"/>
          </w:tcPr>
          <w:p>
            <w:pPr>
              <w:spacing w:after="0"/>
              <w:rPr>
                <w:sz w:val="1"/>
                <w:szCs w:val="1"/>
                <w:color w:val="auto"/>
              </w:rPr>
            </w:pPr>
          </w:p>
        </w:tc>
      </w:tr>
      <w:tr>
        <w:trPr>
          <w:trHeight w:val="192"/>
        </w:trPr>
        <w:tc>
          <w:tcPr>
            <w:tcW w:w="5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(in months)</w:t>
            </w:r>
          </w:p>
        </w:tc>
        <w:tc>
          <w:tcPr>
            <w:tcW w:w="0" w:type="dxa"/>
            <w:vAlign w:val="bottom"/>
          </w:tcPr>
          <w:p>
            <w:pPr>
              <w:spacing w:after="0"/>
              <w:rPr>
                <w:sz w:val="1"/>
                <w:szCs w:val="1"/>
                <w:color w:val="auto"/>
              </w:rPr>
            </w:pPr>
          </w:p>
        </w:tc>
      </w:tr>
      <w:tr>
        <w:trPr>
          <w:trHeight w:val="256"/>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327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Non-compete agreement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3"/>
        </w:trPr>
        <w:tc>
          <w:tcPr>
            <w:tcW w:w="5780" w:type="dxa"/>
            <w:vAlign w:val="bottom"/>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Amortization of developed technology, customer relationships, and non-compete agreement are recorded within cost of revenue, sales and marketing expense, and research and development expense, respectively, in the condensed consolidated statements of operations. Amortization expense of intangible assets was $0.1 million during both the three months ended April 30, 2020 and April 30, 2019.</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aggregate future amortization expense of intangible assets as of April 30, 2020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Total</w:t>
            </w:r>
          </w:p>
        </w:tc>
      </w:tr>
      <w:tr>
        <w:trPr>
          <w:trHeight w:val="196"/>
        </w:trPr>
        <w:tc>
          <w:tcPr>
            <w:tcW w:w="9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16"/>
              <w:spacing w:after="0"/>
              <w:rPr>
                <w:sz w:val="20"/>
                <w:szCs w:val="20"/>
                <w:color w:val="auto"/>
              </w:rPr>
            </w:pPr>
            <w:r>
              <w:rPr>
                <w:rFonts w:ascii="Arial" w:cs="Arial" w:eastAsia="Arial" w:hAnsi="Arial"/>
                <w:sz w:val="14"/>
                <w:szCs w:val="14"/>
                <w:b w:val="1"/>
                <w:bCs w:val="1"/>
                <w:color w:val="auto"/>
                <w:w w:val="93"/>
              </w:rPr>
              <w:t>(in thousands)</w:t>
            </w:r>
          </w:p>
        </w:tc>
      </w:tr>
      <w:tr>
        <w:trPr>
          <w:trHeight w:val="256"/>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2021 (remaining nine months)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217</w:t>
            </w:r>
          </w:p>
        </w:tc>
      </w:tr>
      <w:tr>
        <w:trPr>
          <w:trHeight w:val="243"/>
        </w:trPr>
        <w:tc>
          <w:tcPr>
            <w:tcW w:w="996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16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119</w:t>
            </w:r>
          </w:p>
        </w:tc>
      </w:tr>
      <w:tr>
        <w:trPr>
          <w:trHeight w:val="27"/>
        </w:trPr>
        <w:tc>
          <w:tcPr>
            <w:tcW w:w="9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83</w:t>
            </w:r>
          </w:p>
        </w:tc>
      </w:tr>
      <w:tr>
        <w:trPr>
          <w:trHeight w:val="263"/>
        </w:trPr>
        <w:tc>
          <w:tcPr>
            <w:tcW w:w="9960" w:type="dxa"/>
            <w:vAlign w:val="bottom"/>
          </w:tcPr>
          <w:p>
            <w:pPr>
              <w:ind w:left="120"/>
              <w:spacing w:after="0"/>
              <w:rPr>
                <w:sz w:val="20"/>
                <w:szCs w:val="20"/>
                <w:color w:val="auto"/>
              </w:rPr>
            </w:pPr>
            <w:r>
              <w:rPr>
                <w:rFonts w:ascii="Arial" w:cs="Arial" w:eastAsia="Arial" w:hAnsi="Arial"/>
                <w:sz w:val="18"/>
                <w:szCs w:val="18"/>
                <w:color w:val="auto"/>
              </w:rPr>
              <w:t>Total amortization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419</w:t>
            </w:r>
          </w:p>
        </w:tc>
      </w:tr>
      <w:tr>
        <w:trPr>
          <w:trHeight w:val="20"/>
        </w:trPr>
        <w:tc>
          <w:tcPr>
            <w:tcW w:w="9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developed technology, customer relationships, and non-compete agreement assets are being amortized over 3 years, 5 years, and 3 years,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30,</w:t>
            </w:r>
          </w:p>
        </w:tc>
        <w:tc>
          <w:tcPr>
            <w:tcW w:w="200" w:type="dxa"/>
            <w:vAlign w:val="bottom"/>
          </w:tcPr>
          <w:p>
            <w:pPr>
              <w:spacing w:after="0"/>
              <w:rPr>
                <w:sz w:val="14"/>
                <w:szCs w:val="14"/>
                <w:color w:val="auto"/>
              </w:rPr>
            </w:pPr>
          </w:p>
        </w:tc>
        <w:tc>
          <w:tcPr>
            <w:tcW w:w="1080" w:type="dxa"/>
            <w:vAlign w:val="bottom"/>
          </w:tcPr>
          <w:p>
            <w:pPr>
              <w:jc w:val="right"/>
              <w:ind w:right="195"/>
              <w:spacing w:after="0"/>
              <w:rPr>
                <w:sz w:val="20"/>
                <w:szCs w:val="20"/>
                <w:color w:val="auto"/>
              </w:rPr>
            </w:pPr>
            <w:r>
              <w:rPr>
                <w:rFonts w:ascii="Arial" w:cs="Arial" w:eastAsia="Arial" w:hAnsi="Arial"/>
                <w:sz w:val="14"/>
                <w:szCs w:val="14"/>
                <w:b w:val="1"/>
                <w:bCs w:val="1"/>
                <w:color w:val="auto"/>
              </w:rPr>
              <w:t>January 31,</w:t>
            </w:r>
          </w:p>
        </w:tc>
      </w:tr>
      <w:tr>
        <w:trPr>
          <w:trHeight w:val="192"/>
        </w:trPr>
        <w:tc>
          <w:tcPr>
            <w:tcW w:w="8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196"/>
        </w:trPr>
        <w:tc>
          <w:tcPr>
            <w:tcW w:w="8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4"/>
          </w:tcPr>
          <w:p>
            <w:pPr>
              <w:jc w:val="right"/>
              <w:ind w:right="81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Web hosting services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12,009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16,367</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240" w:type="dxa"/>
            <w:vAlign w:val="bottom"/>
          </w:tcPr>
          <w:p>
            <w:pPr>
              <w:spacing w:after="0"/>
              <w:rPr>
                <w:sz w:val="21"/>
                <w:szCs w:val="21"/>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6,180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7,459</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4,476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1,970</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Accrued legal and accounting</w:t>
            </w:r>
          </w:p>
        </w:tc>
        <w:tc>
          <w:tcPr>
            <w:tcW w:w="240" w:type="dxa"/>
            <w:vAlign w:val="bottom"/>
          </w:tcPr>
          <w:p>
            <w:pPr>
              <w:spacing w:after="0"/>
              <w:rPr>
                <w:sz w:val="21"/>
                <w:szCs w:val="21"/>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2,112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1,770</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purchases of property and equipment</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1,619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2,789</w:t>
            </w:r>
          </w:p>
        </w:tc>
      </w:tr>
      <w:tr>
        <w:trPr>
          <w:trHeight w:val="264"/>
        </w:trPr>
        <w:tc>
          <w:tcPr>
            <w:tcW w:w="856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26,396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30,355</w:t>
            </w:r>
          </w:p>
        </w:tc>
      </w:tr>
      <w:tr>
        <w:trPr>
          <w:trHeight w:val="21"/>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Accrued Payroll and Benefits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payroll and benefits consisted of the following: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w:t>
            </w:r>
          </w:p>
        </w:tc>
        <w:tc>
          <w:tcPr>
            <w:tcW w:w="200" w:type="dxa"/>
            <w:vAlign w:val="bottom"/>
          </w:tcPr>
          <w:p>
            <w:pPr>
              <w:spacing w:after="0"/>
              <w:rPr>
                <w:sz w:val="14"/>
                <w:szCs w:val="14"/>
                <w:color w:val="auto"/>
              </w:rPr>
            </w:pPr>
          </w:p>
        </w:tc>
        <w:tc>
          <w:tcPr>
            <w:tcW w:w="1080" w:type="dxa"/>
            <w:vAlign w:val="bottom"/>
          </w:tcPr>
          <w:p>
            <w:pPr>
              <w:jc w:val="right"/>
              <w:ind w:right="195"/>
              <w:spacing w:after="0"/>
              <w:rPr>
                <w:sz w:val="20"/>
                <w:szCs w:val="20"/>
                <w:color w:val="auto"/>
              </w:rPr>
            </w:pPr>
            <w:r>
              <w:rPr>
                <w:rFonts w:ascii="Arial" w:cs="Arial" w:eastAsia="Arial" w:hAnsi="Arial"/>
                <w:sz w:val="14"/>
                <w:szCs w:val="14"/>
                <w:b w:val="1"/>
                <w:bCs w:val="1"/>
                <w:color w:val="auto"/>
              </w:rPr>
              <w:t>January 31,</w:t>
            </w:r>
          </w:p>
        </w:tc>
      </w:tr>
      <w:tr>
        <w:trPr>
          <w:trHeight w:val="192"/>
        </w:trPr>
        <w:tc>
          <w:tcPr>
            <w:tcW w:w="8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196"/>
        </w:trPr>
        <w:tc>
          <w:tcPr>
            <w:tcW w:w="8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4"/>
          </w:tcPr>
          <w:p>
            <w:pPr>
              <w:jc w:val="right"/>
              <w:ind w:right="81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15,041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6,560</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Accrued commissions</w:t>
            </w:r>
          </w:p>
        </w:tc>
        <w:tc>
          <w:tcPr>
            <w:tcW w:w="240" w:type="dxa"/>
            <w:vAlign w:val="bottom"/>
          </w:tcPr>
          <w:p>
            <w:pPr>
              <w:spacing w:after="0"/>
              <w:rPr>
                <w:sz w:val="21"/>
                <w:szCs w:val="21"/>
                <w:color w:val="auto"/>
              </w:rPr>
            </w:pP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9,440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15,399</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bonuses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7,164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8,171</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Accrued payroll and related expenses</w:t>
            </w:r>
          </w:p>
        </w:tc>
        <w:tc>
          <w:tcPr>
            <w:tcW w:w="240" w:type="dxa"/>
            <w:vAlign w:val="bottom"/>
          </w:tcPr>
          <w:p>
            <w:pPr>
              <w:spacing w:after="0"/>
              <w:rPr>
                <w:sz w:val="21"/>
                <w:szCs w:val="21"/>
                <w:color w:val="auto"/>
              </w:rPr>
            </w:pP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5,813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6,680</w:t>
            </w: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8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payroll and benefits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37,458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36,810</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Secured Revolving Credit Facility</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 The Company also has the option to request an incremental facility of up to an additional $75.0 million from one or more of the lenders under the Credit Agreement. The amount the Company may borrow under the Credit Agreement may not exceed the lesser of $150.0 million or the Company’s ordinary course recurring subscription revenue for the most recent month, as determined under the Credit Agreement, multiplied by a number that is (i) 6, for the first year after entry into the Credit Agreement; (ii) 5, for the second year after entry into the Credit Agreement; and (iii) 4, thereafter. Under the terms of the Credit Agreement, revolving loans may be either Eurodollar Loans or ABR Loans. Outstanding Eurodollar Loans incur interest at the Eurodollar Rate, which is defined in the Credit Agreement as LIBOR (or any successor thereto), plus a margin between 2.50% and 3.00%, depending on usage. Outstanding ABR Loans incur interest at the highest of (a) the Prime Rate, as published by the Wall Street Journal, (b) the federal funds rate in effect for such day plus 0.50%, and (c) the Eurodollar Rate plus 1.00%, in each case plus a margin between 1.50% and 2.00%, depending on usage. The Company will be charged a commitment fee of 0.20% to 0.30% per year for committed but unused amounts. The Credit Agreement will terminate on April 19, 2022.</w:t>
      </w:r>
    </w:p>
    <w:p>
      <w:pPr>
        <w:spacing w:after="0" w:line="17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Credit Agreement is collateralized by substantially all of the Company’s current and future property, rights, and assets, including, but not limited to, cash, goods, equipment, contractual rights, financial assets, and intangible assets of the Company and its subsidiaries. The Credit Agreement contains covenants limiting the ability to, among other things, dispose of assets, undergo a change in control, merge or consolidate, make acquisitions, incur debt, incur liens, pay dividends, repurchase stock, and make investments, in each case subject to certain exceptions. The Credit Agreement also contains financial covenants requiring the Company to maintain the year-over-year growth rate of its ordinary course recurring subscription revenue above specified rates and to maintain minimum liquidity at specified levels. The Company was in compliance with the financial covenants as of April 30, 2020. The Credit Agreement contains events of default that include, among others, non-payment of principal, interest, or fees, breach of covenants, inaccuracy of representations and warranties, cross defaults to certain other indebtedness, bankruptcy and insolvency events, and material judgments.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amounts were outstanding under the Credit Agreement as of April 30, 2020 and January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recognized an income tax expense of $1.0 million and $0.6 million for the three months ended April 30, 2020 and April 30, 2019, respectively. The tax expense for the three months ended April 30, 2020 was primarily attributable to pre-tax foreign earnings. The Company’s effective tax rates of (5.7)% and (2.3)% for the three months ended April 30, 2020 and April 30, 2019, respectively, differ from the U.S. statutory tax rate primarily due to U.S. losses for which there is no benefit and the tax rate differences between the United States and foreign countries.</w:t>
      </w:r>
    </w:p>
    <w:p>
      <w:pPr>
        <w:spacing w:after="0" w:line="17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has a full valuation allowance on its U.S. federal and state and its U.K. deferred tax assets. As a result, consistent with the prior year, the Company is unable to record a tax benefit on these losses because of uncertainty of future profitability.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On March 27, 2020, the United States enacted the Coronavirus Aid, Relief, and Economic Security Act (“CARES Act”), as a response to the economic uncertainty resulting from the global COVID-19 pandemic. The CARES Act did not have a material impact on the Company’s condensed consolidated financial statements for the three months ended April 30, 2020. The Company continues to monitor any effects that may result from the CARES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Leases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The Company has entered into non-cancelable operating lease agreements with various expiration dates through October 2026. Certain lease agreements include options to renew or terminate the lease, which are not reasonably certain to be exercised and therefore are not factored into the determination of lease payments.</w:t>
      </w:r>
    </w:p>
    <w:p>
      <w:pPr>
        <w:spacing w:after="0" w:line="18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Total operating lease costs was $2.3 million, excluding short-term leases costs and variable lease costs for the three months ended April 30, 2020. There was no sublease income for the three months ended April 30, 2020. Total lease expense recognized prior to the adoption of Topic 842 was $1.8 million for the three months ended April 30, 2019.</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April 30, 2020, cash paid for amounts included in the measurement of operating lease liabilities was $2.4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operating lease liabilities arising from obtaining operating right of-use assets during the three months ended April 30,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April 30, 2020, the weighted-average remaining lease term is 4.8 years, and the weighted-average discount rate is 5.9%.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 of lease costs was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73"/>
              <w:spacing w:after="0"/>
              <w:rPr>
                <w:sz w:val="20"/>
                <w:szCs w:val="20"/>
                <w:color w:val="auto"/>
              </w:rPr>
            </w:pPr>
            <w:r>
              <w:rPr>
                <w:rFonts w:ascii="Arial" w:cs="Arial" w:eastAsia="Arial" w:hAnsi="Arial"/>
                <w:sz w:val="16"/>
                <w:szCs w:val="16"/>
                <w:b w:val="1"/>
                <w:bCs w:val="1"/>
                <w:color w:val="auto"/>
                <w:w w:val="94"/>
              </w:rPr>
              <w:t>April 30, 2020</w:t>
            </w:r>
          </w:p>
        </w:tc>
      </w:tr>
      <w:tr>
        <w:trPr>
          <w:trHeight w:val="33"/>
        </w:trPr>
        <w:tc>
          <w:tcPr>
            <w:tcW w:w="9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9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9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cost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996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2,283</w:t>
            </w:r>
          </w:p>
        </w:tc>
      </w:tr>
      <w:tr>
        <w:trPr>
          <w:trHeight w:val="27"/>
        </w:trPr>
        <w:tc>
          <w:tcPr>
            <w:tcW w:w="9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493</w:t>
            </w:r>
          </w:p>
        </w:tc>
      </w:tr>
      <w:tr>
        <w:trPr>
          <w:trHeight w:val="243"/>
        </w:trPr>
        <w:tc>
          <w:tcPr>
            <w:tcW w:w="99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2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836</w:t>
            </w:r>
          </w:p>
        </w:tc>
      </w:tr>
      <w:tr>
        <w:trPr>
          <w:trHeight w:val="27"/>
        </w:trPr>
        <w:tc>
          <w:tcPr>
            <w:tcW w:w="9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9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3,612</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of April 30, 2020, the Company has entered into non-cancelable operating leases with a term greater than 12 months that have not yet commenced with undiscounted future minimum payments of $7.1 million, which are excluded from the above table. These operating leases will commence between May 2020 and April 2025 with lease terms of 5.0 years.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maturities of the Company’s non-cancelable operating lease liabilities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April 30, 2020</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2021 (remaining nine months)</w:t>
            </w:r>
          </w:p>
        </w:tc>
        <w:tc>
          <w:tcPr>
            <w:tcW w:w="5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5,481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5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9,746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5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5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9,258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5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3,651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operating lease payments</w:t>
            </w:r>
          </w:p>
        </w:tc>
        <w:tc>
          <w:tcPr>
            <w:tcW w:w="5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45,857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5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6,277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Present value of operating lease liabilities</w:t>
            </w:r>
          </w:p>
        </w:tc>
        <w:tc>
          <w:tcPr>
            <w:tcW w:w="5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39,580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bottom w:val="single" w:sz="8" w:color="CCEEFF"/>
            </w:tcBorders>
            <w:vMerge w:val="restart"/>
          </w:tcPr>
          <w:p>
            <w:pPr>
              <w:jc w:val="right"/>
              <w:ind w:right="4070"/>
              <w:spacing w:after="0"/>
              <w:rPr>
                <w:sz w:val="20"/>
                <w:szCs w:val="20"/>
                <w:color w:val="auto"/>
              </w:rPr>
            </w:pPr>
            <w:r>
              <w:rPr>
                <w:rFonts w:ascii="Arial" w:cs="Arial" w:eastAsia="Arial" w:hAnsi="Arial"/>
                <w:sz w:val="18"/>
                <w:szCs w:val="18"/>
                <w:color w:val="auto"/>
              </w:rPr>
              <w:t>20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432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5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payments under non-cancelable operating leases determined using the prior accounting guidance consisted of the following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31, 2020:</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173"/>
              <w:spacing w:after="0"/>
              <w:rPr>
                <w:sz w:val="20"/>
                <w:szCs w:val="20"/>
                <w:color w:val="auto"/>
              </w:rPr>
            </w:pPr>
            <w:r>
              <w:rPr>
                <w:rFonts w:ascii="Arial" w:cs="Arial" w:eastAsia="Arial" w:hAnsi="Arial"/>
                <w:sz w:val="16"/>
                <w:szCs w:val="16"/>
                <w:b w:val="1"/>
                <w:bCs w:val="1"/>
                <w:color w:val="auto"/>
              </w:rPr>
              <w:t>Real Estate</w:t>
            </w:r>
          </w:p>
        </w:tc>
      </w:tr>
      <w:tr>
        <w:trPr>
          <w:trHeight w:val="210"/>
        </w:trPr>
        <w:tc>
          <w:tcPr>
            <w:tcW w:w="9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6"/>
                <w:szCs w:val="16"/>
                <w:b w:val="1"/>
                <w:bCs w:val="1"/>
                <w:color w:val="auto"/>
                <w:w w:val="92"/>
              </w:rPr>
              <w:t>Arrangements</w:t>
            </w:r>
          </w:p>
        </w:tc>
      </w:tr>
      <w:tr>
        <w:trPr>
          <w:trHeight w:val="33"/>
        </w:trPr>
        <w:tc>
          <w:tcPr>
            <w:tcW w:w="9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9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9,958</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14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9,869</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9,377</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14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9,370</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8,441</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3,671</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50,686</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Equity Transactions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connection with the IPO, on June 14, 2019, the Company filed an Amended and Restated Certificate of Incorporation which authorizes the issuance of 2,000,000,000 shares of Class A common stock with a par value of $0.0005 per share, 300,000,000 shares of Class B common stock with a par value of $0.0005 per share, and 100,000,000 shares of undesignated preferred stock with a par value of $0.0005 per share. The rights of the holders of Class A common stock and Class B common stock are identical, except with respect to voting and conversion rights. Each share of Class A common stock is entitled to one vote per share. Each share of Class B common stock is entitled to ten votes per share and is convertible into one share of Class A common stock. Class A and Class B common stockholders are not entitled to receive dividends unless declared by the Company’s board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Stock-Based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Incentive Plan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and performance-based restricted stock units.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(2.0%) of outstanding shares of the Company’s capital stock as of the last day of the immediately preceding fiscal year or (ii) such other amount as the Company’s board of directors may determine.</w:t>
      </w:r>
    </w:p>
    <w:p>
      <w:pPr>
        <w:spacing w:after="0" w:line="177"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or terminate or are forfeited or repurchased under the 2011 Plan will be automatically transferred to the 2019 Plan.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records compensation expense for employee stock options based on the estimated fair value of the options on the date of grant using the Black-Scholes option-pricing model with the assumptions included in the table below. The expected term represents the period that the Company’s share-based awards are expected to be outstanding. The expected term assumptions were determined based on the vesting terms, exercise terms, and contractual lives of the options. The expected stock price volatility is based upon comparable public company data. The risk-free rate is based on the U.S. Treasury yield curve in effect at the time of grant for the estimated option life.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each option was estimated on the date of grant using the following assumptions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Expected term (in years)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Expected stock price volatility</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Dividend yield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Three</w:t>
      </w:r>
    </w:p>
    <w:p>
      <w:pPr>
        <w:jc w:val="center"/>
        <w:ind w:right="180"/>
        <w:spacing w:after="0"/>
        <w:rPr>
          <w:sz w:val="20"/>
          <w:szCs w:val="20"/>
          <w:color w:val="auto"/>
        </w:rPr>
      </w:pPr>
      <w:r>
        <w:rPr>
          <w:rFonts w:ascii="Arial" w:cs="Arial" w:eastAsia="Arial" w:hAnsi="Arial"/>
          <w:sz w:val="14"/>
          <w:szCs w:val="14"/>
          <w:b w:val="1"/>
          <w:bCs w:val="1"/>
          <w:color w:val="auto"/>
        </w:rPr>
        <w:t>MonthsEnded</w:t>
      </w:r>
    </w:p>
    <w:p>
      <w:pPr>
        <w:spacing w:after="0" w:line="1" w:lineRule="exact"/>
        <w:rPr>
          <w:sz w:val="20"/>
          <w:szCs w:val="20"/>
          <w:color w:val="auto"/>
        </w:rPr>
      </w:pPr>
    </w:p>
    <w:p>
      <w:pPr>
        <w:jc w:val="center"/>
        <w:ind w:right="180"/>
        <w:spacing w:after="0"/>
        <w:rPr>
          <w:sz w:val="20"/>
          <w:szCs w:val="20"/>
          <w:color w:val="auto"/>
        </w:rPr>
      </w:pPr>
      <w:r>
        <w:rPr>
          <w:rFonts w:ascii="Arial" w:cs="Arial" w:eastAsia="Arial" w:hAnsi="Arial"/>
          <w:sz w:val="15"/>
          <w:szCs w:val="15"/>
          <w:b w:val="1"/>
          <w:bCs w:val="1"/>
          <w:color w:val="auto"/>
        </w:rPr>
        <w:t>April 30, 2019</w:t>
      </w:r>
    </w:p>
    <w:p>
      <w:pPr>
        <w:spacing w:after="0" w:line="4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6.05</w:t>
      </w:r>
    </w:p>
    <w:p>
      <w:pPr>
        <w:spacing w:after="0" w:line="10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2.4%</w:t>
      </w:r>
    </w:p>
    <w:p>
      <w:pPr>
        <w:spacing w:after="0" w:line="7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37.9%</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ectPr>
          <w:pgSz w:w="11900" w:h="16838" w:orient="portrait"/>
          <w:cols w:equalWidth="0" w:num="2">
            <w:col w:w="9360" w:space="720"/>
            <w:col w:w="1160"/>
          </w:cols>
          <w:pgMar w:left="320" w:top="125" w:right="339" w:bottom="1440" w:gutter="0" w:footer="0" w:header="0"/>
        </w:sectPr>
      </w:pP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stock options granted during the three months ended April 30,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stock option activity for the three months ended April 30, 2020: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January 31, 2020</w:t>
            </w: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14,689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(2,056)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37"/>
        </w:trPr>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Options outstanding at April 30, 2020</w:t>
            </w:r>
          </w:p>
        </w:tc>
        <w:tc>
          <w:tcPr>
            <w:tcW w:w="1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12,472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vested and expected to vest at April 30, 2020</w:t>
            </w:r>
          </w:p>
        </w:tc>
        <w:tc>
          <w:tcPr>
            <w:tcW w:w="1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12,472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Options exercisable at April 30, 2020</w:t>
            </w:r>
          </w:p>
        </w:tc>
        <w:tc>
          <w:tcPr>
            <w:tcW w:w="1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6,426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
        </w:trPr>
        <w:tc>
          <w:tcPr>
            <w:tcW w:w="85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Options exercisable include 732,200 options that were unvested as of April 30, 2020.</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aggregate intrinsic value of options vested and exercisable was $410.4 million and $469.6 million as of April 30, 2020 and January 31, 2020, respectively. The weighted-average remaining contractual term of options vested and exercisable was 6.8 years and 6.7 years as of April 30, 2020 and January 31, 2020, respectively.</w:t>
      </w:r>
    </w:p>
    <w:p>
      <w:pPr>
        <w:spacing w:after="0" w:line="18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No options were granted during the three months ended April 30, 2020. The weighted-average grant date fair values of all options granted was $8.76 per share during the three months ended April 30, 2019. The total intrinsic value of all options exercised was $111.2 million and $8.8 million during the three months ended April 30, 2020 and April 30, 2019, respectively.</w:t>
      </w:r>
    </w:p>
    <w:p>
      <w:pPr>
        <w:spacing w:after="0" w:line="1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aggregate intrinsic value of stock options outstanding as of April 30, 2020 and January 31, 2020 was $770.5 million and $816.3 million, respectively, which represents the excess of the fair value of the Company’s common stock over the exercise price of the options multiplied by the number of options outstanding. The weighted-average remaining contractual term of stock options outstanding was 7.4 years as of both April 30, 2020 and January 31, 2020.</w:t>
      </w:r>
    </w:p>
    <w:p>
      <w:pPr>
        <w:spacing w:after="0" w:line="187"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Total unrecognized stock-based compensation expense related to unvested options was $30.4 million as of April 30, 2020. This expense is expected to be amortized on a straight-line basis over a weighted-average vesting period of 2.0 years. Total unrecognized stock-based compensation expense related to unvested options was $34.7 million as of January 31, 2020. This expense is expected to be amortized on a straight-line basis over a weighted-average vesting period of 2.1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Early Exercise of Employee Options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2011 Stock Plan allows for the early exercise of stock options for certain individuals as determined by the Board of Directors. The consideration received for an early exercise of an option is a deposit of the exercise price and the related dollar amount is recorded as a liability for early exercise of unvested stock options in the condensed consolidated balance sheets. This liability is reclassified to additional paid-in capital as the awards vest. If a stock option is early exercised, the unvested shares may be repurchased by the Company in case of employment termination or for any reason, including death and disability, at the price paid by the purchaser for such shares. There were no issued shares of common stock related to early exercised stock options for the three months ended April 30, 2020. As of April 30, 2020, the number of shares of common stock related to early exercised stock options subject to repurchase was 849,356 shares for $7.8 million. As of January 31, 2020, the number of shares of common stock related to early exercised stock options subject to repurchase was 984,417 shares for $8.7 million. Common stock purchased pursuant to an early exercise of stock options is not deemed to be outstanding for accounting purposes until those shares vest. The Company includes unvested shares subject to repurchase in the number of shares outstanding in the condensed consolidated statement of redeemable convertible preferred stock and stockholders’ equity (deficit).</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Beginning in September 2018, the Company began issuing RSUs to certain employees. These RSUs include a service-based vesting condition and a performance-based vesting condition. The service-based vesting condition is generally satisfied based on one of three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beginning on December 20, 2018, subject to continued service, or (iii) vesting</w:t>
      </w:r>
    </w:p>
    <w:p>
      <w:pPr>
        <w:spacing w:after="0" w:line="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eight equal quarterly installments beginning on December 20, 2022, subject to continued service. The performance-based vesting condition is satisfied on the earlier of (i) a change in control, in which the consideration paid to holders of shares is either cash, publicly traded securities, or a combination thereof, or (ii) the first Company vest date to occur following the expiration of the lock-up period upon an IPO, subject to continued service through such change in control or lock-up expiration, as applicable. None of the RSUs vest unless the performance-based vesting condition is satisfied. Upon the completion of the IPO, the performance-based vesting condition was met and the Company recognized $17.3 million of deferred expense related to RSUs as of that date in its condensed consolidated statement of operations. Upon its IPO, the Company began issuing RSUs to its employees that generally have only a service-based vesting condition. The valuation of such RSUs is based solely on the fair value of the Company’s stock price on the date of grant.</w:t>
      </w:r>
    </w:p>
    <w:p>
      <w:pPr>
        <w:spacing w:after="0" w:line="16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Expense for RSUs that have a service-based vesting condition only are being amortized on a straight-line basis. Expense for RSUs that have both a service-based and a performance-based vesting condition are being amortized under the accelerated attribution method. Total unrecognized stock-based compensation expense related to unvested RSUs was $253.6 million as of April 30, 2020. This expense is expected to be amortized (subject to acceleration or straight-line basis) over a weighted-average vesting period of 2.8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Performance-based Stock Units</w:t>
      </w:r>
    </w:p>
    <w:p>
      <w:pPr>
        <w:spacing w:after="0" w:line="225"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Performance-based stock units (“PSUs”) granted under the 2019 Plan are subject to both a service-based vesting condition and a performance-based vesting condition. PSUs generally vest over a four-year period based on the achievement of specified performance targets and subject to continued service through the applicable vesting dates. The compensation cost is recognized over the requisite service period when it is probable that the performance condition will be satisfied. During the first quarter of the fiscal year, the Company’s compensation committee approved PSUs for certain employees. The performance goal for the grants primarily related to the revenue growth percentage for the fiscal year ended January 31, 2021. The number of PSUs earned corresponds to the performance period of fiscal year 2021, which can range between 0% and 130% of the target number of shares granted depending on the Company’s actual performance.</w:t>
      </w:r>
    </w:p>
    <w:p>
      <w:pPr>
        <w:spacing w:after="0" w:line="19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Expense for PSUs are being amortized under the accelerated attribution method and may be adjusted over the vesting period based on interim estimates of performance against the pre-set objectives. Total unrecognized stock-based compensation expense related to unvested PSUs was $40.1 million as of April 30, 2020. This expense is expected to be amortized over a weighted-average vesting period of 2.0 years.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RSU and PSU activities for the three months ended April 30, 2020: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RSUs and PSUs outstanding at January 31, 2020</w:t>
            </w:r>
          </w:p>
        </w:tc>
        <w:tc>
          <w:tcPr>
            <w:tcW w:w="51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6,063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Granted</w:t>
            </w:r>
          </w:p>
        </w:tc>
        <w:tc>
          <w:tcPr>
            <w:tcW w:w="5160" w:type="dxa"/>
            <w:vAlign w:val="bottom"/>
            <w:gridSpan w:val="2"/>
          </w:tcPr>
          <w:p>
            <w:pPr>
              <w:jc w:val="right"/>
              <w:ind w:right="61"/>
              <w:spacing w:after="0"/>
              <w:rPr>
                <w:sz w:val="20"/>
                <w:szCs w:val="20"/>
                <w:color w:val="auto"/>
              </w:rPr>
            </w:pPr>
            <w:r>
              <w:rPr>
                <w:rFonts w:ascii="Arial" w:cs="Arial" w:eastAsia="Arial" w:hAnsi="Arial"/>
                <w:sz w:val="18"/>
                <w:szCs w:val="18"/>
                <w:color w:val="auto"/>
              </w:rPr>
              <w:t>2,824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7"/>
              <w:spacing w:after="0"/>
              <w:rPr>
                <w:sz w:val="20"/>
                <w:szCs w:val="20"/>
                <w:color w:val="auto"/>
              </w:rPr>
            </w:pPr>
            <w:r>
              <w:rPr>
                <w:rFonts w:ascii="Arial" w:cs="Arial" w:eastAsia="Arial" w:hAnsi="Arial"/>
                <w:sz w:val="18"/>
                <w:szCs w:val="18"/>
                <w:color w:val="auto"/>
              </w:rPr>
              <w:t>57.94</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1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5160" w:type="dxa"/>
            <w:vAlign w:val="bottom"/>
            <w:gridSpan w:val="2"/>
          </w:tcPr>
          <w:p>
            <w:pPr>
              <w:jc w:val="right"/>
              <w:ind w:right="21"/>
              <w:spacing w:after="0"/>
              <w:rPr>
                <w:sz w:val="20"/>
                <w:szCs w:val="20"/>
                <w:color w:val="auto"/>
              </w:rPr>
            </w:pPr>
            <w:r>
              <w:rPr>
                <w:rFonts w:ascii="Arial" w:cs="Arial" w:eastAsia="Arial" w:hAnsi="Arial"/>
                <w:sz w:val="18"/>
                <w:szCs w:val="18"/>
                <w:color w:val="auto"/>
              </w:rPr>
              <w:t>(141)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7"/>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RSUs and PSUs outstanding at April 30, 2020</w:t>
            </w:r>
          </w:p>
        </w:tc>
        <w:tc>
          <w:tcPr>
            <w:tcW w:w="39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8,245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63"/>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RSUs and PSUs expected to vest at April 30, 2020</w:t>
            </w:r>
          </w:p>
        </w:tc>
        <w:tc>
          <w:tcPr>
            <w:tcW w:w="39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8"/>
                <w:szCs w:val="18"/>
                <w:color w:val="auto"/>
              </w:rPr>
              <w:t>8,245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7"/>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900" w:type="dxa"/>
            <w:vAlign w:val="bottom"/>
            <w:vMerge w:val="restart"/>
          </w:tcPr>
          <w:p>
            <w:pPr>
              <w:jc w:val="right"/>
              <w:ind w:right="2770"/>
              <w:spacing w:after="0"/>
              <w:rPr>
                <w:sz w:val="20"/>
                <w:szCs w:val="20"/>
                <w:color w:val="auto"/>
              </w:rPr>
            </w:pPr>
            <w:r>
              <w:rPr>
                <w:rFonts w:ascii="Arial" w:cs="Arial" w:eastAsia="Arial" w:hAnsi="Arial"/>
                <w:sz w:val="18"/>
                <w:szCs w:val="18"/>
                <w:color w:val="auto"/>
              </w:rPr>
              <w:t>23</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2"/>
        </w:trPr>
        <w:tc>
          <w:tcPr>
            <w:tcW w:w="468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outstanding shares of the Company’s capital stock as of the last day of the immediately preceding fiscal year or (ii) such other amount as its board of directors may determine.</w:t>
      </w:r>
    </w:p>
    <w:p>
      <w:pPr>
        <w:spacing w:after="0" w:line="19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ESPP provides for consecutive offering periods that will typically have a duration of approximately 24 months in length and is comprised of four purchase periods of approximately six months in length. The offering periods are scheduled to start on the first trading day on or after June 11 and December 11 of each year. The first offering period commenced on June 11, 2019 and is scheduled to end on the first trading day on or before June 10, 2021.</w:t>
      </w:r>
    </w:p>
    <w:p>
      <w:pPr>
        <w:spacing w:after="0" w:line="187"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shall be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w:t>
      </w:r>
    </w:p>
    <w:p>
      <w:pPr>
        <w:spacing w:after="0" w:line="195"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Employee payroll contributions ultimately used to purchase shares are reclassified to stockholders’ equity on the purchase date. ESPP employee payroll contributions accrued at April 30, 2020 totaled $15.0 million and are included within accrued payroll and benefits in the condensed consolidated balance sheets.</w:t>
      </w:r>
    </w:p>
    <w:p>
      <w:pPr>
        <w:spacing w:after="0" w:line="211"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The following table summarizes the assumptions used in the Black-Scholes option-pricing model to determine fair value of our common shares to be issued under the ESPP for the offering periods beginning in June 2019:</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5200" w:type="dxa"/>
            <w:vAlign w:val="bottom"/>
          </w:tcPr>
          <w:p>
            <w:pPr>
              <w:jc w:val="center"/>
              <w:ind w:left="3779"/>
              <w:spacing w:after="0"/>
              <w:rPr>
                <w:sz w:val="20"/>
                <w:szCs w:val="20"/>
                <w:color w:val="auto"/>
              </w:rPr>
            </w:pPr>
            <w:r>
              <w:rPr>
                <w:rFonts w:ascii="Arial" w:cs="Arial" w:eastAsia="Arial" w:hAnsi="Arial"/>
                <w:sz w:val="16"/>
                <w:szCs w:val="16"/>
                <w:b w:val="1"/>
                <w:bCs w:val="1"/>
                <w:color w:val="auto"/>
                <w:w w:val="93"/>
              </w:rPr>
              <w:t>Three Months</w:t>
            </w:r>
          </w:p>
        </w:tc>
      </w:tr>
      <w:tr>
        <w:trPr>
          <w:trHeight w:val="203"/>
        </w:trPr>
        <w:tc>
          <w:tcPr>
            <w:tcW w:w="6040" w:type="dxa"/>
            <w:vAlign w:val="bottom"/>
          </w:tcPr>
          <w:p>
            <w:pPr>
              <w:spacing w:after="0"/>
              <w:rPr>
                <w:sz w:val="17"/>
                <w:szCs w:val="17"/>
                <w:color w:val="auto"/>
              </w:rPr>
            </w:pPr>
          </w:p>
        </w:tc>
        <w:tc>
          <w:tcPr>
            <w:tcW w:w="5200" w:type="dxa"/>
            <w:vAlign w:val="bottom"/>
          </w:tcPr>
          <w:p>
            <w:pPr>
              <w:jc w:val="center"/>
              <w:ind w:left="3739"/>
              <w:spacing w:after="0"/>
              <w:rPr>
                <w:sz w:val="20"/>
                <w:szCs w:val="20"/>
                <w:color w:val="auto"/>
              </w:rPr>
            </w:pPr>
            <w:r>
              <w:rPr>
                <w:rFonts w:ascii="Arial" w:cs="Arial" w:eastAsia="Arial" w:hAnsi="Arial"/>
                <w:sz w:val="16"/>
                <w:szCs w:val="16"/>
                <w:b w:val="1"/>
                <w:bCs w:val="1"/>
                <w:color w:val="auto"/>
                <w:w w:val="93"/>
              </w:rPr>
              <w:t>Ended</w:t>
            </w:r>
          </w:p>
        </w:tc>
      </w:tr>
      <w:tr>
        <w:trPr>
          <w:trHeight w:val="210"/>
        </w:trPr>
        <w:tc>
          <w:tcPr>
            <w:tcW w:w="6040" w:type="dxa"/>
            <w:vAlign w:val="bottom"/>
          </w:tcPr>
          <w:p>
            <w:pPr>
              <w:spacing w:after="0"/>
              <w:rPr>
                <w:sz w:val="18"/>
                <w:szCs w:val="18"/>
                <w:color w:val="auto"/>
              </w:rPr>
            </w:pPr>
          </w:p>
        </w:tc>
        <w:tc>
          <w:tcPr>
            <w:tcW w:w="5200" w:type="dxa"/>
            <w:vAlign w:val="bottom"/>
          </w:tcPr>
          <w:p>
            <w:pPr>
              <w:jc w:val="center"/>
              <w:ind w:left="3779"/>
              <w:spacing w:after="0"/>
              <w:rPr>
                <w:sz w:val="20"/>
                <w:szCs w:val="20"/>
                <w:color w:val="auto"/>
              </w:rPr>
            </w:pPr>
            <w:r>
              <w:rPr>
                <w:rFonts w:ascii="Arial" w:cs="Arial" w:eastAsia="Arial" w:hAnsi="Arial"/>
                <w:sz w:val="16"/>
                <w:szCs w:val="16"/>
                <w:b w:val="1"/>
                <w:bCs w:val="1"/>
                <w:color w:val="auto"/>
                <w:w w:val="94"/>
              </w:rPr>
              <w:t>April 30, 2020</w:t>
            </w:r>
          </w:p>
        </w:tc>
      </w:tr>
      <w:tr>
        <w:trPr>
          <w:trHeight w:val="33"/>
        </w:trPr>
        <w:tc>
          <w:tcPr>
            <w:tcW w:w="6040" w:type="dxa"/>
            <w:vAlign w:val="bottom"/>
          </w:tcPr>
          <w:p>
            <w:pPr>
              <w:spacing w:after="0"/>
              <w:rPr>
                <w:sz w:val="2"/>
                <w:szCs w:val="2"/>
                <w:color w:val="auto"/>
              </w:rPr>
            </w:pPr>
          </w:p>
        </w:tc>
        <w:tc>
          <w:tcPr>
            <w:tcW w:w="5200" w:type="dxa"/>
            <w:vAlign w:val="bottom"/>
          </w:tcPr>
          <w:p>
            <w:pPr>
              <w:spacing w:after="0"/>
              <w:rPr>
                <w:sz w:val="2"/>
                <w:szCs w:val="2"/>
                <w:color w:val="auto"/>
              </w:rPr>
            </w:pPr>
          </w:p>
        </w:tc>
      </w:tr>
      <w:tr>
        <w:trPr>
          <w:trHeight w:val="25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(in years)</w:t>
            </w:r>
          </w:p>
        </w:tc>
        <w:tc>
          <w:tcPr>
            <w:tcW w:w="5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0.5 - 2.0</w:t>
            </w:r>
          </w:p>
        </w:tc>
      </w:tr>
      <w:tr>
        <w:trPr>
          <w:trHeight w:val="253"/>
        </w:trPr>
        <w:tc>
          <w:tcPr>
            <w:tcW w:w="604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5200" w:type="dxa"/>
            <w:vAlign w:val="bottom"/>
          </w:tcPr>
          <w:p>
            <w:pPr>
              <w:jc w:val="right"/>
              <w:spacing w:after="0"/>
              <w:rPr>
                <w:sz w:val="20"/>
                <w:szCs w:val="20"/>
                <w:color w:val="auto"/>
              </w:rPr>
            </w:pPr>
            <w:r>
              <w:rPr>
                <w:rFonts w:ascii="Arial" w:cs="Arial" w:eastAsia="Arial" w:hAnsi="Arial"/>
                <w:sz w:val="16"/>
                <w:szCs w:val="16"/>
                <w:color w:val="auto"/>
              </w:rPr>
              <w:t>1.6% - 2.0%</w:t>
            </w:r>
          </w:p>
        </w:tc>
      </w:tr>
      <w:tr>
        <w:trPr>
          <w:trHeight w:val="260"/>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stock price volatility</w:t>
            </w:r>
          </w:p>
        </w:tc>
        <w:tc>
          <w:tcPr>
            <w:tcW w:w="5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30.1- 35.7%</w:t>
            </w:r>
          </w:p>
        </w:tc>
      </w:tr>
      <w:tr>
        <w:trPr>
          <w:trHeight w:val="223"/>
        </w:trPr>
        <w:tc>
          <w:tcPr>
            <w:tcW w:w="604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520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included in the condensed consolidated statements of operations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6"/>
              </w:rPr>
              <w:t>Three Months Ended April 30,</w:t>
            </w:r>
          </w:p>
        </w:tc>
      </w:tr>
      <w:tr>
        <w:trPr>
          <w:trHeight w:val="33"/>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8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399"/>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8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8"/>
                <w:szCs w:val="18"/>
                <w:color w:val="auto"/>
              </w:rPr>
            </w:pPr>
          </w:p>
        </w:tc>
      </w:tr>
      <w:tr>
        <w:trPr>
          <w:trHeight w:val="33"/>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cost of 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1,995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265</w:t>
            </w:r>
          </w:p>
        </w:tc>
      </w:tr>
      <w:tr>
        <w:trPr>
          <w:trHeight w:val="223"/>
        </w:trPr>
        <w:tc>
          <w:tcPr>
            <w:tcW w:w="8560" w:type="dxa"/>
            <w:vAlign w:val="bottom"/>
          </w:tcPr>
          <w:p>
            <w:pPr>
              <w:ind w:left="20"/>
              <w:spacing w:after="0"/>
              <w:rPr>
                <w:sz w:val="20"/>
                <w:szCs w:val="20"/>
                <w:color w:val="auto"/>
              </w:rPr>
            </w:pPr>
            <w:r>
              <w:rPr>
                <w:rFonts w:ascii="Arial" w:cs="Arial" w:eastAsia="Arial" w:hAnsi="Arial"/>
                <w:sz w:val="16"/>
                <w:szCs w:val="16"/>
                <w:color w:val="auto"/>
              </w:rPr>
              <w:t>Professional services cost of revenue</w:t>
            </w:r>
          </w:p>
        </w:tc>
        <w:tc>
          <w:tcPr>
            <w:tcW w:w="20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971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103</w:t>
            </w:r>
          </w:p>
        </w:tc>
      </w:tr>
      <w:tr>
        <w:trPr>
          <w:trHeight w:val="33"/>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8,687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1,518</w:t>
            </w:r>
          </w:p>
        </w:tc>
      </w:tr>
      <w:tr>
        <w:trPr>
          <w:trHeight w:val="224"/>
        </w:trPr>
        <w:tc>
          <w:tcPr>
            <w:tcW w:w="85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4,900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681</w:t>
            </w:r>
          </w:p>
        </w:tc>
      </w:tr>
      <w:tr>
        <w:trPr>
          <w:trHeight w:val="33"/>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7,085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1,185</w:t>
            </w:r>
          </w:p>
        </w:tc>
      </w:tr>
      <w:tr>
        <w:trPr>
          <w:trHeight w:val="247"/>
        </w:trPr>
        <w:tc>
          <w:tcPr>
            <w:tcW w:w="8560" w:type="dxa"/>
            <w:vAlign w:val="bottom"/>
          </w:tcPr>
          <w:p>
            <w:pPr>
              <w:ind w:left="120"/>
              <w:spacing w:after="0"/>
              <w:rPr>
                <w:sz w:val="20"/>
                <w:szCs w:val="20"/>
                <w:color w:val="auto"/>
              </w:rPr>
            </w:pPr>
            <w:r>
              <w:rPr>
                <w:rFonts w:ascii="Arial" w:cs="Arial" w:eastAsia="Arial" w:hAnsi="Arial"/>
                <w:sz w:val="16"/>
                <w:szCs w:val="16"/>
                <w:color w:val="auto"/>
              </w:rPr>
              <w:t>Total stock-based compensation expense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23,638</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3,752</w:t>
            </w:r>
          </w:p>
        </w:tc>
      </w:tr>
      <w:tr>
        <w:trPr>
          <w:trHeight w:val="24"/>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Revenue, Deferred Revenue and Remaining Performance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revenue from contracts by type of customer: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ind w:right="201"/>
              <w:spacing w:after="0"/>
              <w:rPr>
                <w:sz w:val="20"/>
                <w:szCs w:val="20"/>
                <w:color w:val="auto"/>
              </w:rPr>
            </w:pPr>
            <w:r>
              <w:rPr>
                <w:rFonts w:ascii="Arial" w:cs="Arial" w:eastAsia="Arial" w:hAnsi="Arial"/>
                <w:sz w:val="14"/>
                <w:szCs w:val="14"/>
                <w:b w:val="1"/>
                <w:bCs w:val="1"/>
                <w:color w:val="auto"/>
              </w:rPr>
              <w:t>Three Months Ended April 30,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56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96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r>
      <w:tr>
        <w:trPr>
          <w:trHeight w:val="196"/>
        </w:trPr>
        <w:tc>
          <w:tcPr>
            <w:tcW w:w="56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 Revenue</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Revenue</w:t>
            </w:r>
          </w:p>
        </w:tc>
        <w:tc>
          <w:tcPr>
            <w:tcW w:w="180" w:type="dxa"/>
            <w:vAlign w:val="bottom"/>
            <w:tcBorders>
              <w:bottom w:val="single" w:sz="8" w:color="auto"/>
            </w:tcBorders>
          </w:tcPr>
          <w:p>
            <w:pPr>
              <w:spacing w:after="0"/>
              <w:rPr>
                <w:sz w:val="17"/>
                <w:szCs w:val="17"/>
                <w:color w:val="auto"/>
              </w:rPr>
            </w:pPr>
          </w:p>
        </w:tc>
      </w:tr>
      <w:tr>
        <w:trPr>
          <w:trHeight w:val="196"/>
        </w:trPr>
        <w:tc>
          <w:tcPr>
            <w:tcW w:w="5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gridSpan w:val="5"/>
          </w:tcPr>
          <w:p>
            <w:pPr>
              <w:jc w:val="right"/>
              <w:ind w:right="101"/>
              <w:spacing w:after="0"/>
              <w:rPr>
                <w:sz w:val="20"/>
                <w:szCs w:val="20"/>
                <w:color w:val="auto"/>
              </w:rPr>
            </w:pPr>
            <w:r>
              <w:rPr>
                <w:rFonts w:ascii="Arial" w:cs="Arial" w:eastAsia="Arial" w:hAnsi="Arial"/>
                <w:sz w:val="14"/>
                <w:szCs w:val="14"/>
                <w:b w:val="1"/>
                <w:bCs w:val="1"/>
                <w:color w:val="auto"/>
                <w:w w:val="93"/>
              </w:rPr>
              <w:t>(in thousands, except percentages)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3"/>
        </w:trPr>
        <w:tc>
          <w:tcPr>
            <w:tcW w:w="5660" w:type="dxa"/>
            <w:vAlign w:val="bottom"/>
            <w:tcBorders>
              <w:bottom w:val="single" w:sz="8" w:color="CCEEFF"/>
            </w:tcBorders>
            <w:shd w:val="clear" w:color="auto" w:fill="CCEEFF"/>
          </w:tcPr>
          <w:p>
            <w:pPr>
              <w:jc w:val="center"/>
              <w:ind w:right="4419"/>
              <w:spacing w:after="0"/>
              <w:rPr>
                <w:sz w:val="20"/>
                <w:szCs w:val="20"/>
                <w:color w:val="auto"/>
              </w:rPr>
            </w:pPr>
            <w:r>
              <w:rPr>
                <w:rFonts w:ascii="Arial" w:cs="Arial" w:eastAsia="Arial" w:hAnsi="Arial"/>
                <w:sz w:val="16"/>
                <w:szCs w:val="16"/>
                <w:color w:val="auto"/>
                <w:w w:val="89"/>
              </w:rPr>
              <w:t>Channel Partners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130,280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64,460</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5660" w:type="dxa"/>
            <w:vAlign w:val="bottom"/>
          </w:tcPr>
          <w:p>
            <w:pPr>
              <w:jc w:val="center"/>
              <w:ind w:right="4399"/>
              <w:spacing w:after="0"/>
              <w:rPr>
                <w:sz w:val="20"/>
                <w:szCs w:val="20"/>
                <w:color w:val="auto"/>
              </w:rPr>
            </w:pPr>
            <w:r>
              <w:rPr>
                <w:rFonts w:ascii="Arial" w:cs="Arial" w:eastAsia="Arial" w:hAnsi="Arial"/>
                <w:sz w:val="16"/>
                <w:szCs w:val="16"/>
                <w:color w:val="auto"/>
                <w:w w:val="92"/>
              </w:rPr>
              <w:t>Direct Customers</w:t>
            </w:r>
          </w:p>
        </w:tc>
        <w:tc>
          <w:tcPr>
            <w:tcW w:w="240" w:type="dxa"/>
            <w:vAlign w:val="bottom"/>
          </w:tcPr>
          <w:p>
            <w:pPr>
              <w:spacing w:after="0"/>
              <w:rPr>
                <w:sz w:val="19"/>
                <w:szCs w:val="19"/>
                <w:color w:val="auto"/>
              </w:rPr>
            </w:pPr>
          </w:p>
        </w:tc>
        <w:tc>
          <w:tcPr>
            <w:tcW w:w="1040" w:type="dxa"/>
            <w:vAlign w:val="bottom"/>
          </w:tcPr>
          <w:p>
            <w:pPr>
              <w:jc w:val="right"/>
              <w:ind w:right="63"/>
              <w:spacing w:after="0"/>
              <w:rPr>
                <w:sz w:val="20"/>
                <w:szCs w:val="20"/>
                <w:color w:val="auto"/>
              </w:rPr>
            </w:pPr>
            <w:r>
              <w:rPr>
                <w:rFonts w:ascii="Arial" w:cs="Arial" w:eastAsia="Arial" w:hAnsi="Arial"/>
                <w:sz w:val="16"/>
                <w:szCs w:val="16"/>
                <w:color w:val="auto"/>
              </w:rPr>
              <w:t>47,798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31,617</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5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67"/>
        </w:trPr>
        <w:tc>
          <w:tcPr>
            <w:tcW w:w="5660" w:type="dxa"/>
            <w:vAlign w:val="bottom"/>
            <w:shd w:val="clear" w:color="auto" w:fill="CCEEFF"/>
          </w:tcPr>
          <w:p>
            <w:pPr>
              <w:jc w:val="center"/>
              <w:ind w:right="4439"/>
              <w:spacing w:after="0"/>
              <w:rPr>
                <w:sz w:val="20"/>
                <w:szCs w:val="20"/>
                <w:color w:val="auto"/>
              </w:rPr>
            </w:pPr>
            <w:r>
              <w:rPr>
                <w:rFonts w:ascii="Arial" w:cs="Arial" w:eastAsia="Arial" w:hAnsi="Arial"/>
                <w:sz w:val="16"/>
                <w:szCs w:val="16"/>
                <w:color w:val="auto"/>
                <w:w w:val="91"/>
              </w:rPr>
              <w:t>Total 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178,078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96,077</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 Company uses channel partners to complement direct sales and marketing efforts. The partners place an order with the Company after negotiating the order directly with an end customer. The partners negotiate pricing with the end customer and in some rare instances are responsible for certain support levels directly with the end customer. The Company’s contract is with the partner and payment to the Company is not contingent on the receipt of payment from the end customer. The Company recognizes the contractual amount charged to the partners as revenue ratably over the term of the arrangement once access to the Company’s solution has been provided to the end customer.</w:t>
      </w:r>
    </w:p>
    <w:p>
      <w:pPr>
        <w:spacing w:after="0" w:line="17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Company also uses referral partners who refer customers in exchange for a referral fee. The Company negotiates pricing and contracts directly with the end customer. The Company recognizes revenue from the sales to the end customers, ratably over the term of the contract, once access to the Company’s solution has been provided to the end customer.</w:t>
      </w:r>
    </w:p>
    <w:p>
      <w:pPr>
        <w:spacing w:after="0" w:line="18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the revenue by region based on the shipping address of customers who have contracted to use the Company’s platform or service: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ind w:right="193"/>
              <w:spacing w:after="0"/>
              <w:rPr>
                <w:sz w:val="20"/>
                <w:szCs w:val="20"/>
                <w:color w:val="auto"/>
              </w:rPr>
            </w:pPr>
            <w:r>
              <w:rPr>
                <w:rFonts w:ascii="Arial" w:cs="Arial" w:eastAsia="Arial" w:hAnsi="Arial"/>
                <w:sz w:val="14"/>
                <w:szCs w:val="14"/>
                <w:b w:val="1"/>
                <w:bCs w:val="1"/>
                <w:color w:val="auto"/>
              </w:rPr>
              <w:t>Three Months Ended April 30,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5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96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196"/>
        </w:trPr>
        <w:tc>
          <w:tcPr>
            <w:tcW w:w="5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 Revenue</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Revenue</w:t>
            </w:r>
          </w:p>
        </w:tc>
        <w:tc>
          <w:tcPr>
            <w:tcW w:w="200" w:type="dxa"/>
            <w:vAlign w:val="bottom"/>
            <w:tcBorders>
              <w:bottom w:val="single" w:sz="8" w:color="auto"/>
            </w:tcBorders>
          </w:tcPr>
          <w:p>
            <w:pPr>
              <w:spacing w:after="0"/>
              <w:rPr>
                <w:sz w:val="17"/>
                <w:szCs w:val="17"/>
                <w:color w:val="auto"/>
              </w:rPr>
            </w:pPr>
          </w:p>
        </w:tc>
      </w:tr>
      <w:tr>
        <w:trPr>
          <w:trHeight w:val="196"/>
        </w:trPr>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right"/>
              <w:ind w:right="93"/>
              <w:spacing w:after="0"/>
              <w:rPr>
                <w:sz w:val="20"/>
                <w:szCs w:val="20"/>
                <w:color w:val="auto"/>
              </w:rPr>
            </w:pPr>
            <w:r>
              <w:rPr>
                <w:rFonts w:ascii="Arial" w:cs="Arial" w:eastAsia="Arial" w:hAnsi="Arial"/>
                <w:sz w:val="14"/>
                <w:szCs w:val="14"/>
                <w:b w:val="1"/>
                <w:bCs w:val="1"/>
                <w:color w:val="auto"/>
                <w:w w:val="93"/>
              </w:rPr>
              <w:t>(in thousands, except percentages)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129,481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72,307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24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25,042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13,414</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14,901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8,654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4,126</w:t>
            </w: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5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3"/>
        </w:trPr>
        <w:tc>
          <w:tcPr>
            <w:tcW w:w="5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178,078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96,077</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 single country other than the United States represented 10% or more of the Company’s total revenue during the three and three months ended April 30, 2020 and April 30,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Contract Balances</w:t>
      </w:r>
    </w:p>
    <w:p>
      <w:pPr>
        <w:spacing w:after="0" w:line="225"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Contract liabilities consist of deferred revenue and include payments received in advance of performance under the contract. Such amounts are recognized as revenue over the contractual period. For the three months ended April 30, 2020 and April 30, 2019, the Company recognized revenue of $141.5 million and $79.9 million, respectively, that were included in the corresponding contract liability balance at the beginning of the period.</w:t>
      </w:r>
    </w:p>
    <w:p>
      <w:pPr>
        <w:spacing w:after="0" w:line="149"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deferred revenue were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8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2019</w:t>
            </w:r>
          </w:p>
        </w:tc>
      </w:tr>
      <w:tr>
        <w:trPr>
          <w:trHeight w:val="196"/>
        </w:trPr>
        <w:tc>
          <w:tcPr>
            <w:tcW w:w="85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Carrying Amount</w:t>
            </w:r>
          </w:p>
        </w:tc>
        <w:tc>
          <w:tcPr>
            <w:tcW w:w="780" w:type="dxa"/>
            <w:vAlign w:val="bottom"/>
            <w:tcBorders>
              <w:bottom w:val="single" w:sz="8" w:color="auto"/>
            </w:tcBorders>
          </w:tcPr>
          <w:p>
            <w:pPr>
              <w:spacing w:after="0"/>
              <w:rPr>
                <w:sz w:val="17"/>
                <w:szCs w:val="17"/>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left="78"/>
              <w:spacing w:after="0"/>
              <w:rPr>
                <w:sz w:val="20"/>
                <w:szCs w:val="20"/>
                <w:color w:val="auto"/>
              </w:rPr>
            </w:pPr>
            <w:r>
              <w:rPr>
                <w:rFonts w:ascii="Arial" w:cs="Arial" w:eastAsia="Arial" w:hAnsi="Arial"/>
                <w:sz w:val="18"/>
                <w:szCs w:val="18"/>
                <w:color w:val="auto"/>
                <w:w w:val="89"/>
              </w:rPr>
              <w:t>571,168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290,067</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Additions to deferred revenue</w:t>
            </w:r>
          </w:p>
        </w:tc>
        <w:tc>
          <w:tcPr>
            <w:tcW w:w="260" w:type="dxa"/>
            <w:vAlign w:val="bottom"/>
          </w:tcPr>
          <w:p>
            <w:pPr>
              <w:spacing w:after="0"/>
              <w:rPr>
                <w:sz w:val="21"/>
                <w:szCs w:val="21"/>
                <w:color w:val="auto"/>
              </w:rPr>
            </w:pPr>
          </w:p>
        </w:tc>
        <w:tc>
          <w:tcPr>
            <w:tcW w:w="1020" w:type="dxa"/>
            <w:vAlign w:val="bottom"/>
          </w:tcPr>
          <w:p>
            <w:pPr>
              <w:jc w:val="center"/>
              <w:ind w:left="78"/>
              <w:spacing w:after="0"/>
              <w:rPr>
                <w:sz w:val="20"/>
                <w:szCs w:val="20"/>
                <w:color w:val="auto"/>
              </w:rPr>
            </w:pPr>
            <w:r>
              <w:rPr>
                <w:rFonts w:ascii="Arial" w:cs="Arial" w:eastAsia="Arial" w:hAnsi="Arial"/>
                <w:sz w:val="18"/>
                <w:szCs w:val="18"/>
                <w:color w:val="auto"/>
                <w:w w:val="89"/>
              </w:rPr>
              <w:t>242,883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121,222</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Recognition of deferred revenue</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ind w:left="38"/>
              <w:spacing w:after="0"/>
              <w:rPr>
                <w:sz w:val="20"/>
                <w:szCs w:val="20"/>
                <w:color w:val="auto"/>
              </w:rPr>
            </w:pPr>
            <w:r>
              <w:rPr>
                <w:rFonts w:ascii="Arial" w:cs="Arial" w:eastAsia="Arial" w:hAnsi="Arial"/>
                <w:sz w:val="18"/>
                <w:szCs w:val="18"/>
                <w:color w:val="auto"/>
                <w:w w:val="90"/>
              </w:rPr>
              <w:t>(178,078)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(96,077)</w:t>
            </w:r>
          </w:p>
        </w:tc>
      </w:tr>
      <w:tr>
        <w:trPr>
          <w:trHeight w:val="263"/>
        </w:trPr>
        <w:tc>
          <w:tcPr>
            <w:tcW w:w="85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center"/>
              <w:ind w:left="78"/>
              <w:spacing w:after="0"/>
              <w:rPr>
                <w:sz w:val="20"/>
                <w:szCs w:val="20"/>
                <w:color w:val="auto"/>
              </w:rPr>
            </w:pPr>
            <w:r>
              <w:rPr>
                <w:rFonts w:ascii="Arial" w:cs="Arial" w:eastAsia="Arial" w:hAnsi="Arial"/>
                <w:sz w:val="18"/>
                <w:szCs w:val="18"/>
                <w:color w:val="auto"/>
                <w:w w:val="89"/>
              </w:rPr>
              <w:t>635,973</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315,212</w:t>
            </w:r>
          </w:p>
        </w:tc>
      </w:tr>
      <w:tr>
        <w:trPr>
          <w:trHeight w:val="21"/>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Remaining Performance Obligations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Company’s subscription contracts with its customers have a typical term of one to three years and most subscription contracts are non-cancelable. Customers typically have the right to terminate their contracts for cause as a result of the Company’s failure to perform. As of April 30, 2020, the aggregate amount of the transaction price allocated to remaining performance obligations was $817.5 million. The Company expects to recognize 70% of the remaining performance obligations in the 12 months following April 30, 2020, with the remainder to be recognized thereafter.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Costs to Obtain and Fulfill a Contract</w:t>
      </w:r>
    </w:p>
    <w:p>
      <w:pPr>
        <w:spacing w:after="0" w:line="225"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The Company capitalizes referral fees paid to partners and sales commission and associated payroll taxes paid to internal sales personnel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condensed consolidated balance sheets.</w:t>
      </w:r>
    </w:p>
    <w:p>
      <w:pPr>
        <w:spacing w:after="0" w:line="14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channel partners, paid upon the initial acquisition of a contract or subsequent upsell are amortized over an estimated period of benefit of 4 years while commissions paid for renewal contracts are amortized over the contractual term of the renewals. Sales commissions associated with professional service contracts are amortized ratably over an estimated period of benefit of six months and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three months ended April 30, 2020 and April 30, 2019, respectively.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of deferred contract acquisition costs: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8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r>
      <w:tr>
        <w:trPr>
          <w:trHeight w:val="196"/>
        </w:trPr>
        <w:tc>
          <w:tcPr>
            <w:tcW w:w="8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7"/>
                <w:szCs w:val="17"/>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114,206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63,071</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Capitalization of contract acquisition costs</w:t>
            </w:r>
          </w:p>
        </w:tc>
        <w:tc>
          <w:tcPr>
            <w:tcW w:w="26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22,563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8,471</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(13,451)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(7,345)</w:t>
            </w:r>
          </w:p>
        </w:tc>
      </w:tr>
      <w:tr>
        <w:trPr>
          <w:trHeight w:val="263"/>
        </w:trPr>
        <w:tc>
          <w:tcPr>
            <w:tcW w:w="85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123,318</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64,197</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8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Deferred contract acquisition costs, current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53,410</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26,193</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contract acquisition costs, noncurrent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69,908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38,004</w:t>
            </w:r>
          </w:p>
        </w:tc>
      </w:tr>
      <w:tr>
        <w:trPr>
          <w:trHeight w:val="264"/>
        </w:trPr>
        <w:tc>
          <w:tcPr>
            <w:tcW w:w="8560" w:type="dxa"/>
            <w:vAlign w:val="bottom"/>
          </w:tcPr>
          <w:p>
            <w:pPr>
              <w:ind w:left="120"/>
              <w:spacing w:after="0"/>
              <w:rPr>
                <w:sz w:val="20"/>
                <w:szCs w:val="20"/>
                <w:color w:val="auto"/>
              </w:rPr>
            </w:pPr>
            <w:r>
              <w:rPr>
                <w:rFonts w:ascii="Arial" w:cs="Arial" w:eastAsia="Arial" w:hAnsi="Arial"/>
                <w:sz w:val="18"/>
                <w:szCs w:val="18"/>
                <w:color w:val="auto"/>
              </w:rPr>
              <w:t>Total deferred contract acquisition costs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123,318</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64,197</w:t>
            </w:r>
          </w:p>
        </w:tc>
      </w:tr>
      <w:tr>
        <w:trPr>
          <w:trHeight w:val="21"/>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Commitments and 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 enters into long-term non-cancelable agreements with providers to purchase data center capacity, such as bandwidth and colocation space, for the Company’s cloud platform. As of April 30, 2020, the Company is committed to spend $150.0 million on such agreements through 2027. These obligations are included in purchase obligations below.</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the normal course of business, the Company enters into non-cancelable purchase commitments with various parties to purchase products and services such as technology, equipment, office renovations, corporate events, and consulting services. A summary of noncancelable purchase obligations as of April 30, 2020 with expected date of payment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395"/>
              <w:spacing w:after="0"/>
              <w:rPr>
                <w:sz w:val="20"/>
                <w:szCs w:val="20"/>
                <w:color w:val="auto"/>
              </w:rPr>
            </w:pPr>
            <w:r>
              <w:rPr>
                <w:rFonts w:ascii="Arial" w:cs="Arial" w:eastAsia="Arial" w:hAnsi="Arial"/>
                <w:sz w:val="14"/>
                <w:szCs w:val="14"/>
                <w:b w:val="1"/>
                <w:bCs w:val="1"/>
                <w:color w:val="auto"/>
              </w:rPr>
              <w:t>Total</w:t>
            </w:r>
          </w:p>
        </w:tc>
      </w:tr>
      <w:tr>
        <w:trPr>
          <w:trHeight w:val="192"/>
        </w:trPr>
        <w:tc>
          <w:tcPr>
            <w:tcW w:w="9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Commitments</w:t>
            </w:r>
          </w:p>
        </w:tc>
      </w:tr>
      <w:tr>
        <w:trPr>
          <w:trHeight w:val="196"/>
        </w:trPr>
        <w:tc>
          <w:tcPr>
            <w:tcW w:w="9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Arial" w:cs="Arial" w:eastAsia="Arial" w:hAnsi="Arial"/>
                <w:sz w:val="14"/>
                <w:szCs w:val="14"/>
                <w:b w:val="1"/>
                <w:bCs w:val="1"/>
                <w:color w:val="auto"/>
                <w:w w:val="93"/>
              </w:rPr>
              <w:t>(in thousands)</w:t>
            </w:r>
          </w:p>
        </w:tc>
      </w:tr>
      <w:tr>
        <w:trPr>
          <w:trHeight w:val="256"/>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2021 (remaining nine months)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67,113</w:t>
            </w:r>
          </w:p>
        </w:tc>
      </w:tr>
      <w:tr>
        <w:trPr>
          <w:trHeight w:val="243"/>
        </w:trPr>
        <w:tc>
          <w:tcPr>
            <w:tcW w:w="996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16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90,298</w:t>
            </w:r>
          </w:p>
        </w:tc>
      </w:tr>
      <w:tr>
        <w:trPr>
          <w:trHeight w:val="27"/>
        </w:trPr>
        <w:tc>
          <w:tcPr>
            <w:tcW w:w="9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10,156</w:t>
            </w:r>
          </w:p>
        </w:tc>
      </w:tr>
      <w:tr>
        <w:trPr>
          <w:trHeight w:val="243"/>
        </w:trPr>
        <w:tc>
          <w:tcPr>
            <w:tcW w:w="996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16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10,379</w:t>
            </w:r>
          </w:p>
        </w:tc>
      </w:tr>
      <w:tr>
        <w:trPr>
          <w:trHeight w:val="27"/>
        </w:trPr>
        <w:tc>
          <w:tcPr>
            <w:tcW w:w="9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2,721</w:t>
            </w:r>
          </w:p>
        </w:tc>
      </w:tr>
      <w:tr>
        <w:trPr>
          <w:trHeight w:val="243"/>
        </w:trPr>
        <w:tc>
          <w:tcPr>
            <w:tcW w:w="99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3,221</w:t>
            </w:r>
          </w:p>
        </w:tc>
      </w:tr>
      <w:tr>
        <w:trPr>
          <w:trHeight w:val="27"/>
        </w:trPr>
        <w:tc>
          <w:tcPr>
            <w:tcW w:w="9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9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purchase commitments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183,888</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As of April 30, 2020 and January 31, 2020, the Company had an unused standby letter of credit for $0.4 million and $0.6 million, respectively, securing its headquarters facility in Sunnyvale, California. As of April 30, 2020 and January 31, 2020, the Company had an unused standby letter of credit for $1.0 million, securing its facility in Austin, Texas.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Company is currently involved in proceedings before the Trademark Trial and Appeal Board (“TTAB”) at the U.S. Patent and Trademark Office (the “USPTO”) regarding its U.S. trademark registrations for “CrowdStrike Falcon” and its U.S. application to register its “Falcon OverWatch” trademark. On November 23, 2016, Fair Isaac Corporation (“FICO”) filed a Petition for Cancellation of the Company’s “CrowdStrike Falcon” trademark registrations and a Notice of Opposition against the Company’s “Falcon OverWatch” trademark application before the USPTO, TTAB. On January 3, 2017, the Company filed answers to both the cancellation and opposition proceedings, and the proceedings thereafter were consolidated. On November 21, 2018, the Company filed a Petition for Partial Cancellation or Amendment of one of FICO’s “Falcon” trademark registrations, and on December 10, 2018, the parties filed a joint request to consolidate the proceedings and adjust the schedule. On January 16, 2019, FICO moved to dismiss the Company’s petition. On July 2, 2019, the TTAB consolidated the proceedings and granted FICO’s motion to dismiss with leave to amend. On July 22, 2019, the Company filed its Amended Petition for Cancellation or Amendment and on August 12, 2019, FICO moved to dismiss the Company’s Amended Petition for Cancellation or Amendment. On January 31, 2020, the TTAB denied the motion to dismiss as to two grounds for partial cancellation and as to the request for amendment, and granted the motion as to a third ground for partial cancellation of one of FICO’s “Falcon” registrations and the claim for abandonment of both of FICO’s “Falcon” trademark registrations, with the right to reassert both claims for relief. The TTAB also set a new schedule for the consolidated proceedings, with trial periods set to begin on December 6, 2020. On March 18, 2020, the Company filed a motion for leave to file a Second Amended Petition to include a claim for abandonment for two of FICO’s “Falcon” trademark registrations. The Company is vigorously defending the case, but given the early stage, although a loss may reasonably be possible, the Company is unable to predict the likelihood of success of FICO’s claims or estimate a loss or a range of loss. As a result, no liability has been recorded as of April 30, 2020 or January 31, 2020.</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addition, from time to time the Company is a party to various litigation matters and subject to claims that arise in the ordinary course of business. In addition, third parties may from time to time assert claims against the Company in the form of letters and other communications.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 Company’s opinion, is likely to have a material adverse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expense of litigation and the timing of this expense from period to period are difficult to estimate, subject to change and could adversely affect the Company’s condensed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Warranties and Indemnification</w:t>
      </w:r>
    </w:p>
    <w:p>
      <w:pPr>
        <w:spacing w:after="0" w:line="225"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Company’s arrangements generally include certain provisions for indemnifying customers against liabilities if its products or services infringe a third party’s intellectual property rights. In addition, for its Falcon Complete module customers, the Company offers a limited warranty, subject to certain conditions, to cover certain costs incurred by the customer in case of a cybersecurity breach. The Company has entered into an insurance policy to cover its potential liability arising from this limited warranty arrangement. To date, the Company has not incurred any material costs because of such obligations and has not accrued any liabilities related to such obligations in the condensed consolidated financial statements.</w:t>
      </w:r>
    </w:p>
    <w:p>
      <w:pPr>
        <w:spacing w:after="0" w:line="17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April 30, 2020 or January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Geographic Information</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Company’s long-lived assets are composed of property and equipment, net, and operating lease right-of-use assets, are summarized by geographic area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w:t>
            </w:r>
          </w:p>
        </w:tc>
        <w:tc>
          <w:tcPr>
            <w:tcW w:w="160" w:type="dxa"/>
            <w:vAlign w:val="bottom"/>
          </w:tcPr>
          <w:p>
            <w:pPr>
              <w:spacing w:after="0"/>
              <w:rPr>
                <w:sz w:val="14"/>
                <w:szCs w:val="14"/>
                <w:color w:val="auto"/>
              </w:rPr>
            </w:pPr>
          </w:p>
        </w:tc>
        <w:tc>
          <w:tcPr>
            <w:tcW w:w="1020" w:type="dxa"/>
            <w:vAlign w:val="bottom"/>
          </w:tcPr>
          <w:p>
            <w:pPr>
              <w:jc w:val="right"/>
              <w:ind w:right="157"/>
              <w:spacing w:after="0"/>
              <w:rPr>
                <w:sz w:val="20"/>
                <w:szCs w:val="20"/>
                <w:color w:val="auto"/>
              </w:rPr>
            </w:pPr>
            <w:r>
              <w:rPr>
                <w:rFonts w:ascii="Arial" w:cs="Arial" w:eastAsia="Arial" w:hAnsi="Arial"/>
                <w:sz w:val="14"/>
                <w:szCs w:val="14"/>
                <w:b w:val="1"/>
                <w:bCs w:val="1"/>
                <w:color w:val="auto"/>
                <w:w w:val="98"/>
              </w:rPr>
              <w:t>January 31,</w:t>
            </w:r>
          </w:p>
        </w:tc>
      </w:tr>
      <w:tr>
        <w:trPr>
          <w:trHeight w:val="192"/>
        </w:trPr>
        <w:tc>
          <w:tcPr>
            <w:tcW w:w="8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r>
      <w:tr>
        <w:trPr>
          <w:trHeight w:val="196"/>
        </w:trPr>
        <w:tc>
          <w:tcPr>
            <w:tcW w:w="8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4"/>
          </w:tcPr>
          <w:p>
            <w:pPr>
              <w:jc w:val="right"/>
              <w:ind w:right="717"/>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157,071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125,409</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8"/>
                <w:szCs w:val="18"/>
                <w:color w:val="auto"/>
              </w:rPr>
              <w:t>17,763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7"/>
              <w:spacing w:after="0"/>
              <w:rPr>
                <w:sz w:val="20"/>
                <w:szCs w:val="20"/>
                <w:color w:val="auto"/>
              </w:rPr>
            </w:pPr>
            <w:r>
              <w:rPr>
                <w:rFonts w:ascii="Arial" w:cs="Arial" w:eastAsia="Arial" w:hAnsi="Arial"/>
                <w:sz w:val="18"/>
                <w:szCs w:val="18"/>
                <w:color w:val="auto"/>
              </w:rPr>
              <w:t>10,669</w:t>
            </w:r>
          </w:p>
        </w:tc>
      </w:tr>
      <w:tr>
        <w:trPr>
          <w:trHeight w:val="27"/>
        </w:trPr>
        <w:tc>
          <w:tcPr>
            <w:tcW w:w="8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8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property and equipment, net and operating lease right-of-use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174,834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136,078</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No single country other than the United States represented 10% or more of the Company’s total long-lived assets as of April 30, 2020 or January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Related Party Transactions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Subscription and Professional Services Revenue from Related Parties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three months ended April 30, 2020 and 2019, certain investors and companies with whom the Company’s Board of Directors are affiliated with purchased subscriptions and professional services. The Company recorded revenue from subscriptions and professional services from related parties of $0.9 million and $2.3 million during the three months ended April 30, 2020 and April 30, 2019, respectively. Accounts receivable associated with these related parties was $0.2 million as of April 30, 2020 and January 31, 2020.</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Company purchased goods and services totaling $0.8 million and $0.6 million, respectively, from certain investors and companies with whom its Board of Directors are affiliated with during the three months ended April 30, 2020 and 2019. The accounts payable to such vendors was none as of April 30, 2020 and January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Net Loss Per Share Attributable to Common Stockholders</w:t>
      </w:r>
    </w:p>
    <w:p>
      <w:pPr>
        <w:spacing w:after="0" w:line="225" w:lineRule="exact"/>
        <w:rPr>
          <w:sz w:val="20"/>
          <w:szCs w:val="20"/>
          <w:color w:val="auto"/>
        </w:rPr>
      </w:pPr>
    </w:p>
    <w:p>
      <w:pPr>
        <w:ind w:right="260" w:firstLine="648"/>
        <w:spacing w:after="0" w:line="276"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85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r>
      <w:tr>
        <w:trPr>
          <w:trHeight w:val="23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(25,977)</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Weighted-average shares used in computing net loss per share attributable to common stockholders, basic and diluted</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47,205</w:t>
            </w:r>
          </w:p>
        </w:tc>
      </w:tr>
      <w:tr>
        <w:trPr>
          <w:trHeight w:val="270"/>
        </w:trPr>
        <w:tc>
          <w:tcPr>
            <w:tcW w:w="856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(0.55)</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8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Class A Common Stock</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w w:val="90"/>
              </w:rPr>
              <w:t>Weighted-average shares used in computing net loss per share attributable to common stockholders, basic and diluted</w:t>
            </w:r>
          </w:p>
        </w:tc>
        <w:tc>
          <w:tcPr>
            <w:tcW w:w="26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124,886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5"/>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Class B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(7,959)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Weighted-average shares used in computing net loss per share attributable to common stockholders, basic and diluted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88,243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856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Since the Company was in a net loss position for all periods presented, basic net loss per share is the same as diluted net loss per share as the inclusion of all potential common shares outstanding would have been antidilutive. The potential shares of common stock that were excluded from the computation of diluted net loss per share attributable to common stockholders for the periods presented because including them would have been antidilutive are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380" w:type="dxa"/>
            <w:vAlign w:val="bottom"/>
            <w:gridSpan w:val="2"/>
          </w:tcPr>
          <w:p>
            <w:pPr>
              <w:ind w:left="360"/>
              <w:spacing w:after="0"/>
              <w:rPr>
                <w:sz w:val="20"/>
                <w:szCs w:val="20"/>
                <w:color w:val="auto"/>
              </w:rPr>
            </w:pPr>
            <w:r>
              <w:rPr>
                <w:rFonts w:ascii="Arial" w:cs="Arial" w:eastAsia="Arial" w:hAnsi="Arial"/>
                <w:sz w:val="14"/>
                <w:szCs w:val="14"/>
                <w:b w:val="1"/>
                <w:bCs w:val="1"/>
                <w:color w:val="auto"/>
              </w:rPr>
              <w:t>April 30,</w:t>
            </w:r>
          </w:p>
        </w:tc>
        <w:tc>
          <w:tcPr>
            <w:tcW w:w="1260" w:type="dxa"/>
            <w:vAlign w:val="bottom"/>
          </w:tcPr>
          <w:p>
            <w:pPr>
              <w:jc w:val="right"/>
              <w:ind w:right="274"/>
              <w:spacing w:after="0"/>
              <w:rPr>
                <w:sz w:val="20"/>
                <w:szCs w:val="20"/>
                <w:color w:val="auto"/>
              </w:rPr>
            </w:pPr>
            <w:r>
              <w:rPr>
                <w:rFonts w:ascii="Arial" w:cs="Arial" w:eastAsia="Arial" w:hAnsi="Arial"/>
                <w:sz w:val="14"/>
                <w:szCs w:val="14"/>
                <w:b w:val="1"/>
                <w:bCs w:val="1"/>
                <w:color w:val="auto"/>
              </w:rPr>
              <w:t>April 30,</w:t>
            </w:r>
          </w:p>
        </w:tc>
      </w:tr>
      <w:tr>
        <w:trPr>
          <w:trHeight w:val="192"/>
        </w:trPr>
        <w:tc>
          <w:tcPr>
            <w:tcW w:w="8600" w:type="dxa"/>
            <w:vAlign w:val="bottom"/>
          </w:tcPr>
          <w:p>
            <w:pPr>
              <w:spacing w:after="0"/>
              <w:rPr>
                <w:sz w:val="16"/>
                <w:szCs w:val="16"/>
                <w:color w:val="auto"/>
              </w:rPr>
            </w:pPr>
          </w:p>
        </w:tc>
        <w:tc>
          <w:tcPr>
            <w:tcW w:w="12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196"/>
        </w:trPr>
        <w:tc>
          <w:tcPr>
            <w:tcW w:w="8600" w:type="dxa"/>
            <w:vAlign w:val="bottom"/>
          </w:tcPr>
          <w:p>
            <w:pPr>
              <w:spacing w:after="0"/>
              <w:rPr>
                <w:sz w:val="17"/>
                <w:szCs w:val="17"/>
                <w:color w:val="auto"/>
              </w:rPr>
            </w:pPr>
          </w:p>
        </w:tc>
        <w:tc>
          <w:tcPr>
            <w:tcW w:w="2640" w:type="dxa"/>
            <w:vAlign w:val="bottom"/>
            <w:gridSpan w:val="3"/>
          </w:tcPr>
          <w:p>
            <w:pPr>
              <w:jc w:val="right"/>
              <w:ind w:right="79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of common stock issuable upon conversion of redeemable convertible preferred stock</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131,268</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Shares of common stock issuable upon conversion of redeemable convertible preferred stock warrants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336</w:t>
            </w:r>
          </w:p>
        </w:tc>
      </w:tr>
      <w:tr>
        <w:trPr>
          <w:trHeight w:val="27"/>
        </w:trPr>
        <w:tc>
          <w:tcPr>
            <w:tcW w:w="8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of common stock subject to repurchase from outstanding stock options</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849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466</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RSUs and PSUs subject to future vesting</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8,245</w:t>
            </w:r>
          </w:p>
        </w:tc>
        <w:tc>
          <w:tcPr>
            <w:tcW w:w="12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7"/>
        </w:trPr>
        <w:tc>
          <w:tcPr>
            <w:tcW w:w="8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of common stock issuable from stock options</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12,472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26,200</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Share purchase rights under the employee stock purchase plan</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7"/>
        </w:trPr>
        <w:tc>
          <w:tcPr>
            <w:tcW w:w="86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8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Potential common shares excluded from diluted net loss per share</w:t>
            </w:r>
          </w:p>
        </w:tc>
        <w:tc>
          <w:tcPr>
            <w:tcW w:w="1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22,992</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158,270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condensed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consolidated financial statements and related notes thereto included elsewhere in this Quarterly Report on Form 10-Q. Some of the information contained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this discussion and analysis or set forth elsewhere in this Quarterly Report on Form 10-Q, including information with respect to our plans and strategy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our business, includes forward-looking statements that involve risks and uncertainties as described under the heading Special Note Regarding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Forward-Looking Statements following the Table of Contents of this Quarterly Report on Form 10-Q. You should review the disclosure under Part II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Item 1A - Risk Factors in this Quarterly Report on Form 10-Q for a discussion of important factors that could cause actual results to differ materially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results described in or implied by the forward-looking statements contained in the following discussion and analysis. Our fiscal year end is January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 our fiscal quarters end on April 30, July 31, October 31, and January 31.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We founded CrowdStrike in 2011 to reinvent security for the cloud era. When we started the company, cyberattackers had a decided, asymmetric advantage over existing security products. We turned the tables on the adversaries by taking a fundamentally new approach that leverages the network effects of crowdsourced data applied to modern technologies such as AI, cloud computing, and graph databases. Realizing that the nature of cybersecurity problems had changed but the solutions had not, we built our CrowdStrike Falcon platform to detect threats and stop breaches.</w:t>
      </w:r>
    </w:p>
    <w:p>
      <w:pPr>
        <w:spacing w:after="0" w:line="15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believe we are defining a new category called the Security Cloud, with the power to transform the security industry much the same way the cloud has transformed the CRM, HR, and service management industries. With our Falcon platform, we created the first multi-tenant, cloud native, intelligent security solution capable of protecting workloads across on-premise, virtualized, and cloud-based environments running on a variety of endpoints such as desktops, laptops, servers, virtual machines, and IoT devices. Our Falcon platform is composed of two tightly integrated proprietary technologies: our easily deployed intelligent lightweight agent and our cloud-based, dynamic graph database called Threat Graph. Our solution benefits from crowdsourcing and economies of scale, which we believe enables our AI algorithms to be uniquely effective. We call this cloud-scale AI. We initially provided intelligence and incident response services while we developed our Falcon platform. In June 2013, we first began providing EDR capabilities as a single solution. In February 2017, as we executed on our Falcon platform expansion strategy, we began offering these and additional capabilities as separate cloud modules. This strategic move facilitated new customer adoption and allowed us to further expand within our customer base. Today, we offer 11 cloud modules on our Falcon platform via a SaaS subscription-based model that spans multiple large security markets, including endpoint security, security and IT operations (including vulnerability management), and threat intelligence.</w:t>
      </w:r>
    </w:p>
    <w:p>
      <w:pPr>
        <w:spacing w:after="0" w:line="18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On June 14, 2019 we closed our initial public offering, or IPO, in which we issued and sold 20,700,000 shares of Class A common stock. The price per share to the public was $34.00. We received aggregate proceeds of $665.1 million from the IPO, net of underwriters’ discounts and commissions and before deducting estimated offering costs of $5.9 million. Upon the closing of the IPO, all shares of our outstanding preferred stock automatically converted into 131,267,586 shares of Class B common stock. In connection with our IPO, all shares of our common stock outstanding prior to our IPO were automatically converted into shares of Class B common stock.</w:t>
      </w:r>
    </w:p>
    <w:p>
      <w:pPr>
        <w:spacing w:after="0" w:line="215"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In March 2020, the World Health Organization declared the COVID-19 outbreak to be a pandemic. Since then, the COVID-19 pandemic has rapidly spread across the globe and has already resulted in significant volatility, uncertainty, and economic disruption. Thus far, the impact of the pandemic has been modest with some customers, particularly in heavily impacted industries, requesting special billing or payment terms. We continued to win business with large enterprises and closed the vast majority of this quarter’s seven-figure deals in the second half of the quarter, after the COVID-19 shelter in place orders were in effect. Additionally, our gross retention rate remained consistently high and our dollar-based net retention rate once again exceeded 120 percent as we continued to expand module adoption within new and existing customers. In March 2020, we implemented several measures to help ensure the health and safety of all our employees around the globe including restricting all travel and transitioning 100% of our workforce to be remote. In addition, in response to the uncertain macroeconomic environment, we converted all of our marketable securities to cash and cash equivalents as of April 30, 2020.</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continue to conduct business as usual with modifications to employee travel, employee work locations, customer interactions, and cancellation of certain marketing events, among other things.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 The extent to which the COVID-19 pandemic may impact our longer-term operational and financial performance remains uncertain. Furthermore, due to our subscription-based business model, the effect of the COVID-19 pandemic may not be fully reflected in our results of operations until future periods, if at all. The extent of the impact of the COVID-19 pandemic will depend on several factors, including the pace of reopening the economy around the world; the possible resurgence in the spread of the virus; the development cycle of therapeutics and vaccines; the impact on our customers and our sales cycles; the impact on our customer, employee, and industry events; and the effect on our vendors. Please see Item IA, "Risk Factors," in this Quarterly Report on Form 10-Q for a further description of the material risks we currently face, including the risks related to the COVID-19 pandemic.</w:t>
      </w:r>
    </w:p>
    <w:p>
      <w:pPr>
        <w:spacing w:after="0" w:line="194"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In March, we launched two initiatives to help our customers quickly onboard new remote workers without sacrificing protection or having to worry about a procurement cycle. This included a surge relief plan that allows our customers to surge the number of endpoints for a limited time. Additionally, we launched a Falcon Prevent for Home Use program that allows our customers’ company administrators to install Falcon Prevent on their employees’ home systems. We believe both of these initiatives have been well received by our customers.</w:t>
      </w:r>
    </w:p>
    <w:p>
      <w:pPr>
        <w:spacing w:after="0" w:line="200" w:lineRule="exact"/>
        <w:rPr>
          <w:sz w:val="20"/>
          <w:szCs w:val="20"/>
          <w:color w:val="auto"/>
        </w:rPr>
      </w:pPr>
    </w:p>
    <w:p>
      <w:pPr>
        <w:spacing w:after="0" w:line="210"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Our Go-To-Market Strategy</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8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have a low friction land-and-expand sales strategy. When customers deploy our Falcon platform, they can start with any number of cloud modules and we can activate additional cloud modules in real time on the same agent already deployed on the endpoint. This architecture has also allowed us to begin to offer a free trial of our Falcon Prevent module directly from our website or the AWS Marketplace, and we plan to extend this capability to additional modules in the future.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7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began as a solution for large enterprises, but the flexibility and scalability of our Falcon platform has enabled us to seamlessly offer our solution to customers of any size—from those with hundreds of thousands of endpoints to as few as three. We have expanded our sales focus to include any organization without the need to modify our Falcon platform for small and medium sized businesses.</w:t>
      </w:r>
    </w:p>
    <w:p>
      <w:pPr>
        <w:spacing w:after="0" w:line="184"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16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Certain Factors Affecting Our Performance</w:t>
      </w:r>
    </w:p>
    <w:p>
      <w:pPr>
        <w:spacing w:after="0" w:line="229"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b w:val="1"/>
          <w:bCs w:val="1"/>
          <w:i w:val="1"/>
          <w:iCs w:val="1"/>
          <w:color w:val="auto"/>
        </w:rPr>
        <w:t xml:space="preserve">Adoption of Our Solutions. </w:t>
      </w:r>
      <w:r>
        <w:rPr>
          <w:rFonts w:ascii="Arial" w:cs="Arial" w:eastAsia="Arial" w:hAnsi="Arial"/>
          <w:sz w:val="16"/>
          <w:szCs w:val="16"/>
          <w:color w:val="auto"/>
        </w:rPr>
        <w:t>We believe our future success depends in large part on the growth in the market for cloud-based SaaS-delivered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endpoint 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b w:val="1"/>
          <w:bCs w:val="1"/>
          <w:i w:val="1"/>
          <w:iCs w:val="1"/>
          <w:color w:val="auto"/>
        </w:rPr>
        <w:t xml:space="preserve">New Customer Acquisition. </w:t>
      </w:r>
      <w:r>
        <w:rPr>
          <w:rFonts w:ascii="Arial" w:cs="Arial" w:eastAsia="Arial" w:hAnsi="Arial"/>
          <w:sz w:val="18"/>
          <w:szCs w:val="18"/>
          <w:color w:val="auto"/>
        </w:rPr>
        <w:t>Our future growth depends in large part on our ability to acquire new customers. If our efforts to attract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are not successful, our revenue and rate of 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192" w:lineRule="exact"/>
        <w:rPr>
          <w:sz w:val="20"/>
          <w:szCs w:val="20"/>
          <w:color w:val="auto"/>
        </w:rPr>
      </w:pPr>
    </w:p>
    <w:p>
      <w:pPr>
        <w:ind w:right="120" w:firstLine="648"/>
        <w:spacing w:after="0"/>
        <w:rPr>
          <w:sz w:val="20"/>
          <w:szCs w:val="20"/>
          <w:color w:val="auto"/>
        </w:rPr>
      </w:pPr>
      <w:r>
        <w:rPr>
          <w:rFonts w:ascii="Arial" w:cs="Arial" w:eastAsia="Arial" w:hAnsi="Arial"/>
          <w:sz w:val="18"/>
          <w:szCs w:val="18"/>
          <w:b w:val="1"/>
          <w:bCs w:val="1"/>
          <w:i w:val="1"/>
          <w:iCs w:val="1"/>
          <w:color w:val="auto"/>
        </w:rPr>
        <w:t xml:space="preserve">Maintain Customer Retention and Increase Sales. </w:t>
      </w:r>
      <w:r>
        <w:rPr>
          <w:rFonts w:ascii="Arial" w:cs="Arial" w:eastAsia="Arial" w:hAnsi="Arial"/>
          <w:sz w:val="18"/>
          <w:szCs w:val="18"/>
          <w:color w:val="auto"/>
        </w:rPr>
        <w:t>Our ability to increase revenue depends in large part on our ability to retain our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increase the ARR of their subscriptions. We focus on increasing sales to our existing customers by expanding their deployments to more endpoints and selling additional cloud modules for increased functionality. In February 2017, we transitioned our platform from a single offering into highly-integrated offerings of multiple SKU cloud modules. We initially launched this strategy with our IT hygiene, next-generation antivirus, EDR, managed threat hunting, and intelligence modules, and have added six additional modules since then. The Falcon Platform currently has 11 cloud modules that span endpoint security, security operations, and threat intelligence</w:t>
      </w:r>
    </w:p>
    <w:p>
      <w:pPr>
        <w:spacing w:after="0" w:line="18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b w:val="1"/>
          <w:bCs w:val="1"/>
          <w:i w:val="1"/>
          <w:iCs w:val="1"/>
          <w:color w:val="auto"/>
        </w:rPr>
        <w:t xml:space="preserve">Invest in Growth. </w:t>
      </w:r>
      <w:r>
        <w:rPr>
          <w:rFonts w:ascii="Arial" w:cs="Arial" w:eastAsia="Arial" w:hAnsi="Arial"/>
          <w:sz w:val="16"/>
          <w:szCs w:val="16"/>
          <w:color w:val="auto"/>
        </w:rPr>
        <w:t>We believe that our market opportunity is large and requires us to continue to invest significantly in sales and marketing efforts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become a public company.</w:t>
      </w:r>
    </w:p>
    <w:p>
      <w:pPr>
        <w:spacing w:after="0" w:line="16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We monitor the following key metrics to help us evaluate our business, identify trends affecting our business, formulate business plans, and make strategic decisions.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Subscription Customers</w:t>
      </w:r>
    </w:p>
    <w:p>
      <w:pPr>
        <w:spacing w:after="0" w:line="225" w:lineRule="exact"/>
        <w:rPr>
          <w:sz w:val="20"/>
          <w:szCs w:val="20"/>
          <w:color w:val="auto"/>
        </w:rPr>
      </w:pPr>
    </w:p>
    <w:p>
      <w:pPr>
        <w:jc w:val="both"/>
        <w:ind w:right="120" w:firstLine="648"/>
        <w:spacing w:after="0" w:line="301" w:lineRule="auto"/>
        <w:rPr>
          <w:sz w:val="20"/>
          <w:szCs w:val="20"/>
          <w:color w:val="auto"/>
        </w:rPr>
      </w:pPr>
      <w:r>
        <w:rPr>
          <w:rFonts w:ascii="Arial" w:cs="Arial" w:eastAsia="Arial" w:hAnsi="Arial"/>
          <w:sz w:val="16"/>
          <w:szCs w:val="16"/>
          <w:color w:val="auto"/>
        </w:rPr>
        <w:t>We define a subscription customer as a separate legal entity that has entered into a distinct subscription agreement for access to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 While initially we focused our sales and marketing efforts on large enterprises, in recent years we have also increased our sales and marketing to small and medium sized businesses.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number of our subscription customers as of the dates presented: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April 30,</w:t>
            </w: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8540" w:type="dxa"/>
            <w:vAlign w:val="bottom"/>
          </w:tcPr>
          <w:p>
            <w:pPr>
              <w:spacing w:after="0"/>
              <w:rPr>
                <w:sz w:val="17"/>
                <w:szCs w:val="17"/>
                <w:color w:val="auto"/>
              </w:rPr>
            </w:pPr>
          </w:p>
        </w:tc>
        <w:tc>
          <w:tcPr>
            <w:tcW w:w="1140" w:type="dxa"/>
            <w:vAlign w:val="bottom"/>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7"/>
                <w:szCs w:val="17"/>
                <w:color w:val="auto"/>
              </w:rPr>
            </w:pPr>
          </w:p>
        </w:tc>
        <w:tc>
          <w:tcPr>
            <w:tcW w:w="660" w:type="dxa"/>
            <w:vAlign w:val="bottom"/>
          </w:tcPr>
          <w:p>
            <w:pPr>
              <w:jc w:val="right"/>
              <w:ind w:right="256"/>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7"/>
                <w:szCs w:val="17"/>
                <w:color w:val="auto"/>
              </w:rPr>
            </w:pPr>
          </w:p>
        </w:tc>
      </w:tr>
      <w:tr>
        <w:trPr>
          <w:trHeight w:val="256"/>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customers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7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Year-over-year growth</w:t>
            </w: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Recurring Revenue (“ARR”)</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ARR as of the dates presented: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w w:val="97"/>
              </w:rPr>
              <w:t>As of April 30,</w:t>
            </w: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8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196"/>
        </w:trPr>
        <w:tc>
          <w:tcPr>
            <w:tcW w:w="8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2"/>
          </w:tcPr>
          <w:p>
            <w:pPr>
              <w:ind w:left="600"/>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6"/>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Annual recurring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686,125</w:t>
            </w:r>
          </w:p>
        </w:tc>
        <w:tc>
          <w:tcPr>
            <w:tcW w:w="6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364,648</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Year-over-year growth</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w:t>
      </w:r>
    </w:p>
    <w:p>
      <w:pPr>
        <w:spacing w:after="0" w:line="2"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12 months but excludes revenue from new subscription customers in the current period. We then divide the Current Period ARR by the Prior Period ARR to arrive at our dollar-based net retention rate.</w:t>
      </w:r>
    </w:p>
    <w:p>
      <w:pPr>
        <w:spacing w:after="0" w:line="18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Since January 2016, our dollar-based net retention rate has consistently exceeded 100%, which is primarily attributable to an expansion of endpoints within, and cross-selling additional cloud modules to, our existing subscription customers. Our dollar-based net retention rate can fluctuate from period to period due to large customer contracts in a given period, which may reduce our dollar-based net retention rate in subsequent periods if the customer makes a larger upfront purchase and does not continue to increase purchases.</w:t>
      </w:r>
    </w:p>
    <w:p>
      <w:pPr>
        <w:spacing w:after="0" w:line="187"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Our dollar-based net retention rate has varied from quarter to quarter due to a number of factors and we expect that trend to continue. For example, in the fourth quarter of fiscal 2019, we had an outsized expansion deal that contributed 11 percentage</w:t>
      </w:r>
    </w:p>
    <w:p>
      <w:pPr>
        <w:spacing w:after="0" w:line="238" w:lineRule="auto"/>
        <w:rPr>
          <w:sz w:val="20"/>
          <w:szCs w:val="20"/>
          <w:color w:val="auto"/>
        </w:rPr>
      </w:pPr>
      <w:r>
        <w:rPr>
          <w:rFonts w:ascii="Arial" w:cs="Arial" w:eastAsia="Arial" w:hAnsi="Arial"/>
          <w:sz w:val="18"/>
          <w:szCs w:val="18"/>
          <w:color w:val="auto"/>
        </w:rPr>
        <w:t>points to our net retention in that quarter. While we once again expanded within this account in the fourth quarter of fiscal</w:t>
      </w:r>
    </w:p>
    <w:p>
      <w:pPr>
        <w:jc w:val="both"/>
        <w:spacing w:after="0" w:line="239" w:lineRule="auto"/>
        <w:rPr>
          <w:sz w:val="20"/>
          <w:szCs w:val="20"/>
          <w:color w:val="auto"/>
        </w:rPr>
      </w:pPr>
      <w:r>
        <w:rPr>
          <w:rFonts w:ascii="Arial" w:cs="Arial" w:eastAsia="Arial" w:hAnsi="Arial"/>
          <w:sz w:val="18"/>
          <w:szCs w:val="18"/>
          <w:color w:val="auto"/>
        </w:rPr>
        <w:t>2020, the impact was smaller than the prior year. In addition, we have seen strong success with our strategy to land bigger deals with more modules, and we are also seeing an acceleration in our acquisition of new customers. While we view these two trends as positive developments, they have a natural trade off on our ability to expand business with existing customers in the near term.</w:t>
      </w:r>
    </w:p>
    <w:p>
      <w:pPr>
        <w:spacing w:after="0" w:line="18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i w:val="1"/>
          <w:iCs w:val="1"/>
          <w:color w:val="auto"/>
        </w:rPr>
        <w:t xml:space="preserve">Subscription Revenue. </w:t>
      </w:r>
      <w:r>
        <w:rPr>
          <w:rFonts w:ascii="Arial" w:cs="Arial" w:eastAsia="Arial" w:hAnsi="Arial"/>
          <w:sz w:val="16"/>
          <w:szCs w:val="16"/>
          <w:color w:val="auto"/>
        </w:rPr>
        <w:t>Subscription revenue primarily consists of subscription fees for our Falcon platform and additional cloud modules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supported by our cloud-based platform. 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Because our subscription customers are generally billed upfront, we have recorded significant deferred revenue. Consequently, a substantial portion of the revenue that we report in each period is attributable to the recognition of deferred revenue relating to subscriptions that we entered into during previous periods. We typically invoice our customers annually in advance or multi-year in advance.</w:t>
      </w:r>
    </w:p>
    <w:p>
      <w:pPr>
        <w:spacing w:after="0" w:line="16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Professional services revenue includes incident response and proactive services, forensic and malware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and attribution analysis.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For fixed fee contracts, we recognize revenue by applying the proportional performance method.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Subscription Cost of Revenue. </w:t>
      </w:r>
      <w:r>
        <w:rPr>
          <w:rFonts w:ascii="Arial" w:cs="Arial" w:eastAsia="Arial" w:hAnsi="Arial"/>
          <w:sz w:val="18"/>
          <w:szCs w:val="18"/>
          <w:color w:val="auto"/>
        </w:rPr>
        <w:t>Subscription cost of revenue consists primarily of costs related to hosting our cloud-based Falcon platform in data</w:t>
      </w:r>
      <w:r>
        <w:rPr>
          <w:rFonts w:ascii="Arial" w:cs="Arial" w:eastAsia="Arial" w:hAnsi="Arial"/>
          <w:sz w:val="18"/>
          <w:szCs w:val="18"/>
          <w:i w:val="1"/>
          <w:iCs w:val="1"/>
          <w:color w:val="auto"/>
        </w:rPr>
        <w:t xml:space="preserve"> </w:t>
      </w:r>
      <w:r>
        <w:rPr>
          <w:rFonts w:ascii="Arial" w:cs="Arial" w:eastAsia="Arial" w:hAnsi="Arial"/>
          <w:sz w:val="18"/>
          <w:szCs w:val="18"/>
          <w:color w:val="auto"/>
        </w:rPr>
        <w:t>centers, amortization of our capitalized internal-use software, employee-related costs such as salaries and bonuses, stock-based compensation expense, benefits costs associated with our operations and support personnel, software license fees, property and equipment depreciation, and an allocated portion of facilities and administrative costs.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157"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i w:val="1"/>
          <w:iCs w:val="1"/>
          <w:color w:val="auto"/>
        </w:rPr>
        <w:t xml:space="preserve">Professional Services Cost of Revenue. </w:t>
      </w:r>
      <w:r>
        <w:rPr>
          <w:rFonts w:ascii="Arial" w:cs="Arial" w:eastAsia="Arial" w:hAnsi="Arial"/>
          <w:sz w:val="18"/>
          <w:szCs w:val="18"/>
          <w:color w:val="auto"/>
        </w:rPr>
        <w:t>Professional services cost of revenue consists primarily of employee-related costs, such as salaries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stock-based compensation expense, technology, property and equipment depreciation, and an allocated portion of facilities and administrative costs.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IT.</w:t>
      </w:r>
    </w:p>
    <w:p>
      <w:pPr>
        <w:spacing w:after="0" w:line="1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primarily consist of employee-related expenses such as salaries, commissions, and bonuses.</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marketing expenses also include stock-based compensation; expenses related to our Fal.Con customer conference and other marketing events; an allocated portion of facilities and administrative expenses; and cloud hosting and related services costs related to proof of value efforts. We capitalize and amortize sales commissions and any other incremental payments made upon the initial acquisition of a subscription or upsells to existing customers to sales and marketing expense over the estimated customer life, and amortize any such expenses paid for the renewal of a subscription to sales and marketing expense over the term of the renewal.</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expect sales and marketing expenses to increase in dollar amount as we continue to make significant investments in our sales and marketing organization to drive additional revenue, further penetrate the market, and expand our global customer base.</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primarily consist of employee-related expenses such as salaries and bonuses;</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compensation; consulting expenses related to the design, development, testing, and enhancements of our subscription services;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71"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period-to-period depending on the timing of these expenses.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consist of employee-related expenses such as salaries and bonuses;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related expenses for our executive, finance, human resources, and legal organizations. In addition, general and administrative expenses include outside legal accounting and other professional fees; and an allocated portion of facilities and administrative expenses. We expect to incur additional expenses as a result of operating as a public company. As a result, we expect our general and administrative expenses to increase in dollar amount. However, we anticipate general and administrative expenses to decrease as a percentage of our total revenue over time.</w:t>
      </w:r>
    </w:p>
    <w:p>
      <w:pPr>
        <w:spacing w:after="0" w:line="161"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consists primarily of income earned on our cash equivalents and marketable securities; expense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warrants for our redeemable convertible preferred stock; interest expense on our bank facility; and foreign currency transaction gains and losses.</w:t>
      </w:r>
    </w:p>
    <w:p>
      <w:pPr>
        <w:spacing w:after="0" w:line="18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consists primarily of income taxes in certain foreign jurisdictions in which we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as well as state income taxes in the United States. We have not recorded any U.S. federal income tax expense. We maintain a full valuation allowance on our U.S. federal and state and U.K. deferred tax assets as we have concluded that it is more likely than not that those deferred assets will not be utilized.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condensed consolidated statements of operations for each period presented: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Three Months Ended April 30,</w:t>
            </w:r>
          </w:p>
        </w:tc>
        <w:tc>
          <w:tcPr>
            <w:tcW w:w="1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r>
      <w:tr>
        <w:trPr>
          <w:trHeight w:val="196"/>
        </w:trPr>
        <w:tc>
          <w:tcPr>
            <w:tcW w:w="5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7"/>
                <w:szCs w:val="17"/>
                <w:color w:val="auto"/>
              </w:rPr>
            </w:pPr>
          </w:p>
        </w:tc>
      </w:tr>
      <w:tr>
        <w:trPr>
          <w:trHeight w:val="196"/>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3"/>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24"/>
        </w:trPr>
        <w:tc>
          <w:tcPr>
            <w:tcW w:w="5700" w:type="dxa"/>
            <w:vAlign w:val="bottom"/>
          </w:tcPr>
          <w:p>
            <w:pPr>
              <w:ind w:left="120"/>
              <w:spacing w:after="0"/>
              <w:rPr>
                <w:sz w:val="20"/>
                <w:szCs w:val="20"/>
                <w:color w:val="auto"/>
              </w:rPr>
            </w:pPr>
            <w:r>
              <w:rPr>
                <w:rFonts w:ascii="Arial" w:cs="Arial" w:eastAsia="Arial" w:hAnsi="Arial"/>
                <w:sz w:val="16"/>
                <w:szCs w:val="16"/>
                <w:color w:val="auto"/>
              </w:rPr>
              <w:t>Subscription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162,222</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85,990</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80"/>
              <w:spacing w:after="0"/>
              <w:rPr>
                <w:sz w:val="20"/>
                <w:szCs w:val="20"/>
                <w:color w:val="auto"/>
              </w:rPr>
            </w:pPr>
            <w:r>
              <w:rPr>
                <w:rFonts w:ascii="Arial" w:cs="Arial" w:eastAsia="Arial" w:hAnsi="Arial"/>
                <w:sz w:val="16"/>
                <w:szCs w:val="16"/>
                <w:color w:val="auto"/>
              </w:rPr>
              <w:t>76,232</w:t>
            </w:r>
          </w:p>
        </w:tc>
        <w:tc>
          <w:tcPr>
            <w:tcW w:w="1060" w:type="dxa"/>
            <w:vAlign w:val="bottom"/>
          </w:tcPr>
          <w:p>
            <w:pPr>
              <w:jc w:val="right"/>
              <w:spacing w:after="0"/>
              <w:rPr>
                <w:sz w:val="20"/>
                <w:szCs w:val="20"/>
                <w:color w:val="auto"/>
              </w:rPr>
            </w:pPr>
            <w:r>
              <w:rPr>
                <w:rFonts w:ascii="Arial" w:cs="Arial" w:eastAsia="Arial" w:hAnsi="Arial"/>
                <w:sz w:val="16"/>
                <w:szCs w:val="16"/>
                <w:color w:val="auto"/>
              </w:rPr>
              <w:t>89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Professional services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15,856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10,087</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5,769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17"/>
        </w:trPr>
        <w:tc>
          <w:tcPr>
            <w:tcW w:w="570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178,078</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96,077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280"/>
              <w:spacing w:after="0"/>
              <w:rPr>
                <w:sz w:val="20"/>
                <w:szCs w:val="20"/>
                <w:color w:val="auto"/>
              </w:rPr>
            </w:pPr>
            <w:r>
              <w:rPr>
                <w:rFonts w:ascii="Arial" w:cs="Arial" w:eastAsia="Arial" w:hAnsi="Arial"/>
                <w:sz w:val="16"/>
                <w:szCs w:val="16"/>
                <w:color w:val="auto"/>
              </w:rPr>
              <w:t>82,001</w:t>
            </w:r>
          </w:p>
        </w:tc>
        <w:tc>
          <w:tcPr>
            <w:tcW w:w="1060" w:type="dxa"/>
            <w:vAlign w:val="bottom"/>
          </w:tcPr>
          <w:p>
            <w:pPr>
              <w:jc w:val="right"/>
              <w:spacing w:after="0"/>
              <w:rPr>
                <w:sz w:val="20"/>
                <w:szCs w:val="20"/>
                <w:color w:val="auto"/>
              </w:rPr>
            </w:pPr>
            <w:r>
              <w:rPr>
                <w:rFonts w:ascii="Arial" w:cs="Arial" w:eastAsia="Arial" w:hAnsi="Arial"/>
                <w:sz w:val="16"/>
                <w:szCs w:val="16"/>
                <w:color w:val="auto"/>
              </w:rPr>
              <w:t>85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56"/>
        </w:trPr>
        <w:tc>
          <w:tcPr>
            <w:tcW w:w="5700" w:type="dxa"/>
            <w:vAlign w:val="bottom"/>
          </w:tcPr>
          <w:p>
            <w:pPr>
              <w:ind w:left="140"/>
              <w:spacing w:after="0"/>
              <w:rPr>
                <w:sz w:val="20"/>
                <w:szCs w:val="20"/>
                <w:color w:val="auto"/>
              </w:rPr>
            </w:pPr>
            <w:r>
              <w:rPr>
                <w:rFonts w:ascii="Arial" w:cs="Arial" w:eastAsia="Arial" w:hAnsi="Arial"/>
                <w:sz w:val="16"/>
                <w:szCs w:val="16"/>
                <w:color w:val="auto"/>
              </w:rPr>
              <w:t xml:space="preserve">Subscription </w:t>
            </w:r>
            <w:r>
              <w:rPr>
                <w:rFonts w:ascii="Arial" w:cs="Arial" w:eastAsia="Arial" w:hAnsi="Arial"/>
                <w:sz w:val="21"/>
                <w:szCs w:val="21"/>
                <w:color w:val="auto"/>
                <w:vertAlign w:val="superscript"/>
              </w:rPr>
              <w:t>(1) (2)</w:t>
            </w:r>
          </w:p>
        </w:tc>
        <w:tc>
          <w:tcPr>
            <w:tcW w:w="240" w:type="dxa"/>
            <w:vAlign w:val="bottom"/>
          </w:tcPr>
          <w:p>
            <w:pPr>
              <w:spacing w:after="0"/>
              <w:rPr>
                <w:sz w:val="22"/>
                <w:szCs w:val="22"/>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37,244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23,691</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280"/>
              <w:spacing w:after="0"/>
              <w:rPr>
                <w:sz w:val="20"/>
                <w:szCs w:val="20"/>
                <w:color w:val="auto"/>
              </w:rPr>
            </w:pPr>
            <w:r>
              <w:rPr>
                <w:rFonts w:ascii="Arial" w:cs="Arial" w:eastAsia="Arial" w:hAnsi="Arial"/>
                <w:sz w:val="16"/>
                <w:szCs w:val="16"/>
                <w:color w:val="auto"/>
              </w:rPr>
              <w:t>13,553</w:t>
            </w:r>
          </w:p>
        </w:tc>
        <w:tc>
          <w:tcPr>
            <w:tcW w:w="1060" w:type="dxa"/>
            <w:vAlign w:val="bottom"/>
          </w:tcPr>
          <w:p>
            <w:pPr>
              <w:jc w:val="right"/>
              <w:spacing w:after="0"/>
              <w:rPr>
                <w:sz w:val="20"/>
                <w:szCs w:val="20"/>
                <w:color w:val="auto"/>
              </w:rPr>
            </w:pPr>
            <w:r>
              <w:rPr>
                <w:rFonts w:ascii="Arial" w:cs="Arial" w:eastAsia="Arial" w:hAnsi="Arial"/>
                <w:sz w:val="16"/>
                <w:szCs w:val="16"/>
                <w:color w:val="auto"/>
              </w:rPr>
              <w:t>57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57"/>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Professional services </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9,651</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5,582</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4,069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17"/>
        </w:trPr>
        <w:tc>
          <w:tcPr>
            <w:tcW w:w="5700" w:type="dxa"/>
            <w:vAlign w:val="bottom"/>
          </w:tcPr>
          <w:p>
            <w:pPr>
              <w:ind w:left="220"/>
              <w:spacing w:after="0"/>
              <w:rPr>
                <w:sz w:val="20"/>
                <w:szCs w:val="20"/>
                <w:color w:val="auto"/>
              </w:rPr>
            </w:pPr>
            <w:r>
              <w:rPr>
                <w:rFonts w:ascii="Arial" w:cs="Arial" w:eastAsia="Arial" w:hAnsi="Arial"/>
                <w:sz w:val="16"/>
                <w:szCs w:val="16"/>
                <w:color w:val="auto"/>
              </w:rPr>
              <w:t>Total cost of revenue</w:t>
            </w:r>
          </w:p>
        </w:tc>
        <w:tc>
          <w:tcPr>
            <w:tcW w:w="240" w:type="dxa"/>
            <w:vAlign w:val="bottom"/>
          </w:tcPr>
          <w:p>
            <w:pPr>
              <w:spacing w:after="0"/>
              <w:rPr>
                <w:sz w:val="18"/>
                <w:szCs w:val="18"/>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46,895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29,273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280"/>
              <w:spacing w:after="0"/>
              <w:rPr>
                <w:sz w:val="20"/>
                <w:szCs w:val="20"/>
                <w:color w:val="auto"/>
              </w:rPr>
            </w:pPr>
            <w:r>
              <w:rPr>
                <w:rFonts w:ascii="Arial" w:cs="Arial" w:eastAsia="Arial" w:hAnsi="Arial"/>
                <w:sz w:val="16"/>
                <w:szCs w:val="16"/>
                <w:color w:val="auto"/>
              </w:rPr>
              <w:t>17,622</w:t>
            </w:r>
          </w:p>
        </w:tc>
        <w:tc>
          <w:tcPr>
            <w:tcW w:w="106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131,183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66,804</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64,379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3"/>
        </w:trPr>
        <w:tc>
          <w:tcPr>
            <w:tcW w:w="5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6"/>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 (2)</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88,138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56,843</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31,295</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57"/>
        </w:trPr>
        <w:tc>
          <w:tcPr>
            <w:tcW w:w="5700" w:type="dxa"/>
            <w:vAlign w:val="bottom"/>
          </w:tcPr>
          <w:p>
            <w:pPr>
              <w:ind w:left="14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 (2)</w:t>
            </w:r>
          </w:p>
        </w:tc>
        <w:tc>
          <w:tcPr>
            <w:tcW w:w="240" w:type="dxa"/>
            <w:vAlign w:val="bottom"/>
          </w:tcPr>
          <w:p>
            <w:pPr>
              <w:spacing w:after="0"/>
              <w:rPr>
                <w:sz w:val="22"/>
                <w:szCs w:val="22"/>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40,578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23,875</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280"/>
              <w:spacing w:after="0"/>
              <w:rPr>
                <w:sz w:val="20"/>
                <w:szCs w:val="20"/>
                <w:color w:val="auto"/>
              </w:rPr>
            </w:pPr>
            <w:r>
              <w:rPr>
                <w:rFonts w:ascii="Arial" w:cs="Arial" w:eastAsia="Arial" w:hAnsi="Arial"/>
                <w:sz w:val="16"/>
                <w:szCs w:val="16"/>
                <w:color w:val="auto"/>
              </w:rPr>
              <w:t>16,703</w:t>
            </w:r>
          </w:p>
        </w:tc>
        <w:tc>
          <w:tcPr>
            <w:tcW w:w="1060" w:type="dxa"/>
            <w:vAlign w:val="bottom"/>
          </w:tcPr>
          <w:p>
            <w:pPr>
              <w:jc w:val="right"/>
              <w:spacing w:after="0"/>
              <w:rPr>
                <w:sz w:val="20"/>
                <w:szCs w:val="20"/>
                <w:color w:val="auto"/>
              </w:rPr>
            </w:pPr>
            <w:r>
              <w:rPr>
                <w:rFonts w:ascii="Arial" w:cs="Arial" w:eastAsia="Arial" w:hAnsi="Arial"/>
                <w:sz w:val="16"/>
                <w:szCs w:val="16"/>
                <w:color w:val="auto"/>
              </w:rPr>
              <w:t>70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57"/>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25,043</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11,861</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13,182</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17"/>
        </w:trPr>
        <w:tc>
          <w:tcPr>
            <w:tcW w:w="570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18"/>
                <w:szCs w:val="18"/>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153,759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92,579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280"/>
              <w:spacing w:after="0"/>
              <w:rPr>
                <w:sz w:val="20"/>
                <w:szCs w:val="20"/>
                <w:color w:val="auto"/>
              </w:rPr>
            </w:pPr>
            <w:r>
              <w:rPr>
                <w:rFonts w:ascii="Arial" w:cs="Arial" w:eastAsia="Arial" w:hAnsi="Arial"/>
                <w:sz w:val="16"/>
                <w:szCs w:val="16"/>
                <w:color w:val="auto"/>
              </w:rPr>
              <w:t>61,180</w:t>
            </w:r>
          </w:p>
        </w:tc>
        <w:tc>
          <w:tcPr>
            <w:tcW w:w="1060" w:type="dxa"/>
            <w:vAlign w:val="bottom"/>
          </w:tcPr>
          <w:p>
            <w:pPr>
              <w:jc w:val="right"/>
              <w:spacing w:after="0"/>
              <w:rPr>
                <w:sz w:val="20"/>
                <w:szCs w:val="20"/>
                <w:color w:val="auto"/>
              </w:rPr>
            </w:pPr>
            <w:r>
              <w:rPr>
                <w:rFonts w:ascii="Arial" w:cs="Arial" w:eastAsia="Arial" w:hAnsi="Arial"/>
                <w:sz w:val="16"/>
                <w:szCs w:val="16"/>
                <w:color w:val="auto"/>
              </w:rPr>
              <w:t>66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237"/>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(22,576)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(25,775)</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3,199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23"/>
        </w:trPr>
        <w:tc>
          <w:tcPr>
            <w:tcW w:w="570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(142)</w:t>
            </w:r>
          </w:p>
        </w:tc>
        <w:tc>
          <w:tcPr>
            <w:tcW w:w="1060" w:type="dxa"/>
            <w:vAlign w:val="bottom"/>
          </w:tcPr>
          <w:p>
            <w:pPr>
              <w:jc w:val="right"/>
              <w:spacing w:after="0"/>
              <w:rPr>
                <w:sz w:val="20"/>
                <w:szCs w:val="20"/>
                <w:color w:val="auto"/>
              </w:rPr>
            </w:pPr>
            <w:r>
              <w:rPr>
                <w:rFonts w:ascii="Arial" w:cs="Arial" w:eastAsia="Arial" w:hAnsi="Arial"/>
                <w:sz w:val="16"/>
                <w:szCs w:val="16"/>
                <w:color w:val="auto"/>
              </w:rPr>
              <w:t>14,200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6"/>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4,533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394</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4,139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17"/>
        </w:trPr>
        <w:tc>
          <w:tcPr>
            <w:tcW w:w="570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(18,186)</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(25,382)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280"/>
              <w:spacing w:after="0"/>
              <w:rPr>
                <w:sz w:val="20"/>
                <w:szCs w:val="20"/>
                <w:color w:val="auto"/>
              </w:rPr>
            </w:pPr>
            <w:r>
              <w:rPr>
                <w:rFonts w:ascii="Arial" w:cs="Arial" w:eastAsia="Arial" w:hAnsi="Arial"/>
                <w:sz w:val="16"/>
                <w:szCs w:val="16"/>
                <w:color w:val="auto"/>
              </w:rPr>
              <w:t>7,196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(28) %</w:t>
            </w:r>
          </w:p>
        </w:tc>
      </w:tr>
      <w:tr>
        <w:trPr>
          <w:trHeight w:val="33"/>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(595)</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(441)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47"/>
        </w:trPr>
        <w:tc>
          <w:tcPr>
            <w:tcW w:w="5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(19,222)</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(25,977)</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80"/>
              <w:spacing w:after="0"/>
              <w:rPr>
                <w:sz w:val="20"/>
                <w:szCs w:val="20"/>
                <w:color w:val="auto"/>
              </w:rPr>
            </w:pPr>
            <w:r>
              <w:rPr>
                <w:rFonts w:ascii="Arial" w:cs="Arial" w:eastAsia="Arial" w:hAnsi="Arial"/>
                <w:sz w:val="16"/>
                <w:szCs w:val="16"/>
                <w:color w:val="auto"/>
              </w:rPr>
              <w:t>6,755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(26) %</w:t>
            </w:r>
          </w:p>
        </w:tc>
      </w:tr>
      <w:tr>
        <w:trPr>
          <w:trHeight w:val="24"/>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8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196"/>
        </w:trPr>
        <w:tc>
          <w:tcPr>
            <w:tcW w:w="8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7"/>
                <w:szCs w:val="17"/>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cost of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1,995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265</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Professional services cost of revenue</w:t>
            </w:r>
          </w:p>
        </w:tc>
        <w:tc>
          <w:tcPr>
            <w:tcW w:w="260" w:type="dxa"/>
            <w:vAlign w:val="bottom"/>
          </w:tcPr>
          <w:p>
            <w:pPr>
              <w:spacing w:after="0"/>
              <w:rPr>
                <w:sz w:val="21"/>
                <w:szCs w:val="21"/>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103</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8,687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1,518</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4,900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681</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7,085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1,185</w:t>
            </w:r>
          </w:p>
        </w:tc>
      </w:tr>
      <w:tr>
        <w:trPr>
          <w:trHeight w:val="263"/>
        </w:trPr>
        <w:tc>
          <w:tcPr>
            <w:tcW w:w="8560" w:type="dxa"/>
            <w:vAlign w:val="bottom"/>
          </w:tcPr>
          <w:p>
            <w:pPr>
              <w:ind w:left="12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23,638</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3,752</w:t>
            </w:r>
          </w:p>
        </w:tc>
      </w:tr>
      <w:tr>
        <w:trPr>
          <w:trHeight w:val="21"/>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amortization of acquired intangible assets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680" w:type="dxa"/>
            <w:vAlign w:val="bottom"/>
            <w:tcBorders>
              <w:bottom w:val="single" w:sz="8" w:color="auto"/>
            </w:tcBorders>
            <w:gridSpan w:val="5"/>
          </w:tcPr>
          <w:p>
            <w:pPr>
              <w:jc w:val="right"/>
              <w:ind w:right="314"/>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856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196"/>
        </w:trPr>
        <w:tc>
          <w:tcPr>
            <w:tcW w:w="8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(in thousands)</w:t>
            </w:r>
          </w:p>
        </w:tc>
        <w:tc>
          <w:tcPr>
            <w:tcW w:w="840" w:type="dxa"/>
            <w:vAlign w:val="bottom"/>
          </w:tcPr>
          <w:p>
            <w:pPr>
              <w:spacing w:after="0"/>
              <w:rPr>
                <w:sz w:val="17"/>
                <w:szCs w:val="17"/>
                <w:color w:val="auto"/>
              </w:rPr>
            </w:pP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cost of revenue</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104</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20" w:type="dxa"/>
            <w:vAlign w:val="bottom"/>
          </w:tcPr>
          <w:p>
            <w:pPr>
              <w:spacing w:after="0"/>
              <w:rPr>
                <w:sz w:val="21"/>
                <w:szCs w:val="21"/>
                <w:color w:val="auto"/>
              </w:rPr>
            </w:pPr>
          </w:p>
        </w:tc>
        <w:tc>
          <w:tcPr>
            <w:tcW w:w="460" w:type="dxa"/>
            <w:vAlign w:val="bottom"/>
          </w:tcPr>
          <w:p>
            <w:pPr>
              <w:jc w:val="right"/>
              <w:ind w:right="5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30</w:t>
            </w:r>
          </w:p>
        </w:tc>
      </w:tr>
      <w:tr>
        <w:trPr>
          <w:trHeight w:val="27"/>
        </w:trPr>
        <w:tc>
          <w:tcPr>
            <w:tcW w:w="8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w:t>
            </w:r>
          </w:p>
        </w:tc>
      </w:tr>
      <w:tr>
        <w:trPr>
          <w:trHeight w:val="263"/>
        </w:trPr>
        <w:tc>
          <w:tcPr>
            <w:tcW w:w="8560" w:type="dxa"/>
            <w:vAlign w:val="bottom"/>
          </w:tcPr>
          <w:p>
            <w:pPr>
              <w:ind w:left="120"/>
              <w:spacing w:after="0"/>
              <w:rPr>
                <w:sz w:val="20"/>
                <w:szCs w:val="20"/>
                <w:color w:val="auto"/>
              </w:rPr>
            </w:pPr>
            <w:r>
              <w:rPr>
                <w:rFonts w:ascii="Arial" w:cs="Arial" w:eastAsia="Arial" w:hAnsi="Arial"/>
                <w:sz w:val="18"/>
                <w:szCs w:val="18"/>
                <w:color w:val="auto"/>
              </w:rPr>
              <w:t>Total amortization of purchased intangibles</w:t>
            </w:r>
          </w:p>
        </w:tc>
        <w:tc>
          <w:tcPr>
            <w:tcW w:w="8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103</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145</w:t>
            </w:r>
          </w:p>
        </w:tc>
      </w:tr>
      <w:tr>
        <w:trPr>
          <w:trHeight w:val="21"/>
        </w:trPr>
        <w:tc>
          <w:tcPr>
            <w:tcW w:w="8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648"/>
        <w:spacing w:after="0" w:line="276" w:lineRule="auto"/>
        <w:rPr>
          <w:sz w:val="20"/>
          <w:szCs w:val="20"/>
          <w:color w:val="auto"/>
        </w:rPr>
      </w:pPr>
      <w:r>
        <w:rPr>
          <w:rFonts w:ascii="Arial" w:cs="Arial" w:eastAsia="Arial" w:hAnsi="Arial"/>
          <w:sz w:val="18"/>
          <w:szCs w:val="18"/>
          <w:color w:val="auto"/>
        </w:rPr>
        <w:t>The following table presents the components of our condensed consolidated statements of operations as a percentage of total revenue for the periods presented:</w:t>
      </w:r>
    </w:p>
    <w:p>
      <w:pPr>
        <w:spacing w:after="0" w:line="2"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23495</wp:posOffset>
            </wp:positionV>
            <wp:extent cx="17830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r>
      <w:tr>
        <w:trPr>
          <w:trHeight w:val="196"/>
        </w:trPr>
        <w:tc>
          <w:tcPr>
            <w:tcW w:w="92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r>
      <w:tr>
        <w:trPr>
          <w:trHeight w:val="256"/>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r>
      <w:tr>
        <w:trPr>
          <w:trHeight w:val="243"/>
        </w:trPr>
        <w:tc>
          <w:tcPr>
            <w:tcW w:w="9260" w:type="dxa"/>
            <w:vAlign w:val="bottom"/>
            <w:gridSpan w:val="2"/>
          </w:tcPr>
          <w:p>
            <w:pPr>
              <w:ind w:left="120"/>
              <w:spacing w:after="0"/>
              <w:rPr>
                <w:sz w:val="20"/>
                <w:szCs w:val="20"/>
                <w:color w:val="auto"/>
              </w:rPr>
            </w:pPr>
            <w:r>
              <w:rPr>
                <w:rFonts w:ascii="Arial" w:cs="Arial" w:eastAsia="Arial" w:hAnsi="Arial"/>
                <w:sz w:val="18"/>
                <w:szCs w:val="18"/>
                <w:color w:val="auto"/>
              </w:rPr>
              <w:t>Subscription</w:t>
            </w:r>
          </w:p>
        </w:tc>
        <w:tc>
          <w:tcPr>
            <w:tcW w:w="320" w:type="dxa"/>
            <w:vAlign w:val="bottom"/>
          </w:tcPr>
          <w:p>
            <w:pPr>
              <w:jc w:val="right"/>
              <w:spacing w:after="0"/>
              <w:rPr>
                <w:sz w:val="20"/>
                <w:szCs w:val="20"/>
                <w:color w:val="auto"/>
              </w:rPr>
            </w:pPr>
            <w:r>
              <w:rPr>
                <w:rFonts w:ascii="Arial" w:cs="Arial" w:eastAsia="Arial" w:hAnsi="Arial"/>
                <w:sz w:val="18"/>
                <w:szCs w:val="18"/>
                <w:color w:val="auto"/>
              </w:rPr>
              <w:t>91</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9260" w:type="dxa"/>
            <w:vAlign w:val="bottom"/>
            <w:gridSpan w:val="2"/>
          </w:tcPr>
          <w:p>
            <w:pPr>
              <w:ind w:left="220"/>
              <w:spacing w:after="0"/>
              <w:rPr>
                <w:sz w:val="20"/>
                <w:szCs w:val="20"/>
                <w:color w:val="auto"/>
              </w:rPr>
            </w:pPr>
            <w:r>
              <w:rPr>
                <w:rFonts w:ascii="Arial" w:cs="Arial" w:eastAsia="Arial" w:hAnsi="Arial"/>
                <w:sz w:val="18"/>
                <w:szCs w:val="18"/>
                <w:color w:val="auto"/>
              </w:rPr>
              <w:t>Total revenue</w:t>
            </w:r>
          </w:p>
        </w:tc>
        <w:tc>
          <w:tcPr>
            <w:tcW w:w="840" w:type="dxa"/>
            <w:vAlign w:val="bottom"/>
            <w:gridSpan w:val="2"/>
          </w:tcPr>
          <w:p>
            <w:pPr>
              <w:jc w:val="right"/>
              <w:ind w:right="250"/>
              <w:spacing w:after="0"/>
              <w:rPr>
                <w:sz w:val="20"/>
                <w:szCs w:val="20"/>
                <w:color w:val="auto"/>
              </w:rPr>
            </w:pPr>
            <w:r>
              <w:rPr>
                <w:rFonts w:ascii="Arial" w:cs="Arial" w:eastAsia="Arial" w:hAnsi="Arial"/>
                <w:sz w:val="18"/>
                <w:szCs w:val="18"/>
                <w:color w:val="auto"/>
                <w:w w:val="93"/>
              </w:rPr>
              <w:t>100 %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gridSpan w:val="2"/>
          </w:tcPr>
          <w:p>
            <w:pPr>
              <w:ind w:left="120"/>
              <w:spacing w:after="0"/>
              <w:rPr>
                <w:sz w:val="20"/>
                <w:szCs w:val="20"/>
                <w:color w:val="auto"/>
              </w:rPr>
            </w:pPr>
            <w:r>
              <w:rPr>
                <w:rFonts w:ascii="Arial" w:cs="Arial" w:eastAsia="Arial" w:hAnsi="Arial"/>
                <w:sz w:val="18"/>
                <w:szCs w:val="18"/>
                <w:color w:val="auto"/>
              </w:rPr>
              <w:t>Subscription</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9260" w:type="dxa"/>
            <w:vAlign w:val="bottom"/>
            <w:gridSpan w:val="2"/>
          </w:tcPr>
          <w:p>
            <w:pPr>
              <w:ind w:left="220"/>
              <w:spacing w:after="0"/>
              <w:rPr>
                <w:sz w:val="20"/>
                <w:szCs w:val="20"/>
                <w:color w:val="auto"/>
              </w:rPr>
            </w:pPr>
            <w:r>
              <w:rPr>
                <w:rFonts w:ascii="Arial" w:cs="Arial" w:eastAsia="Arial" w:hAnsi="Arial"/>
                <w:sz w:val="18"/>
                <w:szCs w:val="18"/>
                <w:color w:val="auto"/>
              </w:rPr>
              <w:t>Total cost of revenue</w:t>
            </w: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92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926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840" w:type="dxa"/>
            <w:vAlign w:val="bottom"/>
            <w:gridSpan w:val="2"/>
          </w:tcPr>
          <w:p>
            <w:pPr>
              <w:jc w:val="right"/>
              <w:ind w:right="250"/>
              <w:spacing w:after="0"/>
              <w:rPr>
                <w:sz w:val="20"/>
                <w:szCs w:val="20"/>
                <w:color w:val="auto"/>
              </w:rPr>
            </w:pPr>
            <w:r>
              <w:rPr>
                <w:rFonts w:ascii="Arial" w:cs="Arial" w:eastAsia="Arial" w:hAnsi="Arial"/>
                <w:sz w:val="18"/>
                <w:szCs w:val="18"/>
                <w:color w:val="auto"/>
              </w:rPr>
              <w:t>23 %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926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jc w:val="right"/>
              <w:spacing w:after="0"/>
              <w:rPr>
                <w:sz w:val="20"/>
                <w:szCs w:val="20"/>
                <w:color w:val="auto"/>
              </w:rPr>
            </w:pPr>
            <w:r>
              <w:rPr>
                <w:rFonts w:ascii="Arial" w:cs="Arial" w:eastAsia="Arial" w:hAnsi="Arial"/>
                <w:sz w:val="18"/>
                <w:szCs w:val="18"/>
                <w:color w:val="auto"/>
              </w:rPr>
              <w:t>86</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84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(13)%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926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840" w:type="dxa"/>
            <w:vAlign w:val="bottom"/>
            <w:gridSpan w:val="2"/>
          </w:tcPr>
          <w:p>
            <w:pPr>
              <w:jc w:val="right"/>
              <w:ind w:right="25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84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9260" w:type="dxa"/>
            <w:vAlign w:val="bottom"/>
            <w:gridSpan w:val="2"/>
          </w:tcPr>
          <w:p>
            <w:pPr>
              <w:ind w:left="20"/>
              <w:spacing w:after="0"/>
              <w:rPr>
                <w:sz w:val="20"/>
                <w:szCs w:val="20"/>
                <w:color w:val="auto"/>
              </w:rPr>
            </w:pPr>
            <w:r>
              <w:rPr>
                <w:rFonts w:ascii="Arial" w:cs="Arial" w:eastAsia="Arial" w:hAnsi="Arial"/>
                <w:sz w:val="18"/>
                <w:szCs w:val="18"/>
                <w:color w:val="auto"/>
              </w:rPr>
              <w:t>Loss before provision for income taxes</w:t>
            </w:r>
          </w:p>
        </w:tc>
        <w:tc>
          <w:tcPr>
            <w:tcW w:w="840" w:type="dxa"/>
            <w:vAlign w:val="bottom"/>
            <w:gridSpan w:val="2"/>
          </w:tcPr>
          <w:p>
            <w:pPr>
              <w:jc w:val="right"/>
              <w:ind w:right="250"/>
              <w:spacing w:after="0"/>
              <w:rPr>
                <w:sz w:val="20"/>
                <w:szCs w:val="20"/>
                <w:color w:val="auto"/>
              </w:rPr>
            </w:pPr>
            <w:r>
              <w:rPr>
                <w:rFonts w:ascii="Arial" w:cs="Arial" w:eastAsia="Arial" w:hAnsi="Arial"/>
                <w:sz w:val="18"/>
                <w:szCs w:val="18"/>
                <w:color w:val="auto"/>
                <w:w w:val="99"/>
              </w:rPr>
              <w:t>(10)%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Provision for income taxes</w:t>
            </w:r>
          </w:p>
        </w:tc>
        <w:tc>
          <w:tcPr>
            <w:tcW w:w="84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92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840" w:type="dxa"/>
            <w:vAlign w:val="bottom"/>
            <w:gridSpan w:val="2"/>
          </w:tcPr>
          <w:p>
            <w:pPr>
              <w:jc w:val="right"/>
              <w:ind w:right="250"/>
              <w:spacing w:after="0"/>
              <w:rPr>
                <w:sz w:val="20"/>
                <w:szCs w:val="20"/>
                <w:color w:val="auto"/>
              </w:rPr>
            </w:pPr>
            <w:r>
              <w:rPr>
                <w:rFonts w:ascii="Arial" w:cs="Arial" w:eastAsia="Arial" w:hAnsi="Arial"/>
                <w:sz w:val="18"/>
                <w:szCs w:val="18"/>
                <w:color w:val="auto"/>
                <w:w w:val="99"/>
              </w:rPr>
              <w:t>(11)%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April 30, 2020 and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360" w:firstLine="648"/>
        <w:spacing w:after="0" w:line="276" w:lineRule="auto"/>
        <w:rPr>
          <w:sz w:val="20"/>
          <w:szCs w:val="20"/>
          <w:color w:val="auto"/>
        </w:rPr>
      </w:pPr>
      <w:r>
        <w:rPr>
          <w:rFonts w:ascii="Arial" w:cs="Arial" w:eastAsia="Arial" w:hAnsi="Arial"/>
          <w:sz w:val="18"/>
          <w:szCs w:val="18"/>
          <w:color w:val="auto"/>
        </w:rPr>
        <w:t>The following shows total revenue from subscriptions and professional services for the three months ended April 30, 2020 as compared to the three months ended April 30, 2019: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April 30,</w:t>
            </w:r>
          </w:p>
        </w:tc>
        <w:tc>
          <w:tcPr>
            <w:tcW w:w="24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jc w:val="right"/>
              <w:ind w:right="157"/>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r>
      <w:tr>
        <w:trPr>
          <w:trHeight w:val="196"/>
        </w:trPr>
        <w:tc>
          <w:tcPr>
            <w:tcW w:w="57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r>
      <w:tr>
        <w:trPr>
          <w:trHeight w:val="196"/>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162,222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85,990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76,232</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8"/>
                <w:szCs w:val="18"/>
                <w:color w:val="auto"/>
              </w:rPr>
              <w:t>15,856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10,087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5,769</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8"/>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178,078</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96,077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82,001</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Total revenue increased by $82.0 million, or 85%, for the three months ended April 30, 2020, compared to the three months ended April 30, 2019. Subscription revenue accounted for 91% of our total revenue for the three months ended April 30, 2020, and 90% of our total revenue for the three months ended April 30, 2019. Professional services revenue accounted for 9% of our total revenue for the three months ended April 30, 2020, and 10% of our total revenue for the three months ended April 30, 2019.</w:t>
      </w:r>
    </w:p>
    <w:p>
      <w:pPr>
        <w:spacing w:after="0" w:line="187"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Subscription revenue increased by $76.2 million, or 89%, for the three months ended April 30, 2020, compared to the three months ended April 30, 2019. This increase was primarily attributable to the addition of new subscription customers, as we increased our customer base by 105% from 3,059 subscription customers as of April 30, 2019 to 6,261 subscription customers as of April 30, 2020. Subscription revenue from new customers, subscription revenue from the renewal of existing customers, and subscription revenue from the sale of additional endpoints and additional modules to existing customers accounted for 33%, 35%, and 32% of total subscription revenue for the three months ended April 30, 2020, respectively. Subscription revenue from new customers, subscription revenue from the renewal of existing customers, and subscription revenue from the sale of additional endpoints and additional modules to existing customers accounted for 43%, 31%, and 26% of total subscription revenue for the three months ended April 30, 2019, respectively.</w:t>
      </w:r>
    </w:p>
    <w:p>
      <w:pPr>
        <w:spacing w:after="0" w:line="19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Professional services revenue increased by $5.8 million, or 57%, for the three months ended April 30, 2020, compared to the three months ended April 30, 2019, and was primarily attributable to an increase in the number of professional service hours performed.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8"/>
          <w:szCs w:val="18"/>
          <w:color w:val="auto"/>
        </w:rPr>
        <w:t>The following shows cost of revenue related to subscriptions and professional services for the three months ended April 30, 2020 as compared to the three months ended April 30, 2019: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April 30,</w:t>
            </w:r>
          </w:p>
        </w:tc>
        <w:tc>
          <w:tcPr>
            <w:tcW w:w="24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jc w:val="right"/>
              <w:ind w:right="157"/>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r>
      <w:tr>
        <w:trPr>
          <w:trHeight w:val="196"/>
        </w:trPr>
        <w:tc>
          <w:tcPr>
            <w:tcW w:w="57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r>
      <w:tr>
        <w:trPr>
          <w:trHeight w:val="196"/>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37,244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23,691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13,553</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8"/>
                <w:szCs w:val="18"/>
                <w:color w:val="auto"/>
              </w:rPr>
              <w:t>9,651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5,582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4,069</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9"/>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46,895</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29,273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17,622</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cost of revenue increased by $17.6 million, or 60%, for the three months ended April 30, 2020,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April 30, 2019. Subscription cost of revenue increased by $13.6 million, or 57%, for the three months ended April 30, 2020, compared to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April 30, 2019. The increase in subscription cost of revenue was primarily due to an increase in employee-related expenses of $5.3 million driven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90% increase in average headcount, an increase in cloud hosting and related services of $3.3 million driven by increased customer activity, an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of $1.7 million, an increase in depreciation of data center equipment of $1.4 million, and an increase in allocated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overhead costs of $1.2 million.</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Professional services cost of revenue increased by $4.1 million, or 73%, for the three months ended April 30, 2020, compared to the three months ended April 30, 2019. The increase in professional services cost of revenue was primarily due to an increase in employee-related expenses of $2.5 million driven by an increase in average headcount of 54%, an increase in stock-based compensation expense of $0.9 million, and an increase in allocated overhead costs of $0.4 million.</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40" w:firstLine="648"/>
        <w:spacing w:after="0" w:line="276" w:lineRule="auto"/>
        <w:rPr>
          <w:sz w:val="20"/>
          <w:szCs w:val="20"/>
          <w:color w:val="auto"/>
        </w:rPr>
      </w:pPr>
      <w:r>
        <w:rPr>
          <w:rFonts w:ascii="Arial" w:cs="Arial" w:eastAsia="Arial" w:hAnsi="Arial"/>
          <w:sz w:val="18"/>
          <w:szCs w:val="18"/>
          <w:color w:val="auto"/>
        </w:rPr>
        <w:t>The following shows gross profit and gross margin for subscriptions and professional services for the three months ended April 30, 2020 as compared to the three months ended April 30, 2019: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6"/>
              </w:rPr>
              <w:t>Three Months Ended April 30,</w:t>
            </w:r>
          </w:p>
        </w:tc>
        <w:tc>
          <w:tcPr>
            <w:tcW w:w="260" w:type="dxa"/>
            <w:vAlign w:val="bottom"/>
          </w:tcPr>
          <w:p>
            <w:pPr>
              <w:spacing w:after="0"/>
              <w:rPr>
                <w:sz w:val="16"/>
                <w:szCs w:val="16"/>
                <w:color w:val="auto"/>
              </w:rPr>
            </w:pPr>
          </w:p>
        </w:tc>
        <w:tc>
          <w:tcPr>
            <w:tcW w:w="1120" w:type="dxa"/>
            <w:vAlign w:val="bottom"/>
            <w:gridSpan w:val="4"/>
          </w:tcPr>
          <w:p>
            <w:pPr>
              <w:ind w:left="140"/>
              <w:spacing w:after="0"/>
              <w:rPr>
                <w:sz w:val="20"/>
                <w:szCs w:val="20"/>
                <w:color w:val="auto"/>
              </w:rPr>
            </w:pPr>
            <w:r>
              <w:rPr>
                <w:rFonts w:ascii="Arial" w:cs="Arial" w:eastAsia="Arial" w:hAnsi="Arial"/>
                <w:sz w:val="14"/>
                <w:szCs w:val="14"/>
                <w:b w:val="1"/>
                <w:bCs w:val="1"/>
                <w:color w:val="auto"/>
              </w:rPr>
              <w:t>Change</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Change</w:t>
            </w:r>
          </w:p>
        </w:tc>
      </w:tr>
      <w:tr>
        <w:trPr>
          <w:trHeight w:val="196"/>
        </w:trPr>
        <w:tc>
          <w:tcPr>
            <w:tcW w:w="57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7"/>
                <w:szCs w:val="17"/>
                <w:color w:val="auto"/>
              </w:rPr>
            </w:pPr>
          </w:p>
        </w:tc>
      </w:tr>
      <w:tr>
        <w:trPr>
          <w:trHeight w:val="196"/>
        </w:trPr>
        <w:tc>
          <w:tcPr>
            <w:tcW w:w="5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6"/>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gross profit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124,978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62,299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62,679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101 %</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Professional services gross profit</w:t>
            </w:r>
          </w:p>
        </w:tc>
        <w:tc>
          <w:tcPr>
            <w:tcW w:w="2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6,205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1,700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38 %</w:t>
            </w:r>
          </w:p>
        </w:tc>
      </w:tr>
      <w:tr>
        <w:trPr>
          <w:trHeight w:val="27"/>
        </w:trPr>
        <w:tc>
          <w:tcPr>
            <w:tcW w:w="5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9"/>
        </w:trPr>
        <w:tc>
          <w:tcPr>
            <w:tcW w:w="5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gross profit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131,183</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66,804</w:t>
            </w: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64,379</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96 %</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656"/>
        </w:trPr>
        <w:tc>
          <w:tcPr>
            <w:tcW w:w="5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9"/>
          </w:tcPr>
          <w:p>
            <w:pPr>
              <w:ind w:left="100"/>
              <w:spacing w:after="0"/>
              <w:rPr>
                <w:sz w:val="20"/>
                <w:szCs w:val="20"/>
                <w:color w:val="auto"/>
              </w:rPr>
            </w:pPr>
            <w:r>
              <w:rPr>
                <w:rFonts w:ascii="Arial" w:cs="Arial" w:eastAsia="Arial" w:hAnsi="Arial"/>
                <w:sz w:val="14"/>
                <w:szCs w:val="14"/>
                <w:b w:val="1"/>
                <w:bCs w:val="1"/>
                <w:color w:val="auto"/>
              </w:rPr>
              <w:t>Three Months Ended April 30,</w:t>
            </w: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Change</w:t>
            </w:r>
          </w:p>
        </w:tc>
      </w:tr>
      <w:tr>
        <w:trPr>
          <w:trHeight w:val="196"/>
        </w:trPr>
        <w:tc>
          <w:tcPr>
            <w:tcW w:w="57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r>
      <w:tr>
        <w:trPr>
          <w:trHeight w:val="249"/>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gross margin</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0" w:type="dxa"/>
            <w:vAlign w:val="bottom"/>
          </w:tcPr>
          <w:p>
            <w:pPr>
              <w:spacing w:after="0"/>
              <w:rPr>
                <w:sz w:val="21"/>
                <w:szCs w:val="2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Professional services gross margin</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45 %</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5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gross margin</w:t>
            </w:r>
          </w:p>
        </w:tc>
        <w:tc>
          <w:tcPr>
            <w:tcW w:w="2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24"/>
                <w:szCs w:val="24"/>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Subscription gross margin increased by five percentage points for the three months ended April 30, 2020, compared to the three months ended April 30, 2019. This increase was a result of continuing to shift more of our operations from third-party cloud service providers to colocation data centers, renegotiating the terms of a third-party cloud service provider contract, and lower than typical travel given COVID-19 travel restrictions. This increase in gross margin was also due to the continued expansion of module adoption by our customer base. As of April 30, 2020, over half of our customer base had adopted four or more modules and over one-third of our customer base had adopted five or more modules. Our “collect once, reuse many” data strategy means that after the first module is paid for and covers the cost of data storage and most computational costs, each additional subscription module carries a higher margin. We expect gross margin to fluctuate quarter to quarter given the timing of turning on new cloud data centers in new geographies to accommodate increased activity and demand. Professional services gross margin decreased by six percentage points for the three months ended April 30, 2020, compared to the three months ended April 30, 2019. The decrease in professional services gross margin was due to a decrease in utilization during the three months ended April 30, 2020 compared to the three months ended April 30, 2019.</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shows sales and marketing expenses for the three months ended April 30, 2020 as compared to the three months ended April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4"/>
                <w:szCs w:val="14"/>
                <w:b w:val="1"/>
                <w:bCs w:val="1"/>
                <w:color w:val="auto"/>
                <w:w w:val="96"/>
              </w:rPr>
              <w:t>Three Months Ended April 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196"/>
        </w:trPr>
        <w:tc>
          <w:tcPr>
            <w:tcW w:w="5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w:t>
            </w:r>
          </w:p>
        </w:tc>
      </w:tr>
      <w:tr>
        <w:trPr>
          <w:trHeight w:val="196"/>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center"/>
              <w:ind w:left="524"/>
              <w:spacing w:after="0"/>
              <w:rPr>
                <w:sz w:val="20"/>
                <w:szCs w:val="20"/>
                <w:color w:val="auto"/>
              </w:rPr>
            </w:pPr>
            <w:r>
              <w:rPr>
                <w:rFonts w:ascii="Arial" w:cs="Arial" w:eastAsia="Arial" w:hAnsi="Arial"/>
                <w:sz w:val="14"/>
                <w:szCs w:val="14"/>
                <w:b w:val="1"/>
                <w:bCs w:val="1"/>
                <w:color w:val="auto"/>
                <w:w w:val="89"/>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4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88,138</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56,843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31,295</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7"/>
        </w:trPr>
        <w:tc>
          <w:tcPr>
            <w:tcW w:w="5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Sales and marketing expenses increased by $31.3 million, or 55%, for the three months ended April 30, 2020, compared to the three months ended April 30, 2019. The increase in sales and marketing expenses was primarily due to an increase in employee-related expenses of $16.9 million driven by an increase in sales and marketing average headcount of 45%, an increase in stock-based compensation of $7.2 million, an increase in marketing programs of $2.7 million, an increase in company events of $2.3 million, and an increase in allocated overhead costs of $2.0 million, partially offset by a $1.5 million decrease in travel-related costs due to the fact that, as a result of the COVID-19 pandemic, all of our workforce was working from home and not traveling for business purposes for the majority of the quarter.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shows research and development expenses for the three months ended April 30, 2020 as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30, 2019:</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4"/>
                <w:szCs w:val="14"/>
                <w:b w:val="1"/>
                <w:bCs w:val="1"/>
                <w:color w:val="auto"/>
                <w:w w:val="96"/>
              </w:rPr>
              <w:t>Three Months Ended April 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196"/>
        </w:trPr>
        <w:tc>
          <w:tcPr>
            <w:tcW w:w="5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w:t>
            </w:r>
          </w:p>
        </w:tc>
      </w:tr>
      <w:tr>
        <w:trPr>
          <w:trHeight w:val="196"/>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center"/>
              <w:ind w:left="524"/>
              <w:spacing w:after="0"/>
              <w:rPr>
                <w:sz w:val="20"/>
                <w:szCs w:val="20"/>
                <w:color w:val="auto"/>
              </w:rPr>
            </w:pPr>
            <w:r>
              <w:rPr>
                <w:rFonts w:ascii="Arial" w:cs="Arial" w:eastAsia="Arial" w:hAnsi="Arial"/>
                <w:sz w:val="14"/>
                <w:szCs w:val="14"/>
                <w:b w:val="1"/>
                <w:bCs w:val="1"/>
                <w:color w:val="auto"/>
                <w:w w:val="89"/>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4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40,578</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23,875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16,703</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7"/>
        </w:trPr>
        <w:tc>
          <w:tcPr>
            <w:tcW w:w="5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expenses increased by $16.7 million, or 70%, for the three months ended April 30, 2020, compared to the three months ended April 30, 2019. This increase was primarily due to an increase in employee-related expenses of $8.2 million driven by an increase in research and development average headcount of 50%. In addition, there was an increase in stock-based compensation of $4.2 million, an increase in cloud hosting and related costs of $1.7 million, and an increase in allocated overhead costs of $1.3 million.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shows general and administrative expenses for the three months ended April 30, 2020 as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30, 2019: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4"/>
                <w:szCs w:val="14"/>
                <w:b w:val="1"/>
                <w:bCs w:val="1"/>
                <w:color w:val="auto"/>
                <w:w w:val="96"/>
              </w:rPr>
              <w:t>Three Months Ended April 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196"/>
        </w:trPr>
        <w:tc>
          <w:tcPr>
            <w:tcW w:w="5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w:t>
            </w:r>
          </w:p>
        </w:tc>
      </w:tr>
      <w:tr>
        <w:trPr>
          <w:trHeight w:val="196"/>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center"/>
              <w:ind w:left="524"/>
              <w:spacing w:after="0"/>
              <w:rPr>
                <w:sz w:val="20"/>
                <w:szCs w:val="20"/>
                <w:color w:val="auto"/>
              </w:rPr>
            </w:pPr>
            <w:r>
              <w:rPr>
                <w:rFonts w:ascii="Arial" w:cs="Arial" w:eastAsia="Arial" w:hAnsi="Arial"/>
                <w:sz w:val="14"/>
                <w:szCs w:val="14"/>
                <w:b w:val="1"/>
                <w:bCs w:val="1"/>
                <w:color w:val="auto"/>
                <w:w w:val="89"/>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4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25,043</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11,861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13,182</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r>
      <w:tr>
        <w:trPr>
          <w:trHeight w:val="27"/>
        </w:trPr>
        <w:tc>
          <w:tcPr>
            <w:tcW w:w="5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General and administrative expenses increased by $13.2 million, or 111%, for the three months ended April 30, 2020, compared to the three months ended April 30, 2019. The increase in general and administrative expenses was primarily due an increase in stock-based compensation expense of $6.1 million. In addition, there was an increase in employee-related expenses of $3.1 million driven by an increase in general and administrative average headcount of 74%, an increase in corporate insurance expense of $1.3 million, an increase in legal expenses of $0.9 million, and an increase in overhead costs of $0.6 million.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 and Other Income,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shows Interest expense and Other income, net, for the three months ended April 30, 2020 as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30, 2019:</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Three Months Ended April 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116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r>
      <w:tr>
        <w:trPr>
          <w:trHeight w:val="196"/>
        </w:trPr>
        <w:tc>
          <w:tcPr>
            <w:tcW w:w="5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r>
      <w:tr>
        <w:trPr>
          <w:trHeight w:val="196"/>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(143)</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81"/>
              <w:spacing w:after="0"/>
              <w:rPr>
                <w:sz w:val="20"/>
                <w:szCs w:val="20"/>
                <w:color w:val="auto"/>
              </w:rPr>
            </w:pPr>
            <w:r>
              <w:rPr>
                <w:rFonts w:ascii="Arial" w:cs="Arial" w:eastAsia="Arial" w:hAnsi="Arial"/>
                <w:sz w:val="18"/>
                <w:szCs w:val="18"/>
                <w:color w:val="auto"/>
              </w:rPr>
              <w:t>4,533</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394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9"/>
              <w:spacing w:after="0"/>
              <w:rPr>
                <w:sz w:val="20"/>
                <w:szCs w:val="20"/>
                <w:color w:val="auto"/>
              </w:rPr>
            </w:pPr>
            <w:r>
              <w:rPr>
                <w:rFonts w:ascii="Arial" w:cs="Arial" w:eastAsia="Arial" w:hAnsi="Arial"/>
                <w:sz w:val="18"/>
                <w:szCs w:val="18"/>
                <w:color w:val="auto"/>
              </w:rPr>
              <w:t>4,139</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Other income, net, increased by $4.1 million, for the three months ended April 30, 2020, compared to the three months ended April 30, 2019. This increase was driven primarily by an increase in interest income of $2.1 million, a realized gain on the sale of marketable securities of $1.3 million, as a result of liquidating our portfolio of marketable securities in response to the economic uncertainty surrounding the COVID-19 pandemic, and a decrease in expense related to the fair value of the redeemable convertible preferred stock warrants of $1.2 million.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shows the provision for income taxes for the three months ended April 30, 2020 as compared to the three months ended April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4"/>
                <w:szCs w:val="14"/>
                <w:b w:val="1"/>
                <w:bCs w:val="1"/>
                <w:color w:val="auto"/>
                <w:w w:val="96"/>
              </w:rPr>
              <w:t>Three Months Ended April 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196"/>
        </w:trPr>
        <w:tc>
          <w:tcPr>
            <w:tcW w:w="5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w:t>
            </w:r>
          </w:p>
        </w:tc>
      </w:tr>
      <w:tr>
        <w:trPr>
          <w:trHeight w:val="196"/>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center"/>
              <w:ind w:left="524"/>
              <w:spacing w:after="0"/>
              <w:rPr>
                <w:sz w:val="20"/>
                <w:szCs w:val="20"/>
                <w:color w:val="auto"/>
              </w:rPr>
            </w:pPr>
            <w:r>
              <w:rPr>
                <w:rFonts w:ascii="Arial" w:cs="Arial" w:eastAsia="Arial" w:hAnsi="Arial"/>
                <w:sz w:val="14"/>
                <w:szCs w:val="14"/>
                <w:b w:val="1"/>
                <w:bCs w:val="1"/>
                <w:color w:val="auto"/>
                <w:w w:val="89"/>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4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(1,036)</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(595)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7"/>
        </w:trPr>
        <w:tc>
          <w:tcPr>
            <w:tcW w:w="5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increase in the provision for income taxes of $0.4 million during the three months ended April 30, 2020 compared to the three months ended April 30, 2019 was primarily due to income tax expense related to the realized gain on the sale of marketable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addition to our results determined in accordance with U.S. generally accepted accounting principles, or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particular, free cash flow is not a substitute for cash used in operating activities. Additionally, the utility of free cash flow as a measure of our financial performance and liquidity is further limited as it does not represent the total increase or decrease in our cash balance for a given period.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16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believe that these non-GAAP financial measures as presented in the tables below, when taken together with the corresponding GAAP financial measures, provide meaningful supplemental information regarding our performance by excluding certain items that may not be indicative of our business, results of operations, or outlook.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Non-GAAP Subscription Gross Profit and Non-GAAP Subscription Gross Margin</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define non-GAAP subscription gross profit and non-GAAP subscription gross margin as GAAP subscription gross profit and GAAP subscription gross margin, respectively, excluding stock-based compensation expense and amortization of acquired intangible assets. We believe non-GAAP subscription gross profit and non-GAAP subscription gross margin provide our management and investors consistency and comparability with our past financial performance and facilitate period-to-period comparisons of operations, as these measures eliminate the effects of certain variables unrelated to our overall operating performance.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a reconciliation of our non-GAAP subscription gross profit to our GAAP subscription gross profit and of our non-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subscription gross margin to our GAAP subscription gross margin as of the periods presented: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Three Months Ended April 30,</w:t>
            </w:r>
          </w:p>
        </w:tc>
        <w:tc>
          <w:tcPr>
            <w:tcW w:w="200" w:type="dxa"/>
            <w:vAlign w:val="bottom"/>
            <w:tcBorders>
              <w:bottom w:val="single" w:sz="8" w:color="auto"/>
            </w:tcBorders>
          </w:tcPr>
          <w:p>
            <w:pPr>
              <w:spacing w:after="0"/>
              <w:rPr>
                <w:sz w:val="16"/>
                <w:szCs w:val="16"/>
                <w:color w:val="auto"/>
              </w:rPr>
            </w:pPr>
          </w:p>
        </w:tc>
      </w:tr>
      <w:tr>
        <w:trPr>
          <w:trHeight w:val="196"/>
        </w:trPr>
        <w:tc>
          <w:tcPr>
            <w:tcW w:w="45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196"/>
        </w:trPr>
        <w:tc>
          <w:tcPr>
            <w:tcW w:w="45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r>
      <w:tr>
        <w:trPr>
          <w:trHeight w:val="256"/>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subscription revenue</w:t>
            </w:r>
          </w:p>
        </w:tc>
        <w:tc>
          <w:tcPr>
            <w:tcW w:w="4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162,222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85,990</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56"/>
        </w:trPr>
        <w:tc>
          <w:tcPr>
            <w:tcW w:w="456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subscription gross profit</w:t>
            </w:r>
          </w:p>
        </w:tc>
        <w:tc>
          <w:tcPr>
            <w:tcW w:w="4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124,978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62,299</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120"/>
              <w:spacing w:after="0"/>
              <w:rPr>
                <w:sz w:val="20"/>
                <w:szCs w:val="20"/>
                <w:color w:val="auto"/>
              </w:rPr>
            </w:pPr>
            <w:r>
              <w:rPr>
                <w:rFonts w:ascii="Arial" w:cs="Arial" w:eastAsia="Arial" w:hAnsi="Arial"/>
                <w:sz w:val="18"/>
                <w:szCs w:val="18"/>
                <w:color w:val="auto"/>
              </w:rPr>
              <w:t>Add: Stock-based compensation expense</w:t>
            </w:r>
          </w:p>
        </w:tc>
        <w:tc>
          <w:tcPr>
            <w:tcW w:w="3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1,995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Amortization of acquired intangible assets</w:t>
            </w:r>
          </w:p>
        </w:tc>
        <w:tc>
          <w:tcPr>
            <w:tcW w:w="38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4560" w:type="dxa"/>
            <w:vAlign w:val="bottom"/>
          </w:tcPr>
          <w:p>
            <w:pPr>
              <w:ind w:left="20"/>
              <w:spacing w:after="0"/>
              <w:rPr>
                <w:sz w:val="20"/>
                <w:szCs w:val="20"/>
                <w:color w:val="auto"/>
              </w:rPr>
            </w:pPr>
            <w:r>
              <w:rPr>
                <w:rFonts w:ascii="Arial" w:cs="Arial" w:eastAsia="Arial" w:hAnsi="Arial"/>
                <w:sz w:val="18"/>
                <w:szCs w:val="18"/>
                <w:color w:val="auto"/>
              </w:rPr>
              <w:t>Non-GAAP subscription gross profit</w:t>
            </w:r>
          </w:p>
        </w:tc>
        <w:tc>
          <w:tcPr>
            <w:tcW w:w="38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8"/>
                <w:szCs w:val="18"/>
                <w:color w:val="auto"/>
              </w:rPr>
              <w:t>127,035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62,668</w:t>
            </w:r>
          </w:p>
        </w:tc>
        <w:tc>
          <w:tcPr>
            <w:tcW w:w="200" w:type="dxa"/>
            <w:vAlign w:val="bottom"/>
            <w:tcBorders>
              <w:top w:val="single" w:sz="8" w:color="auto"/>
              <w:bottom w:val="single" w:sz="8" w:color="auto"/>
            </w:tcBorders>
          </w:tcPr>
          <w:p>
            <w:pPr>
              <w:spacing w:after="0"/>
              <w:rPr>
                <w:sz w:val="22"/>
                <w:szCs w:val="22"/>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456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GAAP subscription gross margin</w:t>
            </w:r>
          </w:p>
        </w:tc>
        <w:tc>
          <w:tcPr>
            <w:tcW w:w="3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5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r>
      <w:tr>
        <w:trPr>
          <w:trHeight w:val="256"/>
        </w:trPr>
        <w:tc>
          <w:tcPr>
            <w:tcW w:w="4560" w:type="dxa"/>
            <w:vAlign w:val="bottom"/>
            <w:shd w:val="clear" w:color="auto" w:fill="CCEEFF"/>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spacing w:after="0"/>
              <w:rPr>
                <w:sz w:val="22"/>
                <w:szCs w:val="22"/>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Non-GAAP subscription gross margin</w:t>
            </w:r>
          </w:p>
        </w:tc>
        <w:tc>
          <w:tcPr>
            <w:tcW w:w="3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73 %</w:t>
            </w:r>
          </w:p>
        </w:tc>
      </w:tr>
      <w:tr>
        <w:trPr>
          <w:trHeight w:val="945"/>
        </w:trPr>
        <w:tc>
          <w:tcPr>
            <w:tcW w:w="4560" w:type="dxa"/>
            <w:vAlign w:val="bottom"/>
          </w:tcPr>
          <w:p>
            <w:pPr>
              <w:spacing w:after="0"/>
              <w:rPr>
                <w:sz w:val="24"/>
                <w:szCs w:val="24"/>
                <w:color w:val="auto"/>
              </w:rPr>
            </w:pPr>
          </w:p>
        </w:tc>
        <w:tc>
          <w:tcPr>
            <w:tcW w:w="3840" w:type="dxa"/>
            <w:vAlign w:val="bottom"/>
          </w:tcPr>
          <w:p>
            <w:pPr>
              <w:jc w:val="right"/>
              <w:ind w:right="259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Non-GAAP Income (Loss) from Operations and Non-GAAP Operating Margin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define non-GAAP income (loss) from operations and non-GAAP operating margin as GAAP loss from operations and GAAP operating margin, respectively, excluding stock-based compensation expense, amortization of acquired intangible assets, and acquisition-related expenses. We believe non-GAAP income (loss) from operations and non-GAAP operating margin provide our management and investors consistency and comparability with our past financial performance and facilitate period-to-period comparisons of operations, as these metrics generally eliminate the effects of certain variables unrelated to our overall operating performance.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a reconciliation of our non-GAAP income (loss) from operations to our GAAP loss from operations and our non-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operating margin to our GAAP operating margin as of the periods presented: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8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196"/>
        </w:trPr>
        <w:tc>
          <w:tcPr>
            <w:tcW w:w="8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(dollars in thousands)</w:t>
            </w:r>
          </w:p>
        </w:tc>
      </w:tr>
      <w:tr>
        <w:trPr>
          <w:trHeight w:val="25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178,078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96,077</w:t>
            </w:r>
          </w:p>
        </w:tc>
      </w:tr>
      <w:tr>
        <w:trPr>
          <w:trHeight w:val="257"/>
        </w:trPr>
        <w:tc>
          <w:tcPr>
            <w:tcW w:w="8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loss from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(22,576)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(25,775)</w:t>
            </w: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Add: Stock-based compensation expense</w:t>
            </w:r>
          </w:p>
        </w:tc>
        <w:tc>
          <w:tcPr>
            <w:tcW w:w="300" w:type="dxa"/>
            <w:vAlign w:val="bottom"/>
          </w:tcPr>
          <w:p>
            <w:pPr>
              <w:spacing w:after="0"/>
              <w:rPr>
                <w:sz w:val="21"/>
                <w:szCs w:val="21"/>
                <w:color w:val="auto"/>
              </w:rPr>
            </w:pP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23,638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3,752</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Amortization of acquired intangible assets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145</w:t>
            </w:r>
          </w:p>
        </w:tc>
      </w:tr>
      <w:tr>
        <w:trPr>
          <w:trHeight w:val="263"/>
        </w:trPr>
        <w:tc>
          <w:tcPr>
            <w:tcW w:w="8400" w:type="dxa"/>
            <w:vAlign w:val="bottom"/>
          </w:tcPr>
          <w:p>
            <w:pPr>
              <w:ind w:left="20"/>
              <w:spacing w:after="0"/>
              <w:rPr>
                <w:sz w:val="20"/>
                <w:szCs w:val="20"/>
                <w:color w:val="auto"/>
              </w:rPr>
            </w:pPr>
            <w:r>
              <w:rPr>
                <w:rFonts w:ascii="Arial" w:cs="Arial" w:eastAsia="Arial" w:hAnsi="Arial"/>
                <w:sz w:val="18"/>
                <w:szCs w:val="18"/>
                <w:color w:val="auto"/>
              </w:rPr>
              <w:t>Non-GAAP income (loss) from operations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(21,878)</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8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GAAP operating margin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84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Non-GAAP operating margin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Free Cash Flow and Free Cash Flow Margin</w:t>
      </w:r>
    </w:p>
    <w:p>
      <w:pPr>
        <w:spacing w:after="0" w:line="225"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Free cash flow is a non-GAAP financial measure that we define as net cash provided by (used in) operating activities less purchases of property and equipment and capitalized internal-use software. Free cash flow margin is calculated as free cash flow divided by total revenue. We believe that free cash flow and free cash flow margin are useful indicators of liquidity that provide useful information to management and investors about the amount of cash consumed by our operating activities that is therefore not available to be used for other strategic initiatives. One limitation of free cash flow and free cash flow margin is that they do not reflect our future contractual commitments. Additionally, free cash flow does not represent the total increase or decrease in our cash balance for a given period. In addition, other companies may calculate free cash flow differently or not at all, which reduces the usefulness of free cash flow as a tool for comparison.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reconciliation of free cash flow and free cash flow margin to net cash provided by (used in) operating activities: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8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196"/>
        </w:trPr>
        <w:tc>
          <w:tcPr>
            <w:tcW w:w="8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(dollars in thousands)</w:t>
            </w:r>
          </w:p>
        </w:tc>
      </w:tr>
      <w:tr>
        <w:trPr>
          <w:trHeight w:val="25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178,078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96,077</w:t>
            </w:r>
          </w:p>
        </w:tc>
      </w:tr>
      <w:tr>
        <w:trPr>
          <w:trHeight w:val="216"/>
        </w:trPr>
        <w:tc>
          <w:tcPr>
            <w:tcW w:w="8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98,577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1,415</w:t>
            </w: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Less: Purchases of property and equipment</w:t>
            </w:r>
          </w:p>
        </w:tc>
        <w:tc>
          <w:tcPr>
            <w:tcW w:w="3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(9,694)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(15,541)</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Less: Capitalized internal-use software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(1,882)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(1,984)</w:t>
            </w:r>
          </w:p>
        </w:tc>
      </w:tr>
      <w:tr>
        <w:trPr>
          <w:trHeight w:val="264"/>
        </w:trPr>
        <w:tc>
          <w:tcPr>
            <w:tcW w:w="840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8"/>
                <w:szCs w:val="18"/>
                <w:color w:val="auto"/>
              </w:rPr>
              <w:t>87,001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(16,110)</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8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634,711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4,138</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6,893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(882)</w:t>
            </w:r>
          </w:p>
        </w:tc>
      </w:tr>
      <w:tr>
        <w:trPr>
          <w:trHeight w:val="27"/>
        </w:trPr>
        <w:tc>
          <w:tcPr>
            <w:tcW w:w="8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 as a percentage of revenue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7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7480" w:type="dxa"/>
            <w:vAlign w:val="bottom"/>
          </w:tcPr>
          <w:p>
            <w:pPr>
              <w:ind w:left="120"/>
              <w:spacing w:after="0"/>
              <w:rPr>
                <w:sz w:val="20"/>
                <w:szCs w:val="20"/>
                <w:color w:val="auto"/>
              </w:rPr>
            </w:pPr>
            <w:r>
              <w:rPr>
                <w:rFonts w:ascii="Arial" w:cs="Arial" w:eastAsia="Arial" w:hAnsi="Arial"/>
                <w:sz w:val="18"/>
                <w:szCs w:val="18"/>
                <w:color w:val="auto"/>
              </w:rPr>
              <w:t>Less: Purchases of property and equipment as a percentage of revenue</w:t>
            </w:r>
          </w:p>
        </w:tc>
        <w:tc>
          <w:tcPr>
            <w:tcW w:w="2780" w:type="dxa"/>
            <w:vAlign w:val="bottom"/>
            <w:gridSpan w:val="2"/>
          </w:tcPr>
          <w:p>
            <w:pPr>
              <w:jc w:val="right"/>
              <w:ind w:right="410"/>
              <w:spacing w:after="0"/>
              <w:rPr>
                <w:sz w:val="20"/>
                <w:szCs w:val="20"/>
                <w:color w:val="auto"/>
              </w:rPr>
            </w:pPr>
            <w:r>
              <w:rPr>
                <w:rFonts w:ascii="Arial" w:cs="Arial" w:eastAsia="Arial" w:hAnsi="Arial"/>
                <w:sz w:val="18"/>
                <w:szCs w:val="18"/>
                <w:color w:val="auto"/>
              </w:rPr>
              <w:t>(5)%</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748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Less: Capitalized internal-use software as a percentage of revenue</w:t>
            </w:r>
          </w:p>
        </w:tc>
        <w:tc>
          <w:tcPr>
            <w:tcW w:w="278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Free cash flow margin</w:t>
            </w:r>
          </w:p>
        </w:tc>
        <w:tc>
          <w:tcPr>
            <w:tcW w:w="2080" w:type="dxa"/>
            <w:vAlign w:val="bottom"/>
          </w:tcPr>
          <w:p>
            <w:pPr>
              <w:jc w:val="right"/>
              <w:spacing w:after="0"/>
              <w:rPr>
                <w:sz w:val="20"/>
                <w:szCs w:val="20"/>
                <w:color w:val="auto"/>
              </w:rPr>
            </w:pPr>
            <w:r>
              <w:rPr>
                <w:rFonts w:ascii="Arial" w:cs="Arial" w:eastAsia="Arial" w:hAnsi="Arial"/>
                <w:sz w:val="18"/>
                <w:szCs w:val="18"/>
                <w:color w:val="auto"/>
              </w:rPr>
              <w:t>49</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In June 2019, upon completion of our IPO, we received net proceeds of $659.2 million, after deducting underwriters’ discounts and commissions and offering expenses of $44.8 million.</w:t>
      </w:r>
    </w:p>
    <w:p>
      <w:pPr>
        <w:spacing w:after="0" w:line="170"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As of April 30, 2020, we had cash and cash equivalents, consisting of highly liquid money market funds, of $1.0 billion. During the three months ended April 30, 2020 we liquidated our entire portfolio of marketable securities largely in response to the global economic uncertainty in conjunction with the COVID-19 pandemic. This resulted in the recognition of a realized gain of $1.3 million.</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Since our inception, we have generated operating losses, as reflected in our accumulated deficit of $656.7 million as of April 30, 2020. We expect to continue to incur operating losses for the foreseeable future due to the investments we intend to continue to make in sales and marketing and research and development, and due to additional general and administrative costs incurred as a result of operating as a public company. As a result, we may require additional capital resources to execute strategic initiatives to grow our business.</w:t>
      </w:r>
    </w:p>
    <w:p>
      <w:pPr>
        <w:spacing w:after="0" w:line="18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typically invoice our subscription customers annually in advance. Therefore, a substantial source of our cash is from such prepayments, which are included on our condensed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April 30, 2020, we had deferred revenue of $636.0 million, of which $465.6 million was recorded as a current liability and is expected to be recorded as revenue in the next 12 months, provided all other revenue recognition criteria have been met.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center"/>
              <w:ind w:right="135"/>
              <w:spacing w:after="0"/>
              <w:rPr>
                <w:sz w:val="20"/>
                <w:szCs w:val="20"/>
                <w:color w:val="auto"/>
              </w:rPr>
            </w:pPr>
            <w:r>
              <w:rPr>
                <w:rFonts w:ascii="Arial" w:cs="Arial" w:eastAsia="Arial" w:hAnsi="Arial"/>
                <w:sz w:val="14"/>
                <w:szCs w:val="14"/>
                <w:b w:val="1"/>
                <w:bCs w:val="1"/>
                <w:color w:val="auto"/>
                <w:w w:val="95"/>
              </w:rPr>
              <w:t>Three Months Ended April 30,</w:t>
            </w:r>
          </w:p>
        </w:tc>
      </w:tr>
      <w:tr>
        <w:trPr>
          <w:trHeight w:val="196"/>
        </w:trPr>
        <w:tc>
          <w:tcPr>
            <w:tcW w:w="8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96"/>
              </w:rPr>
              <w:t>2019</w:t>
            </w:r>
          </w:p>
        </w:tc>
      </w:tr>
      <w:tr>
        <w:trPr>
          <w:trHeight w:val="190"/>
        </w:trPr>
        <w:tc>
          <w:tcPr>
            <w:tcW w:w="8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center"/>
              <w:ind w:left="519"/>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16"/>
                <w:szCs w:val="16"/>
                <w:color w:val="auto"/>
              </w:rPr>
            </w:pPr>
          </w:p>
        </w:tc>
      </w:tr>
      <w:tr>
        <w:trPr>
          <w:trHeight w:val="66"/>
        </w:trPr>
        <w:tc>
          <w:tcPr>
            <w:tcW w:w="8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50"/>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98,577</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1,415</w:t>
            </w:r>
          </w:p>
        </w:tc>
      </w:tr>
      <w:tr>
        <w:trPr>
          <w:trHeight w:val="243"/>
        </w:trPr>
        <w:tc>
          <w:tcPr>
            <w:tcW w:w="868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634,711</w:t>
            </w:r>
          </w:p>
        </w:tc>
        <w:tc>
          <w:tcPr>
            <w:tcW w:w="520" w:type="dxa"/>
            <w:vAlign w:val="bottom"/>
          </w:tcPr>
          <w:p>
            <w:pPr>
              <w:spacing w:after="0"/>
              <w:rPr>
                <w:sz w:val="21"/>
                <w:szCs w:val="21"/>
                <w:color w:val="auto"/>
              </w:rPr>
            </w:pPr>
          </w:p>
        </w:tc>
        <w:tc>
          <w:tcPr>
            <w:tcW w:w="820" w:type="dxa"/>
            <w:vAlign w:val="bottom"/>
          </w:tcPr>
          <w:p>
            <w:pPr>
              <w:jc w:val="right"/>
              <w:ind w:right="75"/>
              <w:spacing w:after="0"/>
              <w:rPr>
                <w:sz w:val="20"/>
                <w:szCs w:val="20"/>
                <w:color w:val="auto"/>
              </w:rPr>
            </w:pPr>
            <w:r>
              <w:rPr>
                <w:rFonts w:ascii="Arial" w:cs="Arial" w:eastAsia="Arial" w:hAnsi="Arial"/>
                <w:sz w:val="18"/>
                <w:szCs w:val="18"/>
                <w:color w:val="auto"/>
              </w:rPr>
              <w:t>4,138</w:t>
            </w: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6,893</w:t>
            </w:r>
          </w:p>
        </w:tc>
        <w:tc>
          <w:tcPr>
            <w:tcW w:w="5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(882)</w:t>
            </w:r>
          </w:p>
        </w:tc>
      </w:tr>
      <w:tr>
        <w:trPr>
          <w:trHeight w:val="27"/>
        </w:trPr>
        <w:tc>
          <w:tcPr>
            <w:tcW w:w="8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Net cash provided by operating activities during the three months ended April 30, 2020 was $98.6 million, which resulted from a net loss of $19.2 million, adjusted for non-cash charges of $47.2 million and net cash inflow of $70.6 million from changes in operating assets and liabilities. Non-cash charges primarily consisted of $23.6 million in stock-based compensation expense, $13.5 million of amortization of deferred contract acquisition costs, and $8.2 million of depreciation and amortization. The net cash inflow from changes in operating assets and liabilities was primarily due to a $64.8 million increase in deferred revenue and a $20.7 million decrease in accounts receivable, partially offset by a $22.6 million increase in deferred contract acquisition costs.</w:t>
      </w:r>
    </w:p>
    <w:p>
      <w:pPr>
        <w:spacing w:after="0" w:line="19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Net cash provided by operating activities during the three months ended April 30, 2019 was $1.4 million, which resulted from a net loss of $26.0 million, adjusted for non-cash charges of $16.1 million and net cash inflow of $11.3 million from changes in operating assets and liabilities. Non-cash charges primarily consisted of $7.3 million of amortization of deferred contract acquisition costs, $4.9 million of depreciation and amortization, $3.8 million in stock-based compensation expense, and $1.2 million due to the change in the fair value of our redeemable convertible preferred stock warrant liability. The net cash inflow from changes in operating assets and liabilities was primarily due to a $24.8 million increase in deferred revenue and a $5.4 million decrease in accounts receivable, partially offset by a $8.5 million increase in deferred contract acquisition costs, a $6.6 million decrease in accrued payroll and benefits, and a $4.0 million increase in prepaid expenses and other assets.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Net cash provided by investing activities during the three months ended April 30, 2020 of $634.7 million was primarily due to the sale of marketable securities of $639.6 and the maturities of marketable securities of $91.6 million, partially offset by purchases of marketable securities of $84.9 million and purchases of property and equipment of $9.7 million.</w:t>
      </w:r>
    </w:p>
    <w:p>
      <w:pPr>
        <w:spacing w:after="0" w:line="18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Net cash provided by investing activities during the three months ended April 30, 2019 of $4.1 million was primarily due to maturities of marketable securities of $69.0 million, partially offset by purchases of marketable securities of $51.8 million and purchases of property and equipment of $15.5 million.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Net cash provided by financing activities of $6.9 million during the three months ended April 30, 2020 was primarily due to proceeds from the exercise of stock options of $6.4 million.</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Net cash used in financing activities of $0.9 million during the three months ended April 30, 2019 was due to $2.4 million of payments of deferred offering costs partially offset by proceeds from the issuance of common stock upon exercise of stock options of $1.5 million.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Debt Obligations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April 2019, we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 We also have the option to request an incremental facility of up to an additional $75.0 million from one or more of the lenders under the Credit Agreement. The amount we may borrow under the Credit Agreement may not exceed the lesser of $150.0 million or our ordinary course recurring subscription revenue for the most recent month, as determined under the Credit Agreement, multiplied by a number that is (i) 6, for the first year after entry into the Credit Agreement; (ii) 5, for the second year after entry into the Credit Agreement; and (iii) 4, thereafter. Under the terms of the Credit Agreement, revolving loans may be either Eurodollar Loans or ABR Loans. Outstanding Eurodollar Loans incur interest at the Eurodollar Rate, which is defined in the Credit Agreement as LIBOR (or any successor thereto), plus a margin between 2.50% and 3.00%, depending on usage. Outstanding ABR Loans incur interest at the highest of (a) the Prime Rate, as published by the Wall Street Journal, (b) the federal funds rate in effect for such day plus 0.50%, and (c) the Eurodollar Rate plus 1.00%, in each case plus a margin between 1.50% and 2.00%, depending on usage. We are charged a commitment fee of 0.20% to 0.30% per year for committed but unused amounts. The Credit Agreement will terminate on April 19, 2022.</w:t>
      </w:r>
    </w:p>
    <w:p>
      <w:pPr>
        <w:spacing w:after="0" w:line="17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Credit Agreement is collateralized by substantially all of our current and future property, rights, and assets, including, but not limited to, cash, goods, equipment, contractual rights, financial assets, and intangible assets of the Company and our subsidiaries. The Credit Agreement contains covenants limiting our ability to, among other things, dispose of assets, undergo a change in control, merge or consolidate, make acquisitions, incur debt, incur liens, pay dividends, repurchase stock, and make investments, in each case subject to certain exceptions. The Credit Agreement also contains financial covenants requiring us to maintain the year-over-year growth rate of our ordinary course recurring subscription revenue above specified rates and to maintain minimum liquidity at specified levels. The Credit Agreement also contains events of default that include, among others, non-payment of principal, interest, or fees, breach of covenants, inaccuracy of representations and warranties, cross defaults to certain other indebtedness, bankruptcy and insolvency events, and material judgments. We were in compliance with all covenants under the Credit Agreement as of April 30, 2020.</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amounts were outstanding under the Credit Agreement as of April 30,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July 2019, we agreed to commit up to $10.0 million to a newly formed entity, CrowdStrike Falcon Fund LLC (“Falcon Fund”), in exchange for 50% of the sharing percentage of any distribution by Falcon Fund. Additionally, entities associated with Accel, a holder of more than 5% of our capital stock, also agreed to commit up to $10.0 million to Falcon Fund and collectively own the remaining 50% of the sharing percentage of Falcon Fund. Falcon Fund is in the business of purchasing, selling, investing and trading in minority equity and convertible debt securities of privately-held companies that develop applications that have potential for substantial contribution to CrowdStrike and its platform. Falcon Fund has a duration of ten years which may be extended for three additional years. At dissolution, Falcon Fund will be liquidated and the remaining assets will be distributed to the investors based on their sharing percentage. As of April 30, 2020, we had contributed $0.5 million to Falcon Fund.</w:t>
      </w:r>
    </w:p>
    <w:p>
      <w:pPr>
        <w:spacing w:after="0" w:line="173"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contractual obligations as of April 30, 2020 and the fiscal years in which these obligations are due: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6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Real estate</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45,857</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5,481</w:t>
            </w:r>
          </w:p>
        </w:tc>
        <w:tc>
          <w:tcPr>
            <w:tcW w:w="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9,746</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9,307</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9,258</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8,414</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3,651</w:t>
            </w:r>
          </w:p>
        </w:tc>
        <w:tc>
          <w:tcPr>
            <w:tcW w:w="0" w:type="dxa"/>
            <w:vAlign w:val="bottom"/>
          </w:tcPr>
          <w:p>
            <w:pPr>
              <w:spacing w:after="0"/>
              <w:rPr>
                <w:sz w:val="1"/>
                <w:szCs w:val="1"/>
                <w:color w:val="auto"/>
              </w:rPr>
            </w:pPr>
          </w:p>
        </w:tc>
      </w:tr>
      <w:tr>
        <w:trPr>
          <w:trHeight w:val="212"/>
        </w:trPr>
        <w:tc>
          <w:tcPr>
            <w:tcW w:w="164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arrangements</w:t>
            </w:r>
            <w:r>
              <w:rPr>
                <w:rFonts w:ascii="Arial" w:cs="Arial" w:eastAsia="Arial" w:hAnsi="Arial"/>
                <w:sz w:val="21"/>
                <w:szCs w:val="21"/>
                <w:color w:val="auto"/>
                <w:vertAlign w:val="superscript"/>
              </w:rPr>
              <w:t>(1)</w:t>
            </w:r>
          </w:p>
        </w:tc>
        <w:tc>
          <w:tcPr>
            <w:tcW w:w="2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640" w:type="dxa"/>
            <w:vAlign w:val="bottom"/>
          </w:tcPr>
          <w:p>
            <w:pPr>
              <w:ind w:left="20"/>
              <w:spacing w:after="0" w:line="166" w:lineRule="exact"/>
              <w:rPr>
                <w:sz w:val="20"/>
                <w:szCs w:val="20"/>
                <w:color w:val="auto"/>
              </w:rPr>
            </w:pPr>
            <w:r>
              <w:rPr>
                <w:rFonts w:ascii="Arial" w:cs="Arial" w:eastAsia="Arial" w:hAnsi="Arial"/>
                <w:sz w:val="16"/>
                <w:szCs w:val="16"/>
                <w:color w:val="auto"/>
              </w:rPr>
              <w:t>Data center</w:t>
            </w:r>
          </w:p>
        </w:tc>
        <w:tc>
          <w:tcPr>
            <w:tcW w:w="280" w:type="dxa"/>
            <w:vAlign w:val="bottom"/>
          </w:tcPr>
          <w:p>
            <w:pPr>
              <w:spacing w:after="0"/>
              <w:rPr>
                <w:sz w:val="14"/>
                <w:szCs w:val="14"/>
                <w:color w:val="auto"/>
              </w:rPr>
            </w:pPr>
          </w:p>
        </w:tc>
        <w:tc>
          <w:tcPr>
            <w:tcW w:w="1000" w:type="dxa"/>
            <w:vAlign w:val="bottom"/>
            <w:vMerge w:val="restart"/>
          </w:tcPr>
          <w:p>
            <w:pPr>
              <w:jc w:val="right"/>
              <w:ind w:right="81"/>
              <w:spacing w:after="0"/>
              <w:rPr>
                <w:sz w:val="20"/>
                <w:szCs w:val="20"/>
                <w:color w:val="auto"/>
              </w:rPr>
            </w:pPr>
            <w:r>
              <w:rPr>
                <w:rFonts w:ascii="Arial" w:cs="Arial" w:eastAsia="Arial" w:hAnsi="Arial"/>
                <w:sz w:val="16"/>
                <w:szCs w:val="16"/>
                <w:color w:val="auto"/>
              </w:rPr>
              <w:t>149,993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61"/>
              <w:spacing w:after="0"/>
              <w:rPr>
                <w:sz w:val="20"/>
                <w:szCs w:val="20"/>
                <w:color w:val="auto"/>
              </w:rPr>
            </w:pPr>
            <w:r>
              <w:rPr>
                <w:rFonts w:ascii="Arial" w:cs="Arial" w:eastAsia="Arial" w:hAnsi="Arial"/>
                <w:sz w:val="16"/>
                <w:szCs w:val="16"/>
                <w:color w:val="auto"/>
              </w:rPr>
              <w:t>47,017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61"/>
              <w:spacing w:after="0"/>
              <w:rPr>
                <w:sz w:val="20"/>
                <w:szCs w:val="20"/>
                <w:color w:val="auto"/>
              </w:rPr>
            </w:pPr>
            <w:r>
              <w:rPr>
                <w:rFonts w:ascii="Arial" w:cs="Arial" w:eastAsia="Arial" w:hAnsi="Arial"/>
                <w:sz w:val="16"/>
                <w:szCs w:val="16"/>
                <w:color w:val="auto"/>
              </w:rPr>
              <w:t>76,622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62"/>
              <w:spacing w:after="0"/>
              <w:rPr>
                <w:sz w:val="20"/>
                <w:szCs w:val="20"/>
                <w:color w:val="auto"/>
              </w:rPr>
            </w:pPr>
            <w:r>
              <w:rPr>
                <w:rFonts w:ascii="Arial" w:cs="Arial" w:eastAsia="Arial" w:hAnsi="Arial"/>
                <w:sz w:val="16"/>
                <w:szCs w:val="16"/>
                <w:color w:val="auto"/>
              </w:rPr>
              <w:t>10,077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61"/>
              <w:spacing w:after="0"/>
              <w:rPr>
                <w:sz w:val="20"/>
                <w:szCs w:val="20"/>
                <w:color w:val="auto"/>
              </w:rPr>
            </w:pPr>
            <w:r>
              <w:rPr>
                <w:rFonts w:ascii="Arial" w:cs="Arial" w:eastAsia="Arial" w:hAnsi="Arial"/>
                <w:sz w:val="16"/>
                <w:szCs w:val="16"/>
                <w:color w:val="auto"/>
              </w:rPr>
              <w:t>10,348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81"/>
              <w:spacing w:after="0"/>
              <w:rPr>
                <w:sz w:val="20"/>
                <w:szCs w:val="20"/>
                <w:color w:val="auto"/>
              </w:rPr>
            </w:pPr>
            <w:r>
              <w:rPr>
                <w:rFonts w:ascii="Arial" w:cs="Arial" w:eastAsia="Arial" w:hAnsi="Arial"/>
                <w:sz w:val="16"/>
                <w:szCs w:val="16"/>
                <w:color w:val="auto"/>
              </w:rPr>
              <w:t>2,708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restart"/>
          </w:tcPr>
          <w:p>
            <w:pPr>
              <w:jc w:val="right"/>
              <w:ind w:right="61"/>
              <w:spacing w:after="0"/>
              <w:rPr>
                <w:sz w:val="20"/>
                <w:szCs w:val="20"/>
                <w:color w:val="auto"/>
              </w:rPr>
            </w:pPr>
            <w:r>
              <w:rPr>
                <w:rFonts w:ascii="Arial" w:cs="Arial" w:eastAsia="Arial" w:hAnsi="Arial"/>
                <w:sz w:val="16"/>
                <w:szCs w:val="16"/>
                <w:color w:val="auto"/>
              </w:rPr>
              <w:t>3,221</w:t>
            </w:r>
          </w:p>
        </w:tc>
        <w:tc>
          <w:tcPr>
            <w:tcW w:w="0" w:type="dxa"/>
            <w:vAlign w:val="bottom"/>
          </w:tcPr>
          <w:p>
            <w:pPr>
              <w:spacing w:after="0"/>
              <w:rPr>
                <w:sz w:val="1"/>
                <w:szCs w:val="1"/>
                <w:color w:val="auto"/>
              </w:rPr>
            </w:pPr>
          </w:p>
        </w:tc>
      </w:tr>
      <w:tr>
        <w:trPr>
          <w:trHeight w:val="212"/>
        </w:trPr>
        <w:tc>
          <w:tcPr>
            <w:tcW w:w="1640" w:type="dxa"/>
            <w:vAlign w:val="bottom"/>
          </w:tcPr>
          <w:p>
            <w:pPr>
              <w:ind w:left="20"/>
              <w:spacing w:after="0" w:line="213" w:lineRule="exact"/>
              <w:rPr>
                <w:sz w:val="20"/>
                <w:szCs w:val="20"/>
                <w:color w:val="auto"/>
              </w:rPr>
            </w:pPr>
            <w:r>
              <w:rPr>
                <w:rFonts w:ascii="Arial" w:cs="Arial" w:eastAsia="Arial" w:hAnsi="Arial"/>
                <w:sz w:val="16"/>
                <w:szCs w:val="16"/>
                <w:color w:val="auto"/>
              </w:rPr>
              <w:t>commitments</w:t>
            </w:r>
            <w:r>
              <w:rPr>
                <w:rFonts w:ascii="Arial" w:cs="Arial" w:eastAsia="Arial" w:hAnsi="Arial"/>
                <w:sz w:val="21"/>
                <w:szCs w:val="21"/>
                <w:color w:val="auto"/>
                <w:vertAlign w:val="superscript"/>
              </w:rPr>
              <w:t>(2)</w:t>
            </w: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6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Other purchase</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33,895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20,096</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13,676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64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obligations</w:t>
            </w:r>
            <w:r>
              <w:rPr>
                <w:rFonts w:ascii="Arial" w:cs="Arial" w:eastAsia="Arial" w:hAnsi="Arial"/>
                <w:sz w:val="21"/>
                <w:szCs w:val="21"/>
                <w:color w:val="auto"/>
                <w:vertAlign w:val="superscript"/>
              </w:rPr>
              <w:t>(3)</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640" w:type="dxa"/>
            <w:vAlign w:val="bottom"/>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229,745</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72,594</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100,044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19,463</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19,637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11,135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6,872</w:t>
            </w: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225" w:lineRule="exact"/>
        <w:rPr>
          <w:sz w:val="20"/>
          <w:szCs w:val="20"/>
          <w:color w:val="auto"/>
        </w:rPr>
      </w:pPr>
    </w:p>
    <w:p>
      <w:pPr>
        <w:ind w:left="660" w:right="100" w:hanging="652"/>
        <w:spacing w:after="0" w:line="308" w:lineRule="auto"/>
        <w:tabs>
          <w:tab w:leader="none" w:pos="654"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Relates to non-cancellable real estate arrangements where the amounts are reflected on an undiscounted basis. For additional information refer to Note 7 to our condensed consolidated financial statements included elsewhere in this Quarterly Report on Form 10-Q.</w:t>
      </w:r>
    </w:p>
    <w:p>
      <w:pPr>
        <w:spacing w:after="0" w:line="146" w:lineRule="exact"/>
        <w:rPr>
          <w:rFonts w:ascii="Arial" w:cs="Arial" w:eastAsia="Arial" w:hAnsi="Arial"/>
          <w:sz w:val="17"/>
          <w:szCs w:val="17"/>
          <w:color w:val="auto"/>
        </w:rPr>
      </w:pPr>
    </w:p>
    <w:p>
      <w:pPr>
        <w:ind w:left="640" w:hanging="63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Relates to non-cancelable commitments to data center vendors.</w:t>
      </w:r>
    </w:p>
    <w:p>
      <w:pPr>
        <w:spacing w:after="0" w:line="225" w:lineRule="exact"/>
        <w:rPr>
          <w:rFonts w:ascii="Arial" w:cs="Arial" w:eastAsia="Arial" w:hAnsi="Arial"/>
          <w:sz w:val="18"/>
          <w:szCs w:val="18"/>
          <w:color w:val="auto"/>
        </w:rPr>
      </w:pPr>
    </w:p>
    <w:p>
      <w:pPr>
        <w:ind w:left="660" w:right="460" w:hanging="652"/>
        <w:spacing w:after="0" w:line="277" w:lineRule="auto"/>
        <w:tabs>
          <w:tab w:leader="none" w:pos="6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Relates to non-cancelable purchase commitments with various parties to purchase products and services entered into in the normal course of business.</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contractual commitment amounts in the table above are associated with agreements that are enforceable and legally binding. Obligations under contracts, including purchase orders, that we can cancel without a significant penalty are not included in the table above. Purchase orders issued in the ordinary course of business are not included in the table above, as such purchase orders represent authorizations to purchase rather than binding agreements.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any time after the execution of the agreement. Typically, these indemnification provisions do not provide for a maximum potential amount of future payments we could be required to make. However, in the past we have not been obligated to make significant payments for these obligations and no liabilities have been recorded for these obligations on our condensed consolidated balance sheet as of April 30, 2020 or January 31, 2020.</w:t>
      </w:r>
    </w:p>
    <w:p>
      <w:pPr>
        <w:spacing w:after="0" w:line="177"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We also indemnify our officers and directors for certain events or occurrences, subject to certain limits, while the officer is or was serving at our request in such capacity. The maximum amount of potential future indemnification is unlimited. However, our director and officer insurance policy limits our exposure and enables us to recover a portion of any future amounts paid.</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Historically, we have not been obligated to make any payments for these obligations and no liabilities have been recorded for these obligations on our condensed consolidated balance sheet as of April 30, 2020 or January 31, 2020.</w:t>
      </w:r>
    </w:p>
    <w:p>
      <w:pPr>
        <w:spacing w:after="0" w:line="16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management’s discussion and analysis of financial condition and results of operations is based upon our financial statements and notes to our financial statements, which were prepared in accordance with GAAP. The preparation of the financial statements requires our management to make estimates and assumptions that affect the amounts reported in the financial statements and accompanying notes. Our management evaluates our estimates on an ongoing basis, including those related to the allowance for doubtful accounts, the carrying value and useful lives of long-lived assets, the fair value of financial instruments, the recognition and disclosure of contingent liabilities, and stock-based compensation.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7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accounting estimates we use in the preparation of our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financial statements. By their nature, these estimates and judgments are subject to an inherent degree of uncertainty and actual results could differ materially from the amounts reported based on these estimates.</w:t>
      </w:r>
    </w:p>
    <w:p>
      <w:pPr>
        <w:spacing w:after="0" w:line="17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significant accounting policies are more fully described in Note 2 to our condensed consolidated financial statements. Our critical accounting policies and our more significant judgments and estimates used in the preparation of our financial statements are discussed in “Management’s Discussion and Analysis of Financial Condition and Results of Operations” in our Annual Report on Form 10-K for the fiscal year ended January 31, 2020, filed with the SEC on March 23, 2020, and there have been no significant changes to these policies for the three months ended April 30, 2020, except in regards to our adoption of ASC 842 as discussed below.</w:t>
      </w:r>
    </w:p>
    <w:p>
      <w:pPr>
        <w:spacing w:after="0" w:line="188"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 xml:space="preserve">In February 2016, the Financial Accounting Standards Board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lessees to generally recognize on the balance sheet operating and financing lease liabilities and corresponding right-of-use assets, and to recognize on the income statement the expenses in a manner similar to prior practice. We adopted this new standard using the modified retrospective method as of February 1, 2020 and elected the transition option that allows us not to restate the comparative periods in our financial statements in the year of adoption.</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212529"/>
        </w:rPr>
        <w:t xml:space="preserve">In adopting the leasing standard, the Company elected </w:t>
      </w:r>
      <w:r>
        <w:rPr>
          <w:rFonts w:ascii="Arial" w:cs="Arial" w:eastAsia="Arial" w:hAnsi="Arial"/>
          <w:sz w:val="18"/>
          <w:szCs w:val="18"/>
          <w:color w:val="000000"/>
        </w:rPr>
        <w:t>the following practical expedients:</w:t>
      </w:r>
    </w:p>
    <w:p>
      <w:pPr>
        <w:spacing w:after="0" w:line="239" w:lineRule="exact"/>
        <w:rPr>
          <w:sz w:val="20"/>
          <w:szCs w:val="20"/>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212529"/>
        </w:rPr>
      </w:pPr>
      <w:r>
        <w:rPr>
          <w:rFonts w:ascii="Arial" w:cs="Arial" w:eastAsia="Arial" w:hAnsi="Arial"/>
          <w:sz w:val="18"/>
          <w:szCs w:val="18"/>
          <w:color w:val="212529"/>
        </w:rPr>
        <w:t>The package of practical expedients which allows for not reassessing 1) whether existing contracts contain leases, 2) the lease classification of existing leases, and 3) whether existing initial direct costs meet the new definition.</w:t>
      </w:r>
    </w:p>
    <w:p>
      <w:pPr>
        <w:spacing w:after="0" w:line="211" w:lineRule="exact"/>
        <w:rPr>
          <w:rFonts w:ascii="Arial" w:cs="Arial" w:eastAsia="Arial" w:hAnsi="Arial"/>
          <w:sz w:val="18"/>
          <w:szCs w:val="18"/>
          <w:color w:val="212529"/>
        </w:rPr>
      </w:pPr>
    </w:p>
    <w:p>
      <w:pPr>
        <w:jc w:val="both"/>
        <w:ind w:left="660" w:hanging="328"/>
        <w:spacing w:after="0" w:line="236"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color w:val="212529"/>
        </w:rPr>
        <w:t>The practical expedient in ASC Subtopic 842-10 to not separate non-lease components from lease components and instead account for each separate lease component and non-lease components associated with that lease component as a single lease component by class of the underlying assets.</w:t>
      </w:r>
    </w:p>
    <w:p>
      <w:pPr>
        <w:spacing w:after="0" w:line="230" w:lineRule="exact"/>
        <w:rPr>
          <w:rFonts w:ascii="Arial" w:cs="Arial" w:eastAsia="Arial" w:hAnsi="Arial"/>
          <w:sz w:val="20"/>
          <w:szCs w:val="20"/>
          <w:color w:val="auto"/>
        </w:rPr>
      </w:pPr>
    </w:p>
    <w:p>
      <w:pPr>
        <w:ind w:left="660" w:hanging="328"/>
        <w:spacing w:after="0" w:line="237"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color w:val="212529"/>
        </w:rPr>
        <w:t>Not to recognize right of use assets and lease liabilities for short-term leases, which have a lease term of twelve months or less and do not include an option to purchase the underlying asset that the Company is reasonably certain to exercise.</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6"/>
          <w:szCs w:val="16"/>
          <w:color w:val="212529"/>
        </w:rPr>
        <w:t>The Company used its original assumptions for operating leases entered into prior to adoption, electing not to use the hindsight practical expedient.</w:t>
      </w:r>
    </w:p>
    <w:p>
      <w:pPr>
        <w:spacing w:after="0" w:line="2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212529"/>
        </w:rPr>
        <w:t>Lease payments consist primarily of the fixed payments under the arrangement, less any lease incentives such as tenant improvement allowance. The Company uses an estimate of our incremental borrowing rate (IBR) based on the information available at the lease commencement date in determining the present value of lease payments, unless the implicit rate is readily determinable. In determining the appropriate IBR, the Company considers information including, but not limited to, our credit rating, the lease term, and the currency in which the arrangement is denominated. For leases which commenced prior to our adoption of Topic 842, the Company used the IBR on January 31, 2020.</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Backlog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enter into both single and multi-year subscription contracts for our solutions. We generally invoice the entire amount at contract signing prior to commencement of subscription period. Until such time as these amounts are invoiced, they are not recorded in deferred revenue or elsewhere in our condensed consolidated financial statements, and are considered by us to be backlog. As of April 30, 2020, we had backlog of approximately $181.5 million. Of this amount, approximately $53.0 million is not reasonably expected to be billed in the next twelve months.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16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Given the annual budget approval process of many of our customers, we see seasonal patterns in our business. We expect these seasonal variations to become more pronounced in future periods, with net new ARR generation being greater in the second half of the year, particularly in the fourth quarter, as compared to the first half of the year. In addition, we also experience seasonality in our operating margin, with a lower margin in the first half of our fiscal year due to a step up in costs for payroll taxes, new hires, and annual sales and marketing events. This also impacts the timing of operating cash flow and free cash flow.</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As of April 30, 2020, we had 2,583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and comply with, local labor law requirements which may automatically make our employees subject to industry-wide collective bargaining agreements. We may be required to comply with the terms of these collective bargaining agreements. We have not experienced any work stoppages, and we consider our relations with our employees to be good.</w:t>
      </w:r>
    </w:p>
    <w:p>
      <w:pPr>
        <w:spacing w:after="0" w:line="18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ind w:right="400" w:firstLine="648"/>
        <w:spacing w:after="0" w:line="279" w:lineRule="auto"/>
        <w:rPr>
          <w:sz w:val="20"/>
          <w:szCs w:val="20"/>
          <w:color w:val="auto"/>
        </w:rPr>
      </w:pPr>
      <w:r>
        <w:rPr>
          <w:rFonts w:ascii="Arial" w:cs="Arial" w:eastAsia="Arial" w:hAnsi="Arial"/>
          <w:sz w:val="16"/>
          <w:szCs w:val="16"/>
          <w:color w:val="auto"/>
        </w:rPr>
        <w:t>CrowdStrike, Inc. was incorporated in the state of Delaware in August 2011. We then incorporated CrowdStrike Holdings, Inc. in the state of Delaware in November 2011, which acquired all shares of CrowdStrike, Inc. held by Warburg Pincus Private Equity X, L.P. and Warburg Pincus X Partners, L.P., or Warburg Pincus, such that CrowdStrike, Inc. became our wholly-owned subsidiary. Our principal executive offices are located at 150 Mathilda Place, Suite 300, Sunnyvale, California 94086, and our telephone number is (888) 512-8906. Our website address is www.crowdstrike.com. Information contained on, or that can be accessed through, our website does not constitute part of this Quarterly Report on Form 10-Q.</w:t>
      </w:r>
    </w:p>
    <w:p>
      <w:pPr>
        <w:spacing w:after="0" w:line="15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180"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after the enactment of the JOBS Act until those standards apply to private companies. We have elected to use this extended transition period under the JOBS Act.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See Note 2 to our condensed consolidated financial statements included elsewhere in this Quarterly Report on Form 10-Q, for more information about the impact of certain recent accounting pronouncements on our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Rate Risk</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cash and cash equivalents primarily consist of cash on hand and highly liquid investments in corporate debt securities and money market funds. Our investments are exposed to market risk due to fluctuations in interest rates, which may affect our interest income and the fair value of our investments. As of April 30, 2020, we had cash and cash equivalents of $1.0 billion and no marketable securities.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However, due to the short-term nature of our investment portfolio, the effect of a hypothetical 100 basis point change in interest rates would not have had a material effect on the fair market value of our portfolio as of April 30, 2020. We therefore do not expect our results of operations or cash flows to be materially affected by a sudden change in market interest rates.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To date, all of our sales contracts have been denominated in U.S. dollars. A portion of our operating expenses are incurred outside the United States, denominated in foreign currencies and subject to fluctuations due to changes in foreign currency exchange rates, particularly changes in the British Pound, Australian Dollar, and Euro. The functional currency of our foreign subsidiaries is that country’s local currency. Foreign currency transaction gains and losses are recorded to Other income (expense), net. As of April 30, 2020, the cumulative foreign currency exchange rate loss recorded in other comprehensive income (loss) was $0.7 million. A hypothetical 10% decrease in the U.S. dollar against other currencies would have resulted in an increase in operating loss of approximately $3.5 million for the three months ended April 30, 2020.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April 30, 2020. Based on the evaluation of our disclosure controls and procedures as of April 30, 2020,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Inherent limitations in all control systems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currently involved in proceedings before the Trademark Trial and Appeal Board (“TTAB”) at the U.S. Patent and Trademark Office (the “USPTO”) regarding our U.S. trademark registrations for “CrowdStrike Falcon” and our U.S. application to register our “Falcon OverWatch” trademark. On November 23, 2016, Fair Isaac Corporation (“FICO”) filed a Petition for Cancellation of our “CrowdStrike Falcon” trademark registrations and a Notice of Opposition against our “Falcon OverWatch” trademark application before the USPTO, TTAB. On January 3, 2017, we filed answers to both the cancellation and opposition proceedings, and the proceedings thereafter were consolidated. On November 21, 2018, we filed a Petition for Partial Cancellation or Amendment of one of FICO’s “Falcon” trademark registrations, and on December 10, 2018, the parties filed a joint request to consolidate the proceedings and adjust the schedule. On January 16, 2019, FICO moved to dismiss our petition. On July 2, 2019, the TTAB consolidated the proceedings and granted FICO’s motion to dismiss with leave to amend. On July 22, 2019, we filed an Amended Petition for Cancellation or Amendment and on August 12, 2019, FICO moved to dismiss our Amended Petition for Cancellation or Amendment. On January 31, 2020, the TTAB denied the motion to dismiss as to two grounds for partial cancellation and as to the request for amendment, and granted the motion as to a third ground for partial cancellation of one of FICO’s “Falcon” registrations and the claim for abandonment of both of FICO’s “Falcon” trademark registrations, with the right to reassert both claims for relief. The TTAB also set a new schedule for the consolidated proceedings, with trial periods set to begin on December 6, 2020. On March 18, 2020, we filed a motion for leave to file a Second Amended Petition to include a claim for abandonment for two of FICO’s “Falcon” trademark registrations, and that motion is pending. We are vigorously defending the case, but given the early stage, although a loss may reasonably be possible, we are unable to predict the likelihood of success of FICO’s claims or estimate a loss or a range of loss. As a result, no liability has been recorded as of April 30, 2020 or January 31, 2020.</w:t>
      </w:r>
    </w:p>
    <w:p>
      <w:pPr>
        <w:spacing w:after="0" w:line="18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addition, from time to time, we are party to various litigation matters and subject to claims that arise in the ordinary course of business. In addition, third parties may from time to time assert claims against us in the form of letters and other communications. For any claims for which we believe a liability is both probable and reasonably estimable, we record a liability in the period for which it makes this determination. There is no pending or threatened legal proceeding to which we are a party that, in our opinion, is likely to have a material adverse effect on our condensed consolidated financial statements; however, the results of litigation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operating results and future revenue.</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March 2020, the World Health Organization characterized COVID-19 as a pandemic and the President of the United States declared the COVID-19 outbreak a national emergency. Since then, the COVID-19 pandemic has rapidly spread across the globe and has already resulted in significant volatility, uncertainty and economic disruption. While the COVID-19 pandemic has not had a material adverse financial impact on our business to date, the future impacts of the pandemic and any resulting economic impact are largely unknown. It is possible that the COVID-19 pandemic, the measures taken by the governments of countries affected and the resulting economic impact may materially and adversely affect our business, operating results and future revenue. Additionally, due to our subscription-based business model, the effect of the COVID-19 pandemic may not be fully reflected in our results of operations until future periods, if at all.</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Preventative measures instituted by governments and businesses to mitigate the spread of COVID-19, including travel restrictions, social distancing requirements, shelter in place orders, and quarantines, have negatively impacted the global economy and may adversely impact us, our customers and vendors. Some of our customers have been negatively impacted by the COVID-19 pandemic which could affect our revenues. Customers may also request revised payment terms. If such a demand for revised payment terms occurs, some delays in accounts receivable collection would result. A prolonged economic downturn could result in a larger customer churn than we currently anticipate and reduced demand for our products and services, in which case our revenues could be significantly impacted.</w:t>
      </w:r>
    </w:p>
    <w:p>
      <w:pPr>
        <w:spacing w:after="0" w:line="19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extent to which COVID-19 ultimately impacts our results of operations, cash flow and financial position will depend on future developments, which are uncertain and cannot be predicted, including, but not limited to, the duration and spread of the outbreak, its severity, the actions taken by governments and authorities to contain the virus or treat its impact, and how quickly and to what extent normal economic and operating conditions can resume. These uncertainties have resulted in volatility in securities and financial markets, which may prevent us from accessing the equity or debt capital markets on attractive terms or at all for a period of time, which could have an adverse effect on our liquidity position. Even after the COVID-19 pandemic has subsided, we may experience material adverse impacts to our business as a result of its global economic impact, including as a result of any recession that may occur. The impact of the COVID-19 pandemic may also exacerbate other risks discussed in this “Risk Factors” section and elsewhere in this Quarterly Report on Form 10-Q. For these reasons, the current level of uncertainty over the economic and operational impacts of COVID-19 means the impact on our results of operations, cash flows and financial position cannot be reasonably estimated at this time. Adverse global economic conditions, like the ones we are currently experiencing during the COVID-19 pandemic, could adversely impact our business and financial condition.</w:t>
      </w:r>
    </w:p>
    <w:p>
      <w:pPr>
        <w:spacing w:after="0" w:line="16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Adverse global economic conditions like the ones we are currently experiencing because of the COVID-19 pandemic and uncertain conditions in the credit markets have created, and in the future may increase risk to our financial outlook.</w:t>
      </w:r>
    </w:p>
    <w:p>
      <w:pPr>
        <w:spacing w:after="0" w:line="170"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uncertain global economy could also result in material churn in our customer base, reductions in revenues from our offerings, longer sales cycles, slower adoption of new technologies and increased price competition, which could adversely affect our liquidity. Customers and vendors filing for bankruptcy could also lead to costly and time-intensive actions with adverse effects, including greater difficulty or delay in accounts receivable collection.</w:t>
      </w:r>
    </w:p>
    <w:p>
      <w:pPr>
        <w:spacing w:after="0" w:line="14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have experienced rapid growth in recent periods, and if we do not manage our future growth, our business and results of operations will be adversely affected.</w:t>
      </w:r>
    </w:p>
    <w:p>
      <w:pPr>
        <w:spacing w:after="0" w:line="170"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have experienced rapid revenue growth in recent periods and we expect to continue to invest broadly across our organization to support our growth. For example, our headcount grew from 324 employees as of January 31, 2016, to 2,583 employees as of April 30, 2020. Although we have experienced rapid growth historically, we may not sustain our current growth rates, nor can we assure you that our investments to support our growth will be successful. The growth and expansion of our business will require us to invest significant financial and operational resources and the continuous dedication of our management team. We have encountered and will continue to encounter risks and difficulties frequently experienced by rapidly growing companies in evolving industries, including market acceptance of our Falcon platform, adding new customers, intense competition, and our ability to manage our costs and operating expenses. Our future success will depend in part on our ability to manage our growth effectively, which will require us to, among other things:</w:t>
      </w:r>
    </w:p>
    <w:p>
      <w:pPr>
        <w:spacing w:after="0" w:line="192" w:lineRule="exact"/>
        <w:rPr>
          <w:sz w:val="20"/>
          <w:szCs w:val="20"/>
          <w:color w:val="auto"/>
        </w:rPr>
      </w:pPr>
    </w:p>
    <w:p>
      <w:pPr>
        <w:ind w:left="980" w:right="14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attract, integrate, and retain a large number of new employees, particularly members of our sales and marketing and research and development teams;</w:t>
      </w:r>
    </w:p>
    <w:p>
      <w:pPr>
        <w:spacing w:after="0" w:line="170" w:lineRule="exact"/>
        <w:rPr>
          <w:rFonts w:ascii="Arial" w:cs="Arial" w:eastAsia="Arial" w:hAnsi="Arial"/>
          <w:sz w:val="18"/>
          <w:szCs w:val="18"/>
          <w:color w:val="auto"/>
        </w:rPr>
      </w:pPr>
    </w:p>
    <w:p>
      <w:pPr>
        <w:ind w:left="980" w:right="56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improve our Falcon platform, including our cloud modules, and IT infrastructure, including expanding and optimizing our data centers, to support our business needs;</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 our financial, management, and compliance systems and controls.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able to achieve or sustain profitability in the future.</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have incurred net losses in all periods since our inception, and we may not achieve or maintain profitability in the future. We experienced net losses of $135.5 million, $140.1 million, and $141.8 million for fiscal 2018, fiscal 2019, and fiscal 2020, respectively. As of April 30, 2020, we had an accumulated deficit of $656.7 million. While we have experienced significant growth in revenue in recent periods, we cannot assure you when or whether we will reach or maintain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In addition to the anticipated costs to grow our business, we also expect to incur significant additional legal, accounting, and other expenses as a newly public company. Any failure to increase our revenue as we invest in our business or to manage our costs could prevent us from achieving or maintaining profitability or positive cash flow.</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makes it difficult to evaluate our current business and future prospects, and may increase the risk of your investment.</w:t>
      </w:r>
    </w:p>
    <w:p>
      <w:pPr>
        <w:spacing w:after="0" w:line="24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were founded in November 2011 and launched our first endpoint security solution in 2013. Our limited operating history makes it difficult to evaluate our current business, future prospects, and other trends, including our ability to plan for and model future growth. We have encountered and will continue to encounter risks, uncertainties, and difficulties frequently experienced by rapidly growing companies in evolving industries, including our ability to achieve broad market acceptance of cloud-based, SaaS-delivered endpoint security solutions and our Falcon platform, attract additional customers, grow partnerships, compete effectively, build and maintain effective compliance programs, and manage increasing expenses as we continue to invest in our business. If we do not address these risks, uncertainties, and difficulties successfully, our business, and results of operations will be harmed. Further, we have limited historical financial data, and we operate in a rapidly evolving market. As a result, any predictions about our future revenue and expenses may not be as accurate as they would be if we had a longer operating history or operated in a more predictable market.</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organizations do not adopt cloud-based SaaS-delivered endpoint security solutions, our ability to grow our business and results of operations may be adversely affected.</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 whole, including our security solutions, will be negatively affected. You should consider our business and prospects in light of the risks and difficulties we encounter in this new and evolving market.</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new customers, our future results of operations could be harmed.</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 downturn due to the outbreak of diseases such as COVID-19 may cause our current and prospective customers to cut their overall security and IT operations spending, and such cuts may fall disproportionately on cloud-based security solutions like ours. Economic weakness, customer financial difficulties, and constrained spending on security and IT operations may result in decreased revenue, reduced sales, lengthened sales cycles, increased churn, lower demand for our products, and adversely affect our results of operations and financial conditions.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8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customers do not renew their subscriptions for our products and add additional cloud modules to their subscriptions, our future results of operations could be harmed.</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our customers may renew for shorter contract subscription lengths or cease using certain cloud modules.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conditions. If our efforts to maintain and expand our relationships with our existing customers are not successful, our business, results of operations, and financial condition may materially suffer.</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could lose market share to our competitors, which could adversely affect our business, financial condition, and results of operations.</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78" w:lineRule="exact"/>
        <w:rPr>
          <w:sz w:val="20"/>
          <w:szCs w:val="20"/>
          <w:color w:val="auto"/>
        </w:rPr>
      </w:pPr>
    </w:p>
    <w:p>
      <w:pPr>
        <w:ind w:left="980" w:right="58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capabilities, including performance and reliability, of our Falcon platform, including our cloud modules, services, and features compared to those of our competitors;</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and the ability of our competitors, to improve existing products, services, and features, or to develop new ones to address evolving customer needs;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retain, and motivate talented employees;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relationships with channel partners;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strength of our sales and marketing efforts; and</w:t>
      </w:r>
    </w:p>
    <w:p>
      <w:pPr>
        <w:spacing w:after="0" w:line="225" w:lineRule="exact"/>
        <w:rPr>
          <w:rFonts w:ascii="Arial" w:cs="Arial" w:eastAsia="Arial" w:hAnsi="Arial"/>
          <w:sz w:val="18"/>
          <w:szCs w:val="18"/>
          <w:color w:val="auto"/>
        </w:rPr>
      </w:pPr>
    </w:p>
    <w:p>
      <w:pPr>
        <w:ind w:left="660" w:right="3060" w:hanging="4"/>
        <w:spacing w:after="0" w:line="500" w:lineRule="auto"/>
        <w:tabs>
          <w:tab w:leader="none" w:pos="97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acquisitions or consolidation within our industry, which may result in more formidable competitors. Our competitors include the following by general category:</w:t>
      </w:r>
    </w:p>
    <w:p>
      <w:pPr>
        <w:spacing w:after="0" w:line="1"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legacy antivirus product providers, such as McAfee, Inc., Broadcom Inc. (Symantec), and Microsoft Corporation, who offer a broad range of approaches and solutions including traditional antivirus and signature-based protection;</w:t>
      </w:r>
    </w:p>
    <w:p>
      <w:pPr>
        <w:spacing w:after="0" w:line="170"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alternative endpoint security providers, such as Blackberry Cylance and VMWare, Inc. (Carbon Black), who offer point products based on malware-only or application whitelisting techniques; and</w:t>
      </w:r>
    </w:p>
    <w:p>
      <w:pPr>
        <w:spacing w:after="0" w:line="170"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network security vendors, such as Palo Alto Networks, Inc. and FireEye, Inc., who are supplementing their core perimeter-based offerings with endpoint security solutions.</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Many of these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or they may have other financial, technical, or other resource advantages.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many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different and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pricing pressure may reduce our gross profits and adversely affect our financial results.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Competition continues to increase in the market segments in which we operate, and we expect competition to further increase in the future. Larger competitors with more diverse product and service offerings may reduce the price of products or subscriptions that compete with ours or may bundle them with other products and subscriptions.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solutions, our solutions could become 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18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Moreover, as our cloud native security platform is adopted by an increasing number of enterprises and governments, it is possible that the individuals and organizations behind advanced cyberattacks will begin to focus on finding ways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9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or were implicated in failing to block such attack.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6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As a cybersecurity provider, we have been, and expect to continue to be, a target of cyberattacks. If our internal networks, systems, or data are or are perceived to have been compromised, our reputation may be damaged and our financial results may be negatively affected.</w:t>
      </w:r>
    </w:p>
    <w:p>
      <w:pPr>
        <w:spacing w:after="0" w:line="124"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We are also susceptible to inadvertent compromises of our systems and data, including those arising from process, coding, or human errors. A successful attack or other incident that compromises our or our customers’ data or results in an interruption of service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It is virtually impossible for us to entirely eliminate the risk of such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all of which could damage our relationships with our existing customers and could have a negative effect on our ability to attract and retain new customers. We have expended, and anticipate continuing to expend, significant amounts and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16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9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factors, many of which are beyond our control, can affect the delivery, availability, and the performance of our Falcon platform:</w:t>
      </w:r>
    </w:p>
    <w:p>
      <w:pPr>
        <w:spacing w:after="0" w:line="237"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and maintenance of the infrastructure of the internet;</w:t>
      </w:r>
    </w:p>
    <w:p>
      <w:pPr>
        <w:spacing w:after="0" w:line="225" w:lineRule="exact"/>
        <w:rPr>
          <w:rFonts w:ascii="Arial" w:cs="Arial" w:eastAsia="Arial" w:hAnsi="Arial"/>
          <w:sz w:val="18"/>
          <w:szCs w:val="18"/>
          <w:color w:val="auto"/>
        </w:rPr>
      </w:pPr>
    </w:p>
    <w:p>
      <w:pPr>
        <w:ind w:left="980" w:right="62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performance and availability of third-party providers of cloud infrastructure services, such as AWS, with the necessary speed, data capacity and security for providing reliable internet access and services;</w:t>
      </w:r>
    </w:p>
    <w:p>
      <w:pPr>
        <w:spacing w:after="0" w:line="170" w:lineRule="exact"/>
        <w:rPr>
          <w:rFonts w:ascii="Arial" w:cs="Arial" w:eastAsia="Arial" w:hAnsi="Arial"/>
          <w:sz w:val="18"/>
          <w:szCs w:val="18"/>
          <w:color w:val="auto"/>
        </w:rPr>
      </w:pPr>
    </w:p>
    <w:p>
      <w:pPr>
        <w:ind w:left="980" w:right="160" w:hanging="324"/>
        <w:spacing w:after="0" w:line="263"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83"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physical or electronic break-ins, acts of war or terrorism, human error or interference (including by disgruntled employees, former employees or contractors) and other catastrophic events;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cyberattacks, including denial of service attacks, targeted at us, our data centers, or the infrastructure of the internet;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by us to maintain and update our cloud infrastructure to meet our data capacity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errors, defects or performance problems in our software, including third-party software incorporated in our software;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improper deployment or configuration of our solutions;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right="18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failure of our redundancy systems, in the event of a service disruption at one of our data centers, to provide failover to other data centers in our data center network;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failure of our disaster recovery and business continuity arrangements.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6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spacing w:after="0" w:line="1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65" w:lineRule="exact"/>
        <w:rPr>
          <w:sz w:val="20"/>
          <w:szCs w:val="20"/>
          <w:color w:val="auto"/>
        </w:rPr>
      </w:pPr>
    </w:p>
    <w:p>
      <w:pPr>
        <w:ind w:left="980" w:right="10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the COVID-19 pandemic on our operations, financial results, and liquidity and capital resources, including on customers, sales, expenses, and employees;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new and retain existing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budgeting cycles, seasonal buying patterns, and purchasing practices of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length of our sales cycles;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customer or channel partner requirements or market needs;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growth rate of the cloud-based SaaS-delivered endpoint security solutions market;</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competitive developments, including consolidation among our customers or competitors;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level of awareness of cybersecurity threats, particularly advanced cyberattacks, and the market adoption of our Falcon platform;</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expand our business domestically and internationally;</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decisions by organizations to purchase security solutions from larger, more established security vendors or from their primary IT equipment vendors;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disruption in our relationship with channel partners;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use of our Falcon platform;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extraordinary expenses such as litigation or other dispute-related settlement payments or outcomes;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both domestic and in our foreign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or practices;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media coverage or publicity;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events;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expansion of our business;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 of many of our customers. In addition, we also experience seasonality in our operating margin,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cycles can be long and unpredictable, and our sales efforts require considerable time and expense.</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Our revenue recognition is difficult to predict because of the length and unpredictability of the sales cycle for our Falcon platform, particularly with respect to large organizations and government entities.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our sales cycle.</w:t>
      </w:r>
    </w:p>
    <w:p>
      <w:pPr>
        <w:spacing w:after="0" w:line="15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7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rely on our key technical, sales and management personnel to grow our business, and the loss of one or more key employees could harm our business.</w:t>
      </w:r>
    </w:p>
    <w:p>
      <w:pPr>
        <w:spacing w:after="0" w:line="17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If Mr. Kurtz, or one or more of our key employees, or members of our management team resigns or otherwise ceases to provide us with their service, our business could be harmed.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qualified personnel, our business could be harmed.</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There is also significant competition for personnel with the skills and technical knowledge that we require across our technology, cyber, sales, professional services, and administrative support functions. Competition for these personnel in the San Francisco Bay Area, where our headquarters are located, and in other locations where we maintain offices,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7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customers as well as assist in analyzing and remediating high profile cyberattacks. Our work with such customers has exposed us to publicity and media coverage. Negative publicity about us, including about our management, the efficacy and reliability of our Falcon platform, our products offerings, our professional services, and the customers we work with, even if inaccurate, could adversely affect our reputation and brand.</w:t>
      </w:r>
    </w:p>
    <w:p>
      <w:pPr>
        <w:spacing w:after="0" w:line="17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8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to our direct sales force, we rely on our channel partners to sell and support our Falcon platform. A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Although we anticipate that they may increase in the future, sales to U.S. federal, state, and local governmental agencies have not accounted for, and may never account for, a significant portion of our revenue. U.S. federal, state and local government sales are subject to a number of challenges and risks that may adversely impact our business. Sales to such government entities include the following risks:</w:t>
      </w:r>
    </w:p>
    <w:p>
      <w:pPr>
        <w:spacing w:after="0" w:line="178" w:lineRule="exact"/>
        <w:rPr>
          <w:sz w:val="20"/>
          <w:szCs w:val="20"/>
          <w:color w:val="auto"/>
        </w:rPr>
      </w:pPr>
    </w:p>
    <w:p>
      <w:pPr>
        <w:ind w:left="980" w:right="44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selling to governmental agencies can be highly competitive, expensive and time consuming, often requiring significant upfront time and expense without any assurance that such efforts will generate a sale;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right="120" w:hanging="324"/>
        <w:spacing w:after="0" w:line="259"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 certification requirements applicable to our products may change and, in doing so, restrict our ability to sell into the U.S. federal government sector until we have attained the revised certification. For example, although we are currently certified under the Federal Risk and Authorization Management Program, or FedRAMP, such certification is costly to maintain and if we lost our certification in the future it would restrict our ability to sell to government customers;</w:t>
      </w:r>
    </w:p>
    <w:p>
      <w:pPr>
        <w:spacing w:after="0" w:line="186" w:lineRule="exact"/>
        <w:rPr>
          <w:rFonts w:ascii="Arial" w:cs="Arial" w:eastAsia="Arial" w:hAnsi="Arial"/>
          <w:sz w:val="18"/>
          <w:szCs w:val="18"/>
          <w:color w:val="auto"/>
        </w:rPr>
      </w:pPr>
    </w:p>
    <w:p>
      <w:pPr>
        <w:ind w:left="980" w:right="34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 demand and payment for our Falcon platform may be impacted by public sector budgetary cycles and funding authorizations, with funding reductions or delays adversely affecting public sector demand for our Falcon platform;</w:t>
      </w:r>
    </w:p>
    <w:p>
      <w:pPr>
        <w:spacing w:after="0" w:line="170" w:lineRule="exact"/>
        <w:rPr>
          <w:rFonts w:ascii="Arial" w:cs="Arial" w:eastAsia="Arial" w:hAnsi="Arial"/>
          <w:sz w:val="18"/>
          <w:szCs w:val="18"/>
          <w:color w:val="auto"/>
        </w:rPr>
      </w:pPr>
    </w:p>
    <w:p>
      <w:pPr>
        <w:ind w:left="980" w:right="20" w:hanging="324"/>
        <w:spacing w:after="0" w:line="263"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183" w:lineRule="exact"/>
        <w:rPr>
          <w:rFonts w:ascii="Arial" w:cs="Arial" w:eastAsia="Arial" w:hAnsi="Arial"/>
          <w:sz w:val="18"/>
          <w:szCs w:val="18"/>
          <w:color w:val="auto"/>
        </w:rPr>
      </w:pPr>
    </w:p>
    <w:p>
      <w:pPr>
        <w:ind w:left="980" w:right="60" w:hanging="324"/>
        <w:spacing w:after="0" w:line="263"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1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occurrence of any of the foregoing could cause governments and governmental agencies to delay or refrain from purchasing our solutions in the future or otherwise have an adverse effect on our business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timely and cost-effectively scale and adapt our existing technology to meet our customers’ performance and other requirements.</w:t>
      </w:r>
    </w:p>
    <w:p>
      <w:pPr>
        <w:spacing w:after="0" w:line="24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7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business depends in part on our ability to protect and enforce our intellectual property rights.</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8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 For example, we are currently involved in proceedings before the Trademark Trial and Appeal Board at the U.S. Patent and Trademark Office regarding our U.S. trademark registrations for CrowdStrike Falcon and our U.S. application to register our Falcon OverWatch trademark. Fair Isaac Corporation, or FICO, petitioned to cancel our trademark registrations and opposed our application. If the appeal board were to find against us, it would cancel our trademark registrations for CrowdStrike Falcon and reject our application to register Falcon OverWatch. If FICO were to file an infringement action in court and if we do not prevail in that action, we could ultimately be required to change the names of our solutions, which would force us to incur significant marketing expense in establishing an alternative brand to our existing Falcon brand. We cannot assure you that we will be successful in these rebranding efforts.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6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services or features, effort and expense and may ultimately not be successful.</w:t>
      </w:r>
    </w:p>
    <w:p>
      <w:pPr>
        <w:spacing w:after="0" w:line="19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during which we could be unable to continue to offer our affected products, subscriptions or services, effort, and expense and may ultimately not be successful. Furthermore, a successful claimant could secure a judgment or we may agree to a settlement that prevents us from distributing certain products, providing certain subscriptions or performing certain services or that requires us to pay substantial damages, royalties or other fees. Any of these events could harm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not able to satisfy data protection, security, privacy, and other government- and industry-specific requirements or regulations, our business, results of operations, and financial condition could be harmed.</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Personal privacy, data protection, information security, telecommunications regulations, and other laws applicable to specific categories of information are significant issues in the United States, Europe and in other jurisdictions where we offer our solutions. The data that we collect, analyze, and store is subject to a variety of laws and regulations, including regulation by various government agencies. The U.S. federal government, and various state and foreign governments, have adopted or proposed limitations on the collection, distribution, use, and storage of certain categories of information, such as personally identifiable information of individuals, health information, and other sector-specific types of data, including the Federal Trade Commission, the Electronic Communication Privacy Act, Computer Fraud and Abuse Act, HIPAA, and the Gramm Leach Bliley Act. Laws and regulations outside the United States, and particularly in Europe, often are more restrictive than those in the United States. Such laws and regulations may require companies to implement privacy and security policies, permit customers to access, correct, and delete personal information stored or maintained by such companies, inform individuals of security breaches that affect their personal information, and, in some cases, obtain individuals’ consent to use personally identifiable information for certain purposes. In addition, some foreign governments require that any information of certain categories, such as financial or personally identifiable information collected in a country not be disseminated outside of that country. We also may find it necessary or desirable to join industry or other self-regulatory bodies or other information security or data protection-related organizations that require compliance with their rules pertaining to information security and data protection. We also may be bound by additional, more stringent contractual obligations relating to our collection, use and disclosure of personal, financial, and other data.</w:t>
      </w:r>
    </w:p>
    <w:p>
      <w:pPr>
        <w:spacing w:after="0" w:line="184"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information security, specific categories of data, electronic, and telecommunications services in the United States, the European Union and other jurisdictions in which we operate or may operate, and we cannot yet determine the impact such future laws, regulations, standards, or perception of their requirements may have on our business. For example, the European Commission adopted the European General Data Protection Regulation, or GDPR, that became fully effective in May 2018, and applies to the processing (which includes the collection and use) of certain personal data. As compared to previously-effective data protection law in the European Union, the GDPR imposes additional obligations and risk upon our business and increases substantially the penalties to which we could be subject in the event of any non-compliance. Administrative fines under the GDPR can amount up to</w:t>
      </w:r>
    </w:p>
    <w:p>
      <w:pPr>
        <w:spacing w:after="0" w:line="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20 million Euros or four percent of our worldwide annual revenue for the prior fiscal year, whichever is higher. We have incurred substantial expense in complying with the obligations imposed by the GDPR and we may be required to do so in the future, potentially making significant changes in our business operations, which may adversely affect our revenue and our business overall. Additionally, because there have been very few GDPR actions enforced against companies, we are unable to predict how they will be applied to us or our customers. Despite our efforts to attempt to comply with the GDPR, a regulator may determine that we have not done so and subject us to fines and public censure, which could harm our company. Among other requirements, the GDPR regulates transfers of personal data subject to the GDPR to third countries that have not been found to provide adequate protection to such personal data, including the United States. We have undertaken certain efforts to conform transfers of personal data from the European Economic Area, or EEA, to the United States and other jurisdictions based on our understanding of current regulatory obligations and the guidance of data protection authorities. Despite this, we may be unsuccessful in establishing or maintaining conforming means of transferring such data from the EEA, in particular as a result of continued legal and legislative activity within the European Union that has challenged or called into question the legal basis for existing means of data transfers to countries that have not been found to provide adequate protection for personal data.</w:t>
      </w:r>
    </w:p>
    <w:p>
      <w:pPr>
        <w:spacing w:after="0" w:line="174"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implementation of the GDPR has led other jurisdictions to either amend, or propose legislation to amend their existing data privacy and cybersecurity laws to resemble all or a portion of the requirements of the GDPR (e.g., for purposes of having an adequate level of data protection to facilitate data transfers from the EU) or enact new laws to do the same. Accordingly, the challenges we face in the EU will likely also apply to other jurisdictions outside the EU that adopt laws similar in construction to the GDPR or regulatory frameworks of equivalent complexity. For example, on June 28, 2018, California adopted the California Consumer Privacy Act of 2018, or CCPA, which went into effect on January 1, 2020. The CCPA has been characterized as the first “GDPR-like” privacy statute to be enacted in the United States because it contains a number of provisions similar to certain provisions of the GDPR. Although the law has gone into effect, final Attorney General guidance remains forthcoming, and we are unable to predict how CCPA enforcement may be applied to our customers or us.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Evolving and changing definitions of personal data and personal information within the European Union, the United States, and elsewhere, especially relating to classification of IP addresses, machine identification, location data and other information, may limit or inhibit our ability to operate or expand our business, including limiting technology alliance partnerships that may involve the sharing of data. Even the perception of privacy concerns, whether or not valid, may harm our reputation, inhibit adoption of our products by current and future customers, or adversely impact our ability to attract and retain workforce talent. In addition, changes in laws or regulations that adversely affect the use of the internet, including laws impacting net neutrality, could impact our business. We expect that existing laws, regulations and standards may be interpreted in new manners in the future. Future laws, regulations, standards and other obligations, and changes in the interpretation of existing laws, regulations, standards and other obligations could require us to modify our solutions, restrict our business operations, increase our costs and impair our ability to maintain and grow our customer base and increase our revenue.</w:t>
      </w:r>
    </w:p>
    <w:p>
      <w:pPr>
        <w:spacing w:after="0" w:line="196"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Beyond broader data processing regulations affecting our business, the cybersecurity industry may face direct regulation. In 2018, Singapore introduced what is believed to be the world’s first cybersecurity licensing requirement, mandating that providers of specific types of incident response services receive a government license before providing such services. License requirements such as these may impose upon CrowdStrike significant organizational costs and high barriers of entry into new markets.</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Although we work to comply with applicable laws and regulations, certain applicable industry standards with which we represent compliance, and our contractual obligations and other legal obligations, those laws, regulations, standards and obligations are evolving and may be modified, interpreted and applied in an inconsistent manner from one jurisdiction to another, and may conflict with one another. In addition, they may conflict with other requirements or legal obligations that apply to our business or the security features and services that our customers expect from our solutions. As such, we cannot assure ongoing compliance with all such laws, regulations, standards and obligations. Any failure or perceived failure by us or our employees, representatives, contractors, channel partners, agents, intermediaries, or other third parties to comply with applicable laws and regulations, or applicable industry standards that we represent compliance with or that may be asserted to apply to us, or to comply with employee, customer, partner, and other data privacy and data security requirements pursuant to contract and our stated notices or policies, could result in enforcement actions against us, including fines, imprisonment of company officials and public censure, claims for damages by customers and other affected individuals, damage to our reputation and loss of goodwill (both in relation to existing customers and prospective customers), any of which could have a material adverse effect on our operations, financial performance and business. Any inability of us or our employees, representatives, contractors, channel partners, agents, intermediaries, or other third parties to adequately address privacy and security concerns, even if unfounded, or comply with applicable laws, regulations, standards and obligations, could result in additional cost and liability to us, damage our reputation, inhibit sales, and adversely affect our business and results of operations.</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70"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Our business is subject to regulation by various federal, state, local and foreign governmental agencies, including agencies responsible for monitoring and enforcing privacy and data protection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Noncompliance by us, our employees, representatives, contractors, channel partners, agents, intermediaries, or other third parties with applicable regulations or requirements could subject us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-191135</wp:posOffset>
            </wp:positionV>
            <wp:extent cx="349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pacing w:after="0" w:line="136"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investigations, enforcement actions and sanctions;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mandatory changes to our Falcon platform;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disgorgement of profits, fines and damages;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civil and criminal penalties or injunctions;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claims for damages by our customers or channel partners;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termination of contracts;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our license to do business in the jurisdictions in which we operate;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temporary or permanent debarment from sales to government organizations.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87"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8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and could result in reduced sales of our products, substantial product inventory write-offs, reputational damage, penalties, and other sanctions, any of which could harm our business, reputation, and results of operations.</w:t>
      </w:r>
    </w:p>
    <w:p>
      <w:pPr>
        <w:spacing w:after="0" w:line="19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are subject to laws and regulations, including governmental export and import controls, sanctions, and anti-corruption laws, that could impair our ability to compete in our markets and subject us to liability if we are not in full compliance with applicable laws.</w:t>
      </w:r>
    </w:p>
    <w:p>
      <w:pPr>
        <w:spacing w:after="0" w:line="14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are subject to laws and regulations, including governmental export controls, that could subject us to liability or impair our ability to compete in our markets. Our products are subject to U.S. export controls, including the U.S. Department of Commerce’s Export Administration Regulations, and we and our employees, representatives, contractors, agents, intermediaries, and other third parties are also subject to various economic and trade sanctions regulations administered by the U.S. Treasury Department’s Office of Foreign Assets Control. We incorporate standard encryption algorithms into our products, which, along with the underlying technology, may be exported outside of the U.S. only with the required export authorizations, including by license, license exception or other appropriate government authorizations, which may require the filing of an encryption registration and classification request. Furthermore, U.S. export control laws and economic sanctions prohibit the shipment of certain cloud-based solutions to countries, governments, and persons targeted by U.S. sanctions. We also collect information about cyber threats from open sources, intermediaries, and third parties that we make available to our customers in our threat industry publications. While we have implemented certain procedures to facilitate compliance with applicable laws and regulations in connection with the collection of this information, we cannot assure you that these procedures have been effective or that we, or third parties, many of whom we do not control, have complied with all laws or regulations in this regard. Failure by our employees, representatives, contractors, channel partners, agents, intermediaries, or other third parties to comply with applicable laws and regulations in the collection of this information also could have negative consequences to us, including reputational harm, government investigations and penalties.</w:t>
      </w:r>
    </w:p>
    <w:p>
      <w:pPr>
        <w:spacing w:after="0" w:line="174"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Although we take precautions to prevent our information collection practices and services from being provided in violation of such laws, our information collection practices and services may have been in the past, and could in the future be, provided in violation of such laws. If we or our employees, representatives, contractors, channel partners, agents, intermediaries, or other third parties fail to comply with these laws and regulations, we could be subject to civil or criminal penalties, including the possible loss of export privileges and fines. We may also be adversely affected through reputational harm, loss of access to certain markets, or otherwise. Obtaining the necessary authorizations, including any required license, for a particular transaction may be time-consuming, is not guaranteed and may result in the delay or loss of sales opportunities.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Various countries regulate the import of certain encryption technology, including through import permit and license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into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results of operations, and financial condition.</w:t>
      </w:r>
    </w:p>
    <w:p>
      <w:pPr>
        <w:spacing w:after="0" w:line="196"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We are also subject to the U.S. Foreign Corrupt Practices Act of 1977, or FCPA, the UK Bribery Act 2010, or Bribery Act, and other anti-corruption, sanctions, anti-bribery, anti-money laundering and similar laws in the United States and other countries in which we conduct activities. Anti-corruption and anti-bribery laws, which have been enforced aggressively and are interpreted broadly, prohibit companies and their employees, agents, intermediaries, and other third parties from promising, authorizing, making or offering improper payments or other benefits to government officials and others in the private sector. We leverage third parties, including intermediaries, agents, and channel partners, to conduct our business in the U.S. and abroad, to sell subscriptions to our Falcon platform and to collect information about cyber threats. We and these third-parties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agents, intermediaries, and other third parties, even if we do not explicitly authorize such activities. While we have policies and procedures to address compliance with FCPA, Bribery Act and other anti-corruption, sanctions, anti-bribery, anti-money laundering and similar laws, we cannot assure you that they will be effective, or that all of our employees, representatives, contractors, channel partners, agents, intermediaries, or other third parties have taken, or will not take actions, in violation of our policies and applicable law, for which we may be ultimately held responsible. As we increase our international sales and business, 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harm our reputation, business, results of operations and financial condition.</w:t>
      </w:r>
    </w:p>
    <w:p>
      <w:pPr>
        <w:spacing w:after="0" w:line="1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Some of our technology incorporates “open source” software, which could negatively affect our ability to sell our Falcon platform and subject us to possible litigation.</w:t>
      </w:r>
    </w:p>
    <w:p>
      <w:pPr>
        <w:spacing w:after="0" w:line="17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6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66"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resulting in time-consuming and costly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diverting management’s time and attention from developing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us to pay monetary damages or enter into royalty and licensing agreements that we would not normally find acceptable;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causing delays in the deployment of our Falcon platform or service offerings to our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us to stop offering certain services or features of our Falcon platform;</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us to redesign certain components of our Falcon platform using alternative non-infringing or non-open source technology, which could require significant effort and expense;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us to disclose our software source code and the detailed program commands for our software;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us to satisfy indemnification obligations to our customers.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 for such commitments. Our revenue, other results of operations and financial condition could be harmed if we suffer performance issues or downtime that exceeds the service level commitments under our agreements with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litigation that may adversely affect us.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are regularly subject to claims, suits, and government investigations and other proceedings including patent, product liability, class action, whistleblower, personal injury, property damage, labor and employment, commercial disputes, compliance with laws and regulatory requirements and other matters, and we may become subject to additional types of claims, suits, investigations and proceedings as our business develops. For example, we, along with certain other cybersecurity providers, currently are subject to a civil investigation regarding participation in cybersecurity testing standard-setting and allegations that this standard-setting facilitated a concerted refusal to deal with cybersecurity testing organizations that did not adhere to those standards. While we believe that we have acted in compliance in all material respects with applicable antitrust laws, such investigation, as well as any other claims, suits, and government investigations and proceedings that may be asserted against us in the future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customer satisfaction depends in part on the quality of our customer support.</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expect that our existing cash and cash equivalents will be sufficient to meet our anticipated cash needs for working capital and capital expenditures for at least the next 12 months. Retaining or expanding our current levels of personnel and products offerings may require additional funds to respond to business challenges, including the need to develop new products and enhancements to our Falcon platform, improve our operating infrastructure, or acquire complementary businesses and technologies. Our failure to raise additional capital or generate the significant capital necessary to expand our operations and invest in new products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debt financing, the holders of debt would have priority over the holders of our Class A common stock, and we may be required to accept terms that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8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84"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do not cover our indemnification obligations as described in the section titled “Management’s Discussion and Analysis of Financial Condition and Results of Operations—Indemnification”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9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8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18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customers a limited warranty, subject to certain conditions, with our Falcon Complete cloud module and our potential liability under this warranty is provided by our insurance carrier to us.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6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credit agreement contains restrictive covenants that limit our ability to borrow more money, to make distributions to our stockholders, and to engage in certain other activities, as well as financial covenants that may limit our operating flexibility.</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Our existing credit agreement contains a number of covenants that limit our ability and our subsidiaries’ ability to, among other things, transfer or dispose of assets, pay dividends or make distributions, incur additional indebtedness, create liens, make investments, loans and acquisitions, engage in transactions with affiliates, merge or consolidate with other companies, or sell substantially all of our assets. Our credit agreement is guaranteed by us and certain of our subsidiaries and secured by substantially all of the assets of the borrower subsidiary, us, and the guarantor subsidiaries. The terms of our credit agreement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 Additionally, our credit agreement includes financial covenants that require us to maintain minimum growth rates of our recurring subscription revenue, and to maintain minimum liquidity at specified levels. We may not be able to generate sufficient cash flow or sales to meet the financial covenants or pay the principal or interest under the credit facility.</w:t>
      </w:r>
    </w:p>
    <w:p>
      <w:pPr>
        <w:spacing w:after="0" w:line="16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If we are unable to comply with our payment requirements, our lender may accelerate our obligations under our credit agreement and foreclose upon the collateral, or we may be forced to sell assets, restructure our indebtedness or seek additional equity capital, which would dilute our stockholders’ interests. If we fail to comply with any covenant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The requirements of being a public company may strain our resources, divert managements’ attention, and if we fail to maintain an effective system of internal controls, our ability to produce timely and accurate financial statements or comply with applicable regulations could be impaired.</w:t>
      </w:r>
    </w:p>
    <w:p>
      <w:pPr>
        <w:spacing w:after="0" w:line="100"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As a new public company, we recently became subject to the reporting requirements of the Securities Exchange Act of 1934, as amended, or the Exchange Act, the Sarbanes-Oxley Act of 2002, or the Sarbanes-Oxley Act, and the rules and regulations of Nasdaq. We expect that the requirements of these rules and regulations will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9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are required to file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As a result of becoming a public company, our management is required, pursuant to Section 404 of the Sarbanes-Oxley Act, to certify financial and other information in our quarterly and annual reports and provide an annual management report on the effectiveness of our internal control over financial reporting commencing with our second Annual Report on Form 10-K.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and results of operations.</w:t>
      </w:r>
    </w:p>
    <w:p>
      <w:pPr>
        <w:spacing w:after="0" w:line="16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 Any failure to maintain effective disclosure controls and internal control over financial reporting could have a material and adverse effect on our business and results of operations and could cause a decline in the price of our stock.</w:t>
      </w:r>
    </w:p>
    <w:p>
      <w:pPr>
        <w:spacing w:after="0" w:line="18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results of operations and financial condition.</w:t>
      </w:r>
    </w:p>
    <w:p>
      <w:pPr>
        <w:spacing w:after="0" w:line="12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As part of our business strategy, we have in the past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risks we may face in connection with acquisitions include:</w:t>
      </w:r>
    </w:p>
    <w:p>
      <w:pPr>
        <w:spacing w:after="0" w:line="225"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coordination of research and development and sales and marketing functions;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integration of product and service offerings;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relationships with strategic partners as a result of product acquisitions or strategic positioning resulting from the acquisition;</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integration of the acquired company’s accounting, management information, human resources and other administrative systems;</w:t>
      </w:r>
    </w:p>
    <w:p>
      <w:pPr>
        <w:spacing w:after="0" w:line="236" w:lineRule="exact"/>
        <w:rPr>
          <w:rFonts w:ascii="Arial" w:cs="Arial" w:eastAsia="Arial" w:hAnsi="Arial"/>
          <w:sz w:val="17"/>
          <w:szCs w:val="17"/>
          <w:color w:val="auto"/>
        </w:rPr>
      </w:pPr>
    </w:p>
    <w:p>
      <w:pPr>
        <w:ind w:left="980" w:right="16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legal, regulatory or compliance requirements;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reporting, revenue recognition or other financial or control deficiencies of the acquired company that we don’t adequately address and that cause our reported results to be incorrect;</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violations of laws, commercial disputes, tax liabilities and other known and unknown liabilities;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write-offs or charges; and</w:t>
      </w:r>
    </w:p>
    <w:p>
      <w:pPr>
        <w:spacing w:after="0" w:line="225" w:lineRule="exact"/>
        <w:rPr>
          <w:rFonts w:ascii="Arial" w:cs="Arial" w:eastAsia="Arial" w:hAnsi="Arial"/>
          <w:sz w:val="18"/>
          <w:szCs w:val="18"/>
          <w:color w:val="auto"/>
        </w:rPr>
      </w:pPr>
    </w:p>
    <w:p>
      <w:pPr>
        <w:ind w:left="980" w:right="64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70"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4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200" w:lineRule="exact"/>
        <w:rPr>
          <w:sz w:val="20"/>
          <w:szCs w:val="20"/>
          <w:color w:val="auto"/>
        </w:rPr>
      </w:pPr>
    </w:p>
    <w:p>
      <w:pPr>
        <w:spacing w:after="0" w:line="3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international operations and plans for future international expansion expose us to significant risks, and failure to manage those risks could adversely impact our business.</w:t>
      </w:r>
    </w:p>
    <w:p>
      <w:pPr>
        <w:spacing w:after="0" w:line="170"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We derived approximately 17%, 23%, 26%, and 27% of our total revenue from our international customers for fiscal 2018, fiscal 2019, fiscal 2020, and the three months ended April 30, 2020,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76"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greater difficulty in negotiating contracts with standard terms, enforcing contracts and managing collections, and longer collection periods;</w:t>
      </w:r>
    </w:p>
    <w:p>
      <w:pPr>
        <w:spacing w:after="0" w:line="248" w:lineRule="exact"/>
        <w:rPr>
          <w:rFonts w:ascii="Arial" w:cs="Arial" w:eastAsia="Arial" w:hAnsi="Arial"/>
          <w:sz w:val="16"/>
          <w:szCs w:val="16"/>
          <w:color w:val="auto"/>
        </w:rPr>
      </w:pPr>
    </w:p>
    <w:p>
      <w:pPr>
        <w:ind w:left="980" w:right="22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costs incurred in establishing and maintaining office space and equipment for our international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and geographic dispersion;</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associated with trade restrictions and foreign legal requirements, including any importation, certification, and localization of our Falcon platform that may be required in foreign countries;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risk of unexpected changes in regulatory practices, tariffs, and tax laws and treaties;</w:t>
      </w:r>
    </w:p>
    <w:p>
      <w:pPr>
        <w:spacing w:after="0" w:line="225" w:lineRule="exact"/>
        <w:rPr>
          <w:rFonts w:ascii="Arial" w:cs="Arial" w:eastAsia="Arial" w:hAnsi="Arial"/>
          <w:sz w:val="18"/>
          <w:szCs w:val="18"/>
          <w:color w:val="auto"/>
        </w:rPr>
      </w:pPr>
    </w:p>
    <w:p>
      <w:pPr>
        <w:ind w:left="980" w:right="380" w:hanging="324"/>
        <w:spacing w:after="0" w:line="263"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anti-bribery laws, including, without limitation, compliance with the U.S. Foreign Corrupt Practices Act of 1977, as amended, the U.S. Travel Act and the UK Bribery Act 2010, violations of which could lead to significant fines, penalties, and collateral consequences for our company;</w:t>
      </w:r>
    </w:p>
    <w:p>
      <w:pPr>
        <w:spacing w:after="0" w:line="183"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and political conditions in these foreign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exchange controls or tax regulations that might prevent us from repatriating cash earned outside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and economic instability in some countries;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tax laws of the United States or the foreign jurisdictions in which we operate;</w:t>
      </w:r>
    </w:p>
    <w:p>
      <w:pPr>
        <w:spacing w:after="0" w:line="170" w:lineRule="exact"/>
        <w:rPr>
          <w:rFonts w:ascii="Arial" w:cs="Arial" w:eastAsia="Arial" w:hAnsi="Arial"/>
          <w:sz w:val="18"/>
          <w:szCs w:val="18"/>
          <w:color w:val="auto"/>
        </w:rPr>
      </w:pPr>
    </w:p>
    <w:p>
      <w:pPr>
        <w:ind w:left="980" w:right="44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costs for the localization of our services, including translation into foreign languages and adaptation for local practices and regulatory requirements;</w:t>
      </w:r>
    </w:p>
    <w:p>
      <w:pPr>
        <w:spacing w:after="0" w:line="170" w:lineRule="exact"/>
        <w:rPr>
          <w:rFonts w:ascii="Arial" w:cs="Arial" w:eastAsia="Arial" w:hAnsi="Arial"/>
          <w:sz w:val="18"/>
          <w:szCs w:val="18"/>
          <w:color w:val="auto"/>
        </w:rPr>
      </w:pPr>
    </w:p>
    <w:p>
      <w:pPr>
        <w:ind w:left="980" w:right="52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greater difficulty in identifying, attracting and retaining local qualified personnel, and the costs and expenses associated with such activities;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difficulty identifying qualified channel partners and maintaining successful relationships with such partners;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 issues; and</w:t>
      </w:r>
    </w:p>
    <w:p>
      <w:pPr>
        <w:spacing w:after="0" w:line="225" w:lineRule="exact"/>
        <w:rPr>
          <w:rFonts w:ascii="Arial" w:cs="Arial" w:eastAsia="Arial" w:hAnsi="Arial"/>
          <w:sz w:val="18"/>
          <w:szCs w:val="18"/>
          <w:color w:val="auto"/>
        </w:rPr>
      </w:pPr>
    </w:p>
    <w:p>
      <w:pPr>
        <w:ind w:left="980" w:right="34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offices and increased travel, infrastructure, and legal compliance costs associated with multiple international locations.</w:t>
      </w:r>
    </w:p>
    <w:p>
      <w:pPr>
        <w:spacing w:after="0" w:line="200" w:lineRule="exact"/>
        <w:rPr>
          <w:sz w:val="20"/>
          <w:szCs w:val="20"/>
          <w:color w:val="auto"/>
        </w:rPr>
      </w:pPr>
    </w:p>
    <w:p>
      <w:pPr>
        <w:spacing w:after="0" w:line="3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Additionally,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British Pound, Indian Rupee, Euro, Australian Dollar, and Canadian Dollar,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87"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CrowdStrike is a highly-visible public company whose management, products, business, results of operations, statements and actions are scrutinized by third-parties whose influence could negatively impact the perception of our brand and the market value of our Class A common stock.</w:t>
      </w:r>
    </w:p>
    <w:p>
      <w:pPr>
        <w:spacing w:after="0" w:line="100"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CrowdStrike is a highly-visible public company whose management, products, business, results of operations, statements and actions are publicized. Such attention sometimes includes criticism of us by a range of third-parties. Our continued success depends on our ability to focus on executing on our mission and business plan while maintaining the trust of our current and potential customers, employees, stockholders and business partners. Any criticism, whether or not accurate, could influence the perception of our brand or our management by our customers, suppliers or investors, which could adversely impact our business prospects, operating results and the market value of our Class A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of January 31, 2020, we had aggregate U.S. federal and California net operating loss carryforwards of $657.3 million and $94.8 million, respectively, which may be available to offset future taxable income for income tax purposes. If not utilized, the federal and California net operating loss carryforwards will begin to expire in 2031. As of January 31, 2020, we had net operating loss carryforwards for other states of $352.8 million that will begin to expire in 2023. As of January 31, 2020, we had federal and California research and development credit carryforwards of $17.2 million and $4.3 million, respectively. The federal research and development credit carryforwards will begin to expire in 2031, and the California carryforwards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19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24"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70"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6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8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doubtful accounts; valuation of common stock and redeemable convertible preferred stock warrants; carrying value and useful lives of long-lived assets; loss contingencies; and the provision for income taxes and related deferred taxes. Additionally, as a result of the global COVID-19 pandemic, many of management’s estimates and assumptions require increased</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judgment and carry a higher degree of variability and volatility.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spacing w:after="0" w:line="19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outbreak of diseases and other natural catastrophic events, and to interruption by man-made problems such as power disruptions, computer viruses, data security breaches or terrorism.</w:t>
      </w:r>
    </w:p>
    <w:p>
      <w:pPr>
        <w:spacing w:after="0" w:line="17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corporate headquarters are located in the San Francisco Bay Area, a region known for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The outbreak of a contagious disease like COVID-19 has, among other things, prompted responses such as government-imposed travel restrictions, the grounding of flights, and the shutdown of workplaces. It is not possible for us to predict the duration or magnitude of the adverse results of the outbreak and its effects on our business or results of operations at this time. Natural disasters and other catastrophic events such as COVID-19,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In the event that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our internal systems may be victimized by such attacks.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Acts of terrorism and other geo-political unrest could also cause disruptions in our business or the business of our supply chain, manufacturers, logistics providers, partners, or customers or the economy as a whole. Any disruption in the business of our supply chain, manufacturers, logistics providers, partners or end-customers that impacts sales at the end of a fiscal quarter could have a significant adverse impact on our financial results. All of the aforementioned risks may be further increased if the disaster recovery plans for us and our suppliers prove to be inadequate. To the extent that any of the above should result in delays or cancellations of customer orders, or the delay in the manufacture, deployment or shipment of our products, our business, financial condition and results of operations would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Class A common stock may be volatile, and you could lose all or part of your investment.</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In addition, the limited public float of our Class A common stock tends to increase the volatility of the trading price of our Class A common stock. These fluctuations could cause you to lose all or part of your investment in our Class A common stock. Factors that could cause fluctuations in the market price of our Class A common stock include the following:</w:t>
      </w:r>
    </w:p>
    <w:p>
      <w:pPr>
        <w:spacing w:after="0" w:line="188"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225" w:lineRule="exact"/>
        <w:rPr>
          <w:rFonts w:ascii="Arial" w:cs="Arial" w:eastAsia="Arial" w:hAnsi="Arial"/>
          <w:sz w:val="18"/>
          <w:szCs w:val="18"/>
          <w:color w:val="auto"/>
        </w:rPr>
      </w:pPr>
    </w:p>
    <w:p>
      <w:pPr>
        <w:ind w:left="980" w:right="460" w:hanging="324"/>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right="4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 particularly with respect to Mr. Kurtz;</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effects of public health crises, pandemics and epidemics, such as COVID-19;</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have an adverse effect on our business, results of operations and financial condition.</w:t>
      </w:r>
    </w:p>
    <w:p>
      <w:pPr>
        <w:spacing w:after="0" w:line="17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spacing w:after="0" w:line="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 xml:space="preserve">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As of May 31, 2020, we had </w:t>
      </w:r>
      <w:r>
        <w:rPr>
          <w:rFonts w:ascii="Arial" w:cs="Arial" w:eastAsia="Arial" w:hAnsi="Arial"/>
          <w:sz w:val="15"/>
          <w:szCs w:val="15"/>
          <w:color w:val="auto"/>
        </w:rPr>
        <w:t>151,213,435</w:t>
      </w:r>
      <w:r>
        <w:rPr>
          <w:rFonts w:ascii="Arial" w:cs="Arial" w:eastAsia="Arial" w:hAnsi="Arial"/>
          <w:sz w:val="17"/>
          <w:szCs w:val="17"/>
          <w:color w:val="auto"/>
        </w:rPr>
        <w:t xml:space="preserve"> shares of Class A common stock outstanding and </w:t>
      </w:r>
      <w:r>
        <w:rPr>
          <w:rFonts w:ascii="Arial" w:cs="Arial" w:eastAsia="Arial" w:hAnsi="Arial"/>
          <w:sz w:val="15"/>
          <w:szCs w:val="15"/>
          <w:color w:val="auto"/>
        </w:rPr>
        <w:t>64,780,310</w:t>
      </w:r>
      <w:r>
        <w:rPr>
          <w:rFonts w:ascii="Arial" w:cs="Arial" w:eastAsia="Arial" w:hAnsi="Arial"/>
          <w:sz w:val="17"/>
          <w:szCs w:val="17"/>
          <w:color w:val="auto"/>
        </w:rPr>
        <w:t xml:space="preserve"> shares of Class B common stock outstanding.</w:t>
      </w:r>
    </w:p>
    <w:p>
      <w:pPr>
        <w:spacing w:after="0" w:line="17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All of the shares of Class A common stock sold in our initial public offering are freely tradable without restrictions or further registration under the Securities Act of 1933, as amended, or the Securities Act, except for any shares held by our affiliates as defined in Rule 144 under the Securities Act.</w:t>
      </w:r>
    </w:p>
    <w:p>
      <w:pPr>
        <w:spacing w:after="0" w:line="124"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In addition, certain holders of our Class B common stock are entitled to rights with respect to registration of these shares under the Securities Act pursuant to our amended and restated registration rights agreement, or RRA. If these holders of our Class B common stock, by exercising their registration rights, sell a large number of shares, they could adversely affect the market price for our Class A common stock.</w:t>
      </w:r>
    </w:p>
    <w:p>
      <w:pPr>
        <w:spacing w:after="0" w:line="16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financial analysts publish about us or our business. We do not control these analysts or the content and opinions included in their reports. As a new public company, the analysts who publish information about our Class A common stock have had relatively little experience with our company, which could affect their ability to accurately forecast our results and make it more likely that we fail to meet their estimates.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85"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spacing w:after="0" w:line="18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the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w:t>
      </w:r>
    </w:p>
    <w:p>
      <w:pPr>
        <w:spacing w:after="0" w:line="19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As of April 30, 2020, our executive officers, directors, two of our current stockholders and their respective affiliates held, in aggregate, 79% of the voting power of our outstanding capital stock. Furthermore, two of our current stockholders and their respective affiliates held, in aggregate, 52%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Corporate action might be taken even if other stockholders, including those who purchased shares in our initial public offering, oppose them.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16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Further, our amended and restated certificate of incorporation provides that, to the fullest extent permitted by law, the doctrine of “corporate opportunity” does not apply to Accel and Warburg Pincus, or their respective affiliates, in a manner that would prohibit them from investing in competing businesses or doing business with our partners or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our common stock are subordinate to our debts and other liabilities, resulting in a greater risk of loss for stockholders.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Shares of our common stock are subordinate in right of payment to all of our current and future debt. We cannot assure that there would be any remaining funds after the payment of all of our debts for any distribution to our common stockholders.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170"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For so long as we remain an “emerging growth company” as defined in the JOBS Act, we may take advantage of certain exemptions from various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we are no longer an emerging growth company. We would cease to be an emerging growth company upon the earliest to occur of: (i) the first fiscal year following the fifth anniversary of our initial public offering; (ii) the first fiscal year after our annual gross revenue is $1.07 billion or more; (iii) the date on which we have, during the previous three-year period, issued more than $1.0 billion in non-convertible debt securities; or (iv) date on which we qualify as a “large accelerated filer,” as defined in Rule 12b-2 under the Exchange Act, </w:t>
      </w:r>
      <w:r>
        <w:rPr>
          <w:rFonts w:ascii="Arial" w:cs="Arial" w:eastAsia="Arial" w:hAnsi="Arial"/>
          <w:sz w:val="17"/>
          <w:szCs w:val="17"/>
          <w:color w:val="373739"/>
        </w:rPr>
        <w:t>which would occur at the end of the fiscal year in which the market value of our</w:t>
      </w:r>
      <w:r>
        <w:rPr>
          <w:rFonts w:ascii="Arial" w:cs="Arial" w:eastAsia="Arial" w:hAnsi="Arial"/>
          <w:sz w:val="17"/>
          <w:szCs w:val="17"/>
          <w:color w:val="auto"/>
        </w:rPr>
        <w:t xml:space="preserve"> </w:t>
      </w:r>
      <w:r>
        <w:rPr>
          <w:rFonts w:ascii="Arial" w:cs="Arial" w:eastAsia="Arial" w:hAnsi="Arial"/>
          <w:sz w:val="17"/>
          <w:szCs w:val="17"/>
          <w:color w:val="373739"/>
        </w:rPr>
        <w:t>common stock held by non-affiliates exceeded $700.0 million as of the end of the second quarter of that fiscal year, and after which we have been a reporting company for at least 12 months</w:t>
      </w:r>
      <w:r>
        <w:rPr>
          <w:rFonts w:ascii="Arial" w:cs="Arial" w:eastAsia="Arial" w:hAnsi="Arial"/>
          <w:sz w:val="17"/>
          <w:szCs w:val="17"/>
          <w:color w:val="000000"/>
        </w:rPr>
        <w:t>. Further, pursuant to Section 107 of the JOBS Act, as an emerging growth company, we have elected to take</w:t>
      </w:r>
      <w:r>
        <w:rPr>
          <w:rFonts w:ascii="Arial" w:cs="Arial" w:eastAsia="Arial" w:hAnsi="Arial"/>
          <w:sz w:val="17"/>
          <w:szCs w:val="17"/>
          <w:color w:val="373739"/>
        </w:rPr>
        <w:t xml:space="preserve"> </w:t>
      </w:r>
      <w:r>
        <w:rPr>
          <w:rFonts w:ascii="Arial" w:cs="Arial" w:eastAsia="Arial" w:hAnsi="Arial"/>
          <w:sz w:val="17"/>
          <w:szCs w:val="17"/>
          <w:color w:val="000000"/>
        </w:rPr>
        <w:t>advantage of the extended transition period for complying with new or revised accounting standards until those standards would otherwise apply to private companies. As a result, our results of operations and financial statements may not be comparable to the results of operations and financial statements of other companies who have adopted the new or revised accounting standards. We cannot predict if investors will find our Class A common stock less attractive because we may rely on these exemptions. If some investors find our Class A common stock less attractive as a result, our stock price may be more volatile.</w:t>
      </w:r>
    </w:p>
    <w:p>
      <w:pPr>
        <w:spacing w:after="0" w:line="1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stock incentive plans, or otherwise will dilute all other stockholders.</w:t>
      </w:r>
    </w:p>
    <w:p>
      <w:pPr>
        <w:spacing w:after="0" w:line="170"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Our amended and restated certificate of incorporation authorizes us to issue up to 2,000,000,000 shares of Class A common stock, up to 300,000,000 shares of Class B common stock, and up to 100,000,000 shares of preferred stock with such rights and preferences as may be determined by our board of directors. Subject to compliance with applicable rules and regulations, we may issue shares of Class A common stock or securities convertible into shares of our Class A common stock from time to time in connection with a financing, acquisition, investment, our stock incentive plans or otherwise. Any such issuance could result in substantial dilution to our existing stockholders and cause the market price of our Class A common stock to decline.</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spacing w:after="0" w:line="184"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65" w:lineRule="exact"/>
        <w:rPr>
          <w:sz w:val="20"/>
          <w:szCs w:val="20"/>
          <w:color w:val="auto"/>
        </w:rPr>
      </w:pPr>
    </w:p>
    <w:p>
      <w:pPr>
        <w:ind w:left="980" w:hanging="324"/>
        <w:spacing w:after="0" w:line="263"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right="22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ind w:left="980" w:right="220" w:hanging="324"/>
        <w:spacing w:after="0" w:line="342" w:lineRule="auto"/>
        <w:tabs>
          <w:tab w:leader="none" w:pos="97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23" w:lineRule="exact"/>
        <w:rPr>
          <w:rFonts w:ascii="Arial" w:cs="Arial" w:eastAsia="Arial" w:hAnsi="Arial"/>
          <w:sz w:val="16"/>
          <w:szCs w:val="16"/>
          <w:color w:val="auto"/>
        </w:rPr>
      </w:pPr>
    </w:p>
    <w:p>
      <w:pPr>
        <w:ind w:left="980" w:right="520" w:hanging="324"/>
        <w:spacing w:after="0" w:line="342" w:lineRule="auto"/>
        <w:tabs>
          <w:tab w:leader="none" w:pos="97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23" w:lineRule="exact"/>
        <w:rPr>
          <w:rFonts w:ascii="Arial" w:cs="Arial" w:eastAsia="Arial" w:hAnsi="Arial"/>
          <w:sz w:val="16"/>
          <w:szCs w:val="16"/>
          <w:color w:val="auto"/>
        </w:rPr>
      </w:pPr>
    </w:p>
    <w:p>
      <w:pPr>
        <w:ind w:left="980" w:right="140" w:hanging="324"/>
        <w:spacing w:after="0" w:line="259"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spacing w:after="0" w:line="186" w:lineRule="exact"/>
        <w:rPr>
          <w:rFonts w:ascii="Arial" w:cs="Arial" w:eastAsia="Arial" w:hAnsi="Arial"/>
          <w:sz w:val="18"/>
          <w:szCs w:val="18"/>
          <w:color w:val="auto"/>
        </w:rPr>
      </w:pPr>
    </w:p>
    <w:p>
      <w:pPr>
        <w:ind w:left="980" w:right="60" w:hanging="324"/>
        <w:spacing w:after="0" w:line="286" w:lineRule="auto"/>
        <w:tabs>
          <w:tab w:leader="none" w:pos="97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65" w:lineRule="exact"/>
        <w:rPr>
          <w:rFonts w:ascii="Arial" w:cs="Arial" w:eastAsia="Arial" w:hAnsi="Arial"/>
          <w:sz w:val="17"/>
          <w:szCs w:val="17"/>
          <w:color w:val="auto"/>
        </w:rPr>
      </w:pPr>
    </w:p>
    <w:p>
      <w:pPr>
        <w:ind w:left="980" w:right="6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 require the approval of two-thirds of the then-outstanding voting power of our capital stock; and</w:t>
      </w:r>
    </w:p>
    <w:p>
      <w:pPr>
        <w:spacing w:after="0" w:line="170" w:lineRule="exact"/>
        <w:rPr>
          <w:rFonts w:ascii="Arial" w:cs="Arial" w:eastAsia="Arial" w:hAnsi="Arial"/>
          <w:sz w:val="18"/>
          <w:szCs w:val="18"/>
          <w:color w:val="auto"/>
        </w:rPr>
      </w:pPr>
    </w:p>
    <w:p>
      <w:pPr>
        <w:ind w:left="980" w:right="80" w:hanging="324"/>
        <w:spacing w:after="0" w:line="263"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amended and restated bylaws provide that the Court of Chancery of the State of Delaware is the exclusive forum for:</w:t>
      </w:r>
    </w:p>
    <w:p>
      <w:pPr>
        <w:spacing w:after="0" w:line="225"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25" w:lineRule="exact"/>
        <w:rPr>
          <w:rFonts w:ascii="Arial" w:cs="Arial" w:eastAsia="Arial" w:hAnsi="Arial"/>
          <w:sz w:val="18"/>
          <w:szCs w:val="18"/>
          <w:color w:val="auto"/>
        </w:rPr>
      </w:pPr>
    </w:p>
    <w:p>
      <w:pPr>
        <w:ind w:left="980" w:right="72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our amended and restated certificate of incorporation or our amended and restated bylaws;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Shares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Public Offering of Common Stock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purchases of shares of our common stock during the three months ended April 30, 2020. On June 11, 2019, the SEC declared our registration statement on Form S-1 (File No. 333-231461) for our IPO effective. There have been no material changes in the planned use of proceeds from our IPO as described in our final prospectus filed with the SEC on June 13,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filed the exhibits listed on the accompanying Exhibit Index, which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59"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60" w:type="dxa"/>
            <w:vAlign w:val="bottom"/>
          </w:tcPr>
          <w:p>
            <w:pPr>
              <w:spacing w:after="0" w:line="153" w:lineRule="exact"/>
              <w:rPr>
                <w:sz w:val="20"/>
                <w:szCs w:val="20"/>
                <w:color w:val="auto"/>
              </w:rPr>
            </w:pPr>
            <w:r>
              <w:rPr>
                <w:rFonts w:ascii="Arial" w:cs="Arial" w:eastAsia="Arial" w:hAnsi="Arial"/>
                <w:sz w:val="14"/>
                <w:szCs w:val="14"/>
                <w:b w:val="1"/>
                <w:bCs w:val="1"/>
                <w:color w:val="auto"/>
              </w:rPr>
              <w:t>Exhibit</w:t>
            </w:r>
          </w:p>
        </w:tc>
        <w:tc>
          <w:tcPr>
            <w:tcW w:w="368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Exhibit Description</w:t>
            </w:r>
          </w:p>
        </w:tc>
        <w:tc>
          <w:tcPr>
            <w:tcW w:w="10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Form</w:t>
            </w:r>
          </w:p>
        </w:tc>
        <w:tc>
          <w:tcPr>
            <w:tcW w:w="9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File No.</w:t>
            </w:r>
          </w:p>
        </w:tc>
        <w:tc>
          <w:tcPr>
            <w:tcW w:w="13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6"/>
              </w:rPr>
              <w:t>Filing</w:t>
            </w:r>
          </w:p>
        </w:tc>
        <w:tc>
          <w:tcPr>
            <w:tcW w:w="13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6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380" w:type="dxa"/>
            <w:vAlign w:val="bottom"/>
          </w:tcPr>
          <w:p>
            <w:pPr>
              <w:jc w:val="center"/>
              <w:ind w:left="28"/>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64033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0334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194"/>
        </w:trPr>
        <w:tc>
          <w:tcPr>
            <w:tcW w:w="1000" w:type="dxa"/>
            <w:vAlign w:val="bottom"/>
            <w:tcBorders>
              <w:top w:val="single" w:sz="8" w:color="auto"/>
            </w:tcBorders>
          </w:tcPr>
          <w:p>
            <w:pPr>
              <w:ind w:left="20"/>
              <w:spacing w:after="0" w:line="195" w:lineRule="exact"/>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10.1†</w:t>
              </w:r>
            </w:hyperlink>
          </w:p>
        </w:tc>
        <w:tc>
          <w:tcPr>
            <w:tcW w:w="180" w:type="dxa"/>
            <w:vAlign w:val="bottom"/>
          </w:tcPr>
          <w:p>
            <w:pPr>
              <w:spacing w:after="0"/>
              <w:rPr>
                <w:sz w:val="16"/>
                <w:szCs w:val="16"/>
                <w:color w:val="auto"/>
              </w:rPr>
            </w:pPr>
          </w:p>
        </w:tc>
        <w:tc>
          <w:tcPr>
            <w:tcW w:w="4220" w:type="dxa"/>
            <w:vAlign w:val="bottom"/>
            <w:gridSpan w:val="13"/>
          </w:tcPr>
          <w:p>
            <w:pPr>
              <w:spacing w:after="0" w:line="195" w:lineRule="exact"/>
              <w:rPr>
                <w:rFonts w:ascii="Arial" w:cs="Arial" w:eastAsia="Arial" w:hAnsi="Arial"/>
                <w:sz w:val="18"/>
                <w:szCs w:val="18"/>
                <w:color w:val="0000FF"/>
                <w:w w:val="97"/>
              </w:rPr>
            </w:pPr>
            <w:hyperlink w:anchor="page83">
              <w:r>
                <w:rPr>
                  <w:rFonts w:ascii="Arial" w:cs="Arial" w:eastAsia="Arial" w:hAnsi="Arial"/>
                  <w:sz w:val="18"/>
                  <w:szCs w:val="18"/>
                  <w:color w:val="0000FF"/>
                  <w:w w:val="97"/>
                </w:rPr>
                <w:t>CrowdStrike Holdings, Inc. 2019 Equity Incentive Plan</w:t>
              </w:r>
            </w:hyperlink>
          </w:p>
        </w:tc>
      </w:tr>
      <w:tr>
        <w:trPr>
          <w:trHeight w:val="156"/>
        </w:trPr>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83">
              <w:r>
                <w:rPr>
                  <w:rFonts w:ascii="Arial" w:cs="Arial" w:eastAsia="Arial" w:hAnsi="Arial"/>
                  <w:sz w:val="18"/>
                  <w:szCs w:val="18"/>
                  <w:color w:val="0000FF"/>
                  <w:w w:val="90"/>
                </w:rPr>
                <w:t>Global Performance Unit Agreement</w:t>
              </w:r>
            </w:hyperlink>
          </w:p>
        </w:tc>
        <w:tc>
          <w:tcPr>
            <w:tcW w:w="13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000" w:type="dxa"/>
            <w:vAlign w:val="bottom"/>
          </w:tcPr>
          <w:p>
            <w:pPr>
              <w:ind w:left="20"/>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31.1</w:t>
              </w:r>
            </w:hyperlink>
          </w:p>
        </w:tc>
        <w:tc>
          <w:tcPr>
            <w:tcW w:w="180" w:type="dxa"/>
            <w:vAlign w:val="bottom"/>
          </w:tcPr>
          <w:p>
            <w:pPr>
              <w:spacing w:after="0"/>
              <w:rPr>
                <w:sz w:val="18"/>
                <w:szCs w:val="18"/>
                <w:color w:val="auto"/>
              </w:rPr>
            </w:pPr>
          </w:p>
        </w:tc>
        <w:tc>
          <w:tcPr>
            <w:tcW w:w="4220" w:type="dxa"/>
            <w:vAlign w:val="bottom"/>
            <w:gridSpan w:val="13"/>
          </w:tcPr>
          <w:p>
            <w:pPr>
              <w:spacing w:after="0"/>
              <w:rPr>
                <w:rFonts w:ascii="Arial" w:cs="Arial" w:eastAsia="Arial" w:hAnsi="Arial"/>
                <w:sz w:val="18"/>
                <w:szCs w:val="18"/>
                <w:color w:val="0000FF"/>
                <w:w w:val="96"/>
              </w:rPr>
            </w:pPr>
            <w:hyperlink w:anchor="page113">
              <w:r>
                <w:rPr>
                  <w:rFonts w:ascii="Arial" w:cs="Arial" w:eastAsia="Arial" w:hAnsi="Arial"/>
                  <w:sz w:val="18"/>
                  <w:szCs w:val="18"/>
                  <w:color w:val="0000FF"/>
                  <w:w w:val="96"/>
                </w:rPr>
                <w:t>Certification of the Principal Executive Officer pursuant</w:t>
              </w:r>
            </w:hyperlink>
          </w:p>
        </w:tc>
      </w:tr>
      <w:tr>
        <w:trPr>
          <w:trHeight w:val="156"/>
        </w:trPr>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5"/>
              </w:rPr>
            </w:pPr>
            <w:hyperlink w:anchor="page113">
              <w:r>
                <w:rPr>
                  <w:rFonts w:ascii="Arial" w:cs="Arial" w:eastAsia="Arial" w:hAnsi="Arial"/>
                  <w:sz w:val="18"/>
                  <w:szCs w:val="18"/>
                  <w:color w:val="0000FF"/>
                  <w:w w:val="85"/>
                </w:rPr>
                <w:t>to Exchange Act Rules 13a14(a) and 15d14(a), as adopted</w:t>
              </w:r>
            </w:hyperlink>
          </w:p>
        </w:tc>
        <w:tc>
          <w:tcPr>
            <w:tcW w:w="1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0" w:type="dxa"/>
            <w:vAlign w:val="bottom"/>
            <w:gridSpan w:val="12"/>
          </w:tcPr>
          <w:p>
            <w:pPr>
              <w:spacing w:after="0" w:line="156" w:lineRule="exact"/>
              <w:rPr>
                <w:rFonts w:ascii="Arial" w:cs="Arial" w:eastAsia="Arial" w:hAnsi="Arial"/>
                <w:sz w:val="18"/>
                <w:szCs w:val="18"/>
                <w:color w:val="0000FF"/>
                <w:w w:val="98"/>
              </w:rPr>
            </w:pPr>
            <w:hyperlink w:anchor="page113">
              <w:r>
                <w:rPr>
                  <w:rFonts w:ascii="Arial" w:cs="Arial" w:eastAsia="Arial" w:hAnsi="Arial"/>
                  <w:sz w:val="18"/>
                  <w:szCs w:val="18"/>
                  <w:color w:val="0000FF"/>
                  <w:w w:val="98"/>
                </w:rPr>
                <w:t>pursuant to Section 302 of the Sarbanes-Oxley Act of</w:t>
              </w:r>
            </w:hyperlink>
          </w:p>
        </w:tc>
        <w:tc>
          <w:tcPr>
            <w:tcW w:w="2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113">
              <w:r>
                <w:rPr>
                  <w:rFonts w:ascii="Arial" w:cs="Arial" w:eastAsia="Arial" w:hAnsi="Arial"/>
                  <w:sz w:val="18"/>
                  <w:szCs w:val="18"/>
                  <w:color w:val="0000FF"/>
                  <w:w w:val="84"/>
                </w:rPr>
                <w:t>2002.</w:t>
              </w:r>
            </w:hyperlink>
          </w:p>
        </w:tc>
        <w:tc>
          <w:tcPr>
            <w:tcW w:w="17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000" w:type="dxa"/>
            <w:vAlign w:val="bottom"/>
          </w:tcPr>
          <w:p>
            <w:pPr>
              <w:ind w:left="20"/>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31.2</w:t>
              </w:r>
            </w:hyperlink>
          </w:p>
        </w:tc>
        <w:tc>
          <w:tcPr>
            <w:tcW w:w="180" w:type="dxa"/>
            <w:vAlign w:val="bottom"/>
          </w:tcPr>
          <w:p>
            <w:pPr>
              <w:spacing w:after="0"/>
              <w:rPr>
                <w:sz w:val="18"/>
                <w:szCs w:val="18"/>
                <w:color w:val="auto"/>
              </w:rPr>
            </w:pPr>
          </w:p>
        </w:tc>
        <w:tc>
          <w:tcPr>
            <w:tcW w:w="4220" w:type="dxa"/>
            <w:vAlign w:val="bottom"/>
            <w:gridSpan w:val="13"/>
          </w:tcPr>
          <w:p>
            <w:pPr>
              <w:spacing w:after="0"/>
              <w:rPr>
                <w:rFonts w:ascii="Arial" w:cs="Arial" w:eastAsia="Arial" w:hAnsi="Arial"/>
                <w:sz w:val="18"/>
                <w:szCs w:val="18"/>
                <w:color w:val="0000FF"/>
                <w:w w:val="93"/>
              </w:rPr>
            </w:pPr>
            <w:hyperlink w:anchor="page114">
              <w:r>
                <w:rPr>
                  <w:rFonts w:ascii="Arial" w:cs="Arial" w:eastAsia="Arial" w:hAnsi="Arial"/>
                  <w:sz w:val="18"/>
                  <w:szCs w:val="18"/>
                  <w:color w:val="0000FF"/>
                  <w:w w:val="93"/>
                </w:rPr>
                <w:t>Certification of the Principal Financial Officer pursuant to</w:t>
              </w:r>
            </w:hyperlink>
          </w:p>
        </w:tc>
      </w:tr>
      <w:tr>
        <w:trPr>
          <w:trHeight w:val="156"/>
        </w:trPr>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80" w:type="dxa"/>
            <w:vAlign w:val="bottom"/>
            <w:tcBorders>
              <w:top w:val="single" w:sz="8" w:color="0000FF"/>
            </w:tcBorders>
            <w:gridSpan w:val="11"/>
          </w:tcPr>
          <w:p>
            <w:pPr>
              <w:spacing w:after="0" w:line="156" w:lineRule="exact"/>
              <w:rPr>
                <w:rFonts w:ascii="Arial" w:cs="Arial" w:eastAsia="Arial" w:hAnsi="Arial"/>
                <w:sz w:val="18"/>
                <w:szCs w:val="18"/>
                <w:color w:val="0000FF"/>
                <w:w w:val="92"/>
              </w:rPr>
            </w:pPr>
            <w:hyperlink w:anchor="page114">
              <w:r>
                <w:rPr>
                  <w:rFonts w:ascii="Arial" w:cs="Arial" w:eastAsia="Arial" w:hAnsi="Arial"/>
                  <w:sz w:val="18"/>
                  <w:szCs w:val="18"/>
                  <w:color w:val="0000FF"/>
                  <w:w w:val="92"/>
                </w:rPr>
                <w:t>Exchange Act Rules 13a14(a) and 15d14(a), as adopted</w:t>
              </w:r>
            </w:hyperlink>
          </w:p>
        </w:tc>
        <w:tc>
          <w:tcPr>
            <w:tcW w:w="40" w:type="dxa"/>
            <w:vAlign w:val="bottom"/>
            <w:gridSpan w:val="2"/>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20" w:type="dxa"/>
            <w:vAlign w:val="bottom"/>
            <w:tcBorders>
              <w:top w:val="single" w:sz="8" w:color="0000FF"/>
            </w:tcBorders>
            <w:gridSpan w:val="8"/>
          </w:tcPr>
          <w:p>
            <w:pPr>
              <w:spacing w:after="0" w:line="156" w:lineRule="exact"/>
              <w:rPr>
                <w:rFonts w:ascii="Arial" w:cs="Arial" w:eastAsia="Arial" w:hAnsi="Arial"/>
                <w:sz w:val="18"/>
                <w:szCs w:val="18"/>
                <w:color w:val="0000FF"/>
                <w:w w:val="94"/>
              </w:rPr>
            </w:pPr>
            <w:hyperlink w:anchor="page114">
              <w:r>
                <w:rPr>
                  <w:rFonts w:ascii="Arial" w:cs="Arial" w:eastAsia="Arial" w:hAnsi="Arial"/>
                  <w:sz w:val="18"/>
                  <w:szCs w:val="18"/>
                  <w:color w:val="0000FF"/>
                  <w:w w:val="94"/>
                </w:rPr>
                <w:t>pursuant to Section 302 of the Sarbanes-Oxley Act of</w:t>
              </w:r>
            </w:hyperlink>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r>
      <w:tr>
        <w:trPr>
          <w:trHeight w:val="155"/>
        </w:trPr>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114">
              <w:r>
                <w:rPr>
                  <w:rFonts w:ascii="Arial" w:cs="Arial" w:eastAsia="Arial" w:hAnsi="Arial"/>
                  <w:sz w:val="18"/>
                  <w:szCs w:val="18"/>
                  <w:color w:val="0000FF"/>
                  <w:w w:val="84"/>
                </w:rPr>
                <w:t>2002.</w:t>
              </w:r>
            </w:hyperlink>
          </w:p>
        </w:tc>
        <w:tc>
          <w:tcPr>
            <w:tcW w:w="17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000" w:type="dxa"/>
            <w:vAlign w:val="bottom"/>
          </w:tcPr>
          <w:p>
            <w:pPr>
              <w:ind w:left="20"/>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32.1*</w:t>
              </w:r>
            </w:hyperlink>
          </w:p>
        </w:tc>
        <w:tc>
          <w:tcPr>
            <w:tcW w:w="180" w:type="dxa"/>
            <w:vAlign w:val="bottom"/>
          </w:tcPr>
          <w:p>
            <w:pPr>
              <w:spacing w:after="0"/>
              <w:rPr>
                <w:sz w:val="18"/>
                <w:szCs w:val="18"/>
                <w:color w:val="auto"/>
              </w:rPr>
            </w:pPr>
          </w:p>
        </w:tc>
        <w:tc>
          <w:tcPr>
            <w:tcW w:w="4220" w:type="dxa"/>
            <w:vAlign w:val="bottom"/>
            <w:gridSpan w:val="13"/>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Certification of the Principal Executive Officer and</w:t>
              </w:r>
            </w:hyperlink>
          </w:p>
        </w:tc>
      </w:tr>
      <w:tr>
        <w:trPr>
          <w:trHeight w:val="155"/>
        </w:trPr>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80" w:type="dxa"/>
            <w:vAlign w:val="bottom"/>
            <w:tcBorders>
              <w:top w:val="single" w:sz="8" w:color="0000FF"/>
            </w:tcBorders>
            <w:gridSpan w:val="5"/>
          </w:tcPr>
          <w:p>
            <w:pPr>
              <w:spacing w:after="0" w:line="156" w:lineRule="exact"/>
              <w:rPr>
                <w:rFonts w:ascii="Arial" w:cs="Arial" w:eastAsia="Arial" w:hAnsi="Arial"/>
                <w:sz w:val="18"/>
                <w:szCs w:val="18"/>
                <w:color w:val="0000FF"/>
                <w:w w:val="95"/>
              </w:rPr>
            </w:pPr>
            <w:hyperlink w:anchor="page115">
              <w:r>
                <w:rPr>
                  <w:rFonts w:ascii="Arial" w:cs="Arial" w:eastAsia="Arial" w:hAnsi="Arial"/>
                  <w:sz w:val="18"/>
                  <w:szCs w:val="18"/>
                  <w:color w:val="0000FF"/>
                  <w:w w:val="95"/>
                </w:rPr>
                <w:t>Principal Financial Officer pursuant to 18 U.S.C.</w:t>
              </w:r>
            </w:hyperlink>
          </w:p>
        </w:tc>
        <w:tc>
          <w:tcPr>
            <w:tcW w:w="360" w:type="dxa"/>
            <w:vAlign w:val="bottom"/>
            <w:gridSpan w:val="4"/>
          </w:tcPr>
          <w:p>
            <w:pPr>
              <w:spacing w:after="0"/>
              <w:rPr>
                <w:sz w:val="13"/>
                <w:szCs w:val="13"/>
                <w:color w:val="auto"/>
              </w:rPr>
            </w:pPr>
          </w:p>
        </w:tc>
        <w:tc>
          <w:tcPr>
            <w:tcW w:w="180" w:type="dxa"/>
            <w:vAlign w:val="bottom"/>
            <w:gridSpan w:val="4"/>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20" w:type="dxa"/>
            <w:vAlign w:val="bottom"/>
            <w:tcBorders>
              <w:top w:val="single" w:sz="8" w:color="0000FF"/>
            </w:tcBorders>
            <w:gridSpan w:val="4"/>
          </w:tcPr>
          <w:p>
            <w:pPr>
              <w:spacing w:after="0" w:line="156" w:lineRule="exact"/>
              <w:rPr>
                <w:rFonts w:ascii="Arial" w:cs="Arial" w:eastAsia="Arial" w:hAnsi="Arial"/>
                <w:sz w:val="18"/>
                <w:szCs w:val="18"/>
                <w:color w:val="0000FF"/>
                <w:w w:val="87"/>
              </w:rPr>
            </w:pPr>
            <w:hyperlink w:anchor="page115">
              <w:r>
                <w:rPr>
                  <w:rFonts w:ascii="Arial" w:cs="Arial" w:eastAsia="Arial" w:hAnsi="Arial"/>
                  <w:sz w:val="18"/>
                  <w:szCs w:val="18"/>
                  <w:color w:val="0000FF"/>
                  <w:w w:val="87"/>
                </w:rPr>
                <w:t>Section 1350, as adopted pursuant to Section 906</w:t>
              </w:r>
            </w:hyperlink>
          </w:p>
        </w:tc>
        <w:tc>
          <w:tcPr>
            <w:tcW w:w="700" w:type="dxa"/>
            <w:vAlign w:val="bottom"/>
            <w:gridSpan w:val="9"/>
          </w:tcPr>
          <w:p>
            <w:pPr>
              <w:ind w:left="60"/>
              <w:spacing w:after="0" w:line="156" w:lineRule="exact"/>
              <w:rPr>
                <w:rFonts w:ascii="Arial" w:cs="Arial" w:eastAsia="Arial" w:hAnsi="Arial"/>
                <w:sz w:val="18"/>
                <w:szCs w:val="18"/>
                <w:color w:val="0000FF"/>
              </w:rPr>
            </w:pPr>
            <w:hyperlink w:anchor="page115">
              <w:r>
                <w:rPr>
                  <w:rFonts w:ascii="Arial" w:cs="Arial" w:eastAsia="Arial" w:hAnsi="Arial"/>
                  <w:sz w:val="18"/>
                  <w:szCs w:val="18"/>
                  <w:color w:val="0000FF"/>
                </w:rPr>
                <w:t>of the</w:t>
              </w:r>
            </w:hyperlink>
          </w:p>
        </w:tc>
      </w:tr>
      <w:tr>
        <w:trPr>
          <w:trHeight w:val="156"/>
        </w:trPr>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115">
              <w:r>
                <w:rPr>
                  <w:rFonts w:ascii="Arial" w:cs="Arial" w:eastAsia="Arial" w:hAnsi="Arial"/>
                  <w:sz w:val="18"/>
                  <w:szCs w:val="18"/>
                  <w:color w:val="0000FF"/>
                  <w:w w:val="90"/>
                </w:rPr>
                <w:t>Sarbanes-Oxley Act of 2002.</w:t>
              </w:r>
            </w:hyperlink>
          </w:p>
        </w:tc>
        <w:tc>
          <w:tcPr>
            <w:tcW w:w="1940" w:type="dxa"/>
            <w:vAlign w:val="bottom"/>
            <w:tcBorders>
              <w:top w:val="single" w:sz="8" w:color="0000FF"/>
            </w:tcBorders>
            <w:gridSpan w:val="7"/>
          </w:tcPr>
          <w:p>
            <w:pPr>
              <w:spacing w:after="0"/>
              <w:rPr>
                <w:sz w:val="13"/>
                <w:szCs w:val="13"/>
                <w:color w:val="auto"/>
              </w:rPr>
            </w:pPr>
          </w:p>
        </w:tc>
        <w:tc>
          <w:tcPr>
            <w:tcW w:w="180" w:type="dxa"/>
            <w:vAlign w:val="bottom"/>
            <w:gridSpan w:val="4"/>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560" w:lineRule="exact"/>
        <w:rPr>
          <w:sz w:val="20"/>
          <w:szCs w:val="20"/>
          <w:color w:val="auto"/>
        </w:rPr>
      </w:pPr>
    </w:p>
    <w:p>
      <w:pPr>
        <w:sectPr>
          <w:pgSz w:w="11900" w:h="16838" w:orient="portrait"/>
          <w:cols w:equalWidth="0" w:num="2">
            <w:col w:w="9820" w:space="720"/>
            <w:col w:w="70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7000" w:type="dxa"/>
            <w:vAlign w:val="bottom"/>
          </w:tcPr>
          <w:p>
            <w:pPr>
              <w:ind w:left="240"/>
              <w:spacing w:after="0"/>
              <w:rPr>
                <w:sz w:val="20"/>
                <w:szCs w:val="20"/>
                <w:color w:val="auto"/>
              </w:rPr>
            </w:pPr>
            <w:r>
              <w:rPr>
                <w:rFonts w:ascii="Arial" w:cs="Arial" w:eastAsia="Arial" w:hAnsi="Arial"/>
                <w:sz w:val="18"/>
                <w:szCs w:val="18"/>
                <w:color w:val="auto"/>
              </w:rPr>
              <w:t>Inline XBRL Instance Document</w:t>
            </w:r>
          </w:p>
        </w:tc>
        <w:tc>
          <w:tcPr>
            <w:tcW w:w="2720" w:type="dxa"/>
            <w:vAlign w:val="bottom"/>
          </w:tcPr>
          <w:p>
            <w:pPr>
              <w:ind w:left="2600"/>
              <w:spacing w:after="0"/>
              <w:rPr>
                <w:sz w:val="20"/>
                <w:szCs w:val="20"/>
                <w:color w:val="auto"/>
              </w:rPr>
            </w:pPr>
            <w:r>
              <w:rPr>
                <w:rFonts w:ascii="Arial" w:cs="Arial" w:eastAsia="Arial" w:hAnsi="Arial"/>
                <w:sz w:val="18"/>
                <w:szCs w:val="18"/>
                <w:color w:val="auto"/>
                <w:w w:val="82"/>
              </w:rPr>
              <w:t>X</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7000" w:type="dxa"/>
            <w:vAlign w:val="bottom"/>
          </w:tcPr>
          <w:p>
            <w:pPr>
              <w:ind w:left="240"/>
              <w:spacing w:after="0"/>
              <w:rPr>
                <w:sz w:val="20"/>
                <w:szCs w:val="20"/>
                <w:color w:val="auto"/>
              </w:rPr>
            </w:pPr>
            <w:r>
              <w:rPr>
                <w:rFonts w:ascii="Arial" w:cs="Arial" w:eastAsia="Arial" w:hAnsi="Arial"/>
                <w:sz w:val="18"/>
                <w:szCs w:val="18"/>
                <w:color w:val="auto"/>
              </w:rPr>
              <w:t>Inline XBRL Taxonomy Extension Schema Document</w:t>
            </w:r>
          </w:p>
        </w:tc>
        <w:tc>
          <w:tcPr>
            <w:tcW w:w="2720" w:type="dxa"/>
            <w:vAlign w:val="bottom"/>
          </w:tcPr>
          <w:p>
            <w:pPr>
              <w:ind w:left="2600"/>
              <w:spacing w:after="0"/>
              <w:rPr>
                <w:sz w:val="20"/>
                <w:szCs w:val="20"/>
                <w:color w:val="auto"/>
              </w:rPr>
            </w:pPr>
            <w:r>
              <w:rPr>
                <w:rFonts w:ascii="Arial" w:cs="Arial" w:eastAsia="Arial" w:hAnsi="Arial"/>
                <w:sz w:val="18"/>
                <w:szCs w:val="18"/>
                <w:color w:val="auto"/>
                <w:w w:val="82"/>
              </w:rPr>
              <w:t>X</w:t>
            </w: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7000" w:type="dxa"/>
            <w:vAlign w:val="bottom"/>
          </w:tcPr>
          <w:p>
            <w:pPr>
              <w:ind w:left="240"/>
              <w:spacing w:after="0"/>
              <w:rPr>
                <w:sz w:val="20"/>
                <w:szCs w:val="20"/>
                <w:color w:val="auto"/>
              </w:rPr>
            </w:pPr>
            <w:r>
              <w:rPr>
                <w:rFonts w:ascii="Arial" w:cs="Arial" w:eastAsia="Arial" w:hAnsi="Arial"/>
                <w:sz w:val="18"/>
                <w:szCs w:val="18"/>
                <w:color w:val="auto"/>
              </w:rPr>
              <w:t>Inline XBRL Taxonomy Extension Calculation Linkbase</w:t>
            </w:r>
          </w:p>
        </w:tc>
        <w:tc>
          <w:tcPr>
            <w:tcW w:w="2720" w:type="dxa"/>
            <w:vAlign w:val="bottom"/>
          </w:tcPr>
          <w:p>
            <w:pPr>
              <w:ind w:left="2600"/>
              <w:spacing w:after="0"/>
              <w:rPr>
                <w:sz w:val="20"/>
                <w:szCs w:val="20"/>
                <w:color w:val="auto"/>
              </w:rPr>
            </w:pPr>
            <w:r>
              <w:rPr>
                <w:rFonts w:ascii="Arial" w:cs="Arial" w:eastAsia="Arial" w:hAnsi="Arial"/>
                <w:sz w:val="18"/>
                <w:szCs w:val="18"/>
                <w:color w:val="auto"/>
                <w:w w:val="82"/>
              </w:rPr>
              <w:t>X</w:t>
            </w:r>
          </w:p>
        </w:tc>
      </w:tr>
      <w:tr>
        <w:trPr>
          <w:trHeight w:val="230"/>
        </w:trPr>
        <w:tc>
          <w:tcPr>
            <w:tcW w:w="920" w:type="dxa"/>
            <w:vAlign w:val="bottom"/>
          </w:tcPr>
          <w:p>
            <w:pPr>
              <w:spacing w:after="0"/>
              <w:rPr>
                <w:sz w:val="20"/>
                <w:szCs w:val="20"/>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Document</w:t>
            </w:r>
          </w:p>
        </w:tc>
        <w:tc>
          <w:tcPr>
            <w:tcW w:w="2720" w:type="dxa"/>
            <w:vAlign w:val="bottom"/>
          </w:tcPr>
          <w:p>
            <w:pPr>
              <w:spacing w:after="0"/>
              <w:rPr>
                <w:sz w:val="20"/>
                <w:szCs w:val="20"/>
                <w:color w:val="auto"/>
              </w:rPr>
            </w:pP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7000" w:type="dxa"/>
            <w:vAlign w:val="bottom"/>
          </w:tcPr>
          <w:p>
            <w:pPr>
              <w:ind w:left="240"/>
              <w:spacing w:after="0"/>
              <w:rPr>
                <w:sz w:val="20"/>
                <w:szCs w:val="20"/>
                <w:color w:val="auto"/>
              </w:rPr>
            </w:pPr>
            <w:r>
              <w:rPr>
                <w:rFonts w:ascii="Arial" w:cs="Arial" w:eastAsia="Arial" w:hAnsi="Arial"/>
                <w:sz w:val="18"/>
                <w:szCs w:val="18"/>
                <w:color w:val="auto"/>
              </w:rPr>
              <w:t>Inline XBRL Taxonomy Extension Definition Linkbase</w:t>
            </w:r>
          </w:p>
        </w:tc>
        <w:tc>
          <w:tcPr>
            <w:tcW w:w="2720" w:type="dxa"/>
            <w:vAlign w:val="bottom"/>
          </w:tcPr>
          <w:p>
            <w:pPr>
              <w:ind w:left="2600"/>
              <w:spacing w:after="0"/>
              <w:rPr>
                <w:sz w:val="20"/>
                <w:szCs w:val="20"/>
                <w:color w:val="auto"/>
              </w:rPr>
            </w:pPr>
            <w:r>
              <w:rPr>
                <w:rFonts w:ascii="Arial" w:cs="Arial" w:eastAsia="Arial" w:hAnsi="Arial"/>
                <w:sz w:val="18"/>
                <w:szCs w:val="18"/>
                <w:color w:val="auto"/>
                <w:w w:val="82"/>
              </w:rPr>
              <w:t>X</w:t>
            </w:r>
          </w:p>
        </w:tc>
      </w:tr>
      <w:tr>
        <w:trPr>
          <w:trHeight w:val="230"/>
        </w:trPr>
        <w:tc>
          <w:tcPr>
            <w:tcW w:w="920" w:type="dxa"/>
            <w:vAlign w:val="bottom"/>
          </w:tcPr>
          <w:p>
            <w:pPr>
              <w:spacing w:after="0"/>
              <w:rPr>
                <w:sz w:val="20"/>
                <w:szCs w:val="20"/>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Document</w:t>
            </w:r>
          </w:p>
        </w:tc>
        <w:tc>
          <w:tcPr>
            <w:tcW w:w="2720" w:type="dxa"/>
            <w:vAlign w:val="bottom"/>
          </w:tcPr>
          <w:p>
            <w:pPr>
              <w:spacing w:after="0"/>
              <w:rPr>
                <w:sz w:val="20"/>
                <w:szCs w:val="20"/>
                <w:color w:val="auto"/>
              </w:rPr>
            </w:pP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7000" w:type="dxa"/>
            <w:vAlign w:val="bottom"/>
          </w:tcPr>
          <w:p>
            <w:pPr>
              <w:ind w:left="240"/>
              <w:spacing w:after="0"/>
              <w:rPr>
                <w:sz w:val="20"/>
                <w:szCs w:val="20"/>
                <w:color w:val="auto"/>
              </w:rPr>
            </w:pPr>
            <w:r>
              <w:rPr>
                <w:rFonts w:ascii="Arial" w:cs="Arial" w:eastAsia="Arial" w:hAnsi="Arial"/>
                <w:sz w:val="18"/>
                <w:szCs w:val="18"/>
                <w:color w:val="auto"/>
              </w:rPr>
              <w:t>Inline XBRL Taxonomy Extension Label Linkbase</w:t>
            </w:r>
          </w:p>
        </w:tc>
        <w:tc>
          <w:tcPr>
            <w:tcW w:w="2720" w:type="dxa"/>
            <w:vAlign w:val="bottom"/>
          </w:tcPr>
          <w:p>
            <w:pPr>
              <w:ind w:left="2600"/>
              <w:spacing w:after="0"/>
              <w:rPr>
                <w:sz w:val="20"/>
                <w:szCs w:val="20"/>
                <w:color w:val="auto"/>
              </w:rPr>
            </w:pPr>
            <w:r>
              <w:rPr>
                <w:rFonts w:ascii="Arial" w:cs="Arial" w:eastAsia="Arial" w:hAnsi="Arial"/>
                <w:sz w:val="18"/>
                <w:szCs w:val="18"/>
                <w:color w:val="auto"/>
                <w:w w:val="82"/>
              </w:rPr>
              <w:t>X</w:t>
            </w:r>
          </w:p>
        </w:tc>
      </w:tr>
      <w:tr>
        <w:trPr>
          <w:trHeight w:val="230"/>
        </w:trPr>
        <w:tc>
          <w:tcPr>
            <w:tcW w:w="920" w:type="dxa"/>
            <w:vAlign w:val="bottom"/>
          </w:tcPr>
          <w:p>
            <w:pPr>
              <w:spacing w:after="0"/>
              <w:rPr>
                <w:sz w:val="20"/>
                <w:szCs w:val="20"/>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Document</w:t>
            </w:r>
          </w:p>
        </w:tc>
        <w:tc>
          <w:tcPr>
            <w:tcW w:w="2720" w:type="dxa"/>
            <w:vAlign w:val="bottom"/>
          </w:tcPr>
          <w:p>
            <w:pPr>
              <w:spacing w:after="0"/>
              <w:rPr>
                <w:sz w:val="20"/>
                <w:szCs w:val="20"/>
                <w:color w:val="auto"/>
              </w:rPr>
            </w:pP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7000" w:type="dxa"/>
            <w:vAlign w:val="bottom"/>
          </w:tcPr>
          <w:p>
            <w:pPr>
              <w:ind w:left="240"/>
              <w:spacing w:after="0"/>
              <w:rPr>
                <w:sz w:val="20"/>
                <w:szCs w:val="20"/>
                <w:color w:val="auto"/>
              </w:rPr>
            </w:pPr>
            <w:r>
              <w:rPr>
                <w:rFonts w:ascii="Arial" w:cs="Arial" w:eastAsia="Arial" w:hAnsi="Arial"/>
                <w:sz w:val="18"/>
                <w:szCs w:val="18"/>
                <w:color w:val="auto"/>
              </w:rPr>
              <w:t>Inline XBRL Taxonomy Extension Presentation Linkbase</w:t>
            </w:r>
          </w:p>
        </w:tc>
        <w:tc>
          <w:tcPr>
            <w:tcW w:w="2720" w:type="dxa"/>
            <w:vAlign w:val="bottom"/>
          </w:tcPr>
          <w:p>
            <w:pPr>
              <w:ind w:left="2600"/>
              <w:spacing w:after="0"/>
              <w:rPr>
                <w:sz w:val="20"/>
                <w:szCs w:val="20"/>
                <w:color w:val="auto"/>
              </w:rPr>
            </w:pPr>
            <w:r>
              <w:rPr>
                <w:rFonts w:ascii="Arial" w:cs="Arial" w:eastAsia="Arial" w:hAnsi="Arial"/>
                <w:sz w:val="18"/>
                <w:szCs w:val="18"/>
                <w:color w:val="auto"/>
                <w:w w:val="82"/>
              </w:rPr>
              <w:t>X</w:t>
            </w:r>
          </w:p>
        </w:tc>
      </w:tr>
      <w:tr>
        <w:trPr>
          <w:trHeight w:val="230"/>
        </w:trPr>
        <w:tc>
          <w:tcPr>
            <w:tcW w:w="920" w:type="dxa"/>
            <w:vAlign w:val="bottom"/>
          </w:tcPr>
          <w:p>
            <w:pPr>
              <w:spacing w:after="0"/>
              <w:rPr>
                <w:sz w:val="20"/>
                <w:szCs w:val="20"/>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Document</w:t>
            </w:r>
          </w:p>
        </w:tc>
        <w:tc>
          <w:tcPr>
            <w:tcW w:w="2720" w:type="dxa"/>
            <w:vAlign w:val="bottom"/>
          </w:tcPr>
          <w:p>
            <w:pPr>
              <w:spacing w:after="0"/>
              <w:rPr>
                <w:sz w:val="20"/>
                <w:szCs w:val="20"/>
                <w:color w:val="auto"/>
              </w:rPr>
            </w:pPr>
          </w:p>
        </w:tc>
      </w:tr>
    </w:tbl>
    <w:p>
      <w:pPr>
        <w:spacing w:after="0" w:line="40" w:lineRule="exact"/>
        <w:rPr>
          <w:sz w:val="20"/>
          <w:szCs w:val="20"/>
          <w:color w:val="auto"/>
        </w:rPr>
      </w:pPr>
    </w:p>
    <w:p>
      <w:pPr>
        <w:ind w:left="1180" w:right="5960" w:hanging="1154"/>
        <w:spacing w:after="0" w:line="263"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Instance XBRL document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w:t>
      </w:r>
    </w:p>
    <w:p>
      <w:pPr>
        <w:spacing w:after="0" w:line="229"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agreement.</w:t>
      </w:r>
    </w:p>
    <w:p>
      <w:pPr>
        <w:spacing w:after="0" w:line="225" w:lineRule="exact"/>
        <w:rPr>
          <w:sz w:val="20"/>
          <w:szCs w:val="20"/>
          <w:color w:val="auto"/>
        </w:rPr>
      </w:pPr>
    </w:p>
    <w:p>
      <w:pPr>
        <w:ind w:left="420" w:right="140" w:hanging="412"/>
        <w:spacing w:after="0" w:line="263" w:lineRule="auto"/>
        <w:tabs>
          <w:tab w:leader="none" w:pos="4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 in Sunnyvale, California, on the day of June 3, 2020.</w:t>
      </w:r>
    </w:p>
    <w:p>
      <w:pPr>
        <w:spacing w:after="0" w:line="4"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CROWDSTRIKE HOLDINGS, INC.</w:t>
      </w:r>
    </w:p>
    <w:p>
      <w:pPr>
        <w:spacing w:after="0" w:line="121" w:lineRule="exact"/>
        <w:rPr>
          <w:sz w:val="20"/>
          <w:szCs w:val="20"/>
          <w:color w:val="auto"/>
        </w:rPr>
      </w:pPr>
    </w:p>
    <w:p>
      <w:pPr>
        <w:ind w:left="5500"/>
        <w:spacing w:after="0"/>
        <w:tabs>
          <w:tab w:leader="none" w:pos="5980" w:val="left"/>
        </w:tabs>
        <w:rPr>
          <w:sz w:val="20"/>
          <w:szCs w:val="20"/>
          <w:color w:val="auto"/>
        </w:rPr>
      </w:pPr>
      <w:r>
        <w:rPr>
          <w:rFonts w:ascii="Arial" w:cs="Arial" w:eastAsia="Arial" w:hAnsi="Arial"/>
          <w:sz w:val="18"/>
          <w:szCs w:val="18"/>
          <w:color w:val="auto"/>
        </w:rPr>
        <w:t>By:</w:t>
        <w:tab/>
        <w:t>/s/ Burt W.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31750</wp:posOffset>
            </wp:positionV>
            <wp:extent cx="33432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Burt W. Podbere</w:t>
      </w:r>
    </w:p>
    <w:p>
      <w:pPr>
        <w:ind w:left="6000"/>
        <w:spacing w:after="0"/>
        <w:rPr>
          <w:sz w:val="20"/>
          <w:szCs w:val="20"/>
          <w:color w:val="auto"/>
        </w:rPr>
      </w:pPr>
      <w:r>
        <w:rPr>
          <w:rFonts w:ascii="Arial" w:cs="Arial" w:eastAsia="Arial" w:hAnsi="Arial"/>
          <w:sz w:val="18"/>
          <w:szCs w:val="18"/>
          <w:i w:val="1"/>
          <w:iCs w:val="1"/>
          <w:color w:val="auto"/>
        </w:rPr>
        <w:t>Chief Financial Officer (Principal Financial Officer)</w:t>
      </w:r>
    </w:p>
    <w:p>
      <w:pPr>
        <w:spacing w:after="0" w:line="290" w:lineRule="exact"/>
        <w:rPr>
          <w:sz w:val="20"/>
          <w:szCs w:val="20"/>
          <w:color w:val="auto"/>
        </w:rPr>
      </w:pPr>
    </w:p>
    <w:p>
      <w:pPr>
        <w:ind w:left="5500"/>
        <w:spacing w:after="0"/>
        <w:tabs>
          <w:tab w:leader="none" w:pos="5980" w:val="left"/>
        </w:tabs>
        <w:rPr>
          <w:sz w:val="20"/>
          <w:szCs w:val="20"/>
          <w:color w:val="auto"/>
        </w:rPr>
      </w:pPr>
      <w:r>
        <w:rPr>
          <w:rFonts w:ascii="Arial" w:cs="Arial" w:eastAsia="Arial" w:hAnsi="Arial"/>
          <w:sz w:val="18"/>
          <w:szCs w:val="18"/>
          <w:color w:val="auto"/>
        </w:rPr>
        <w:t>By:</w:t>
        <w:tab/>
        <w:t>/s/ Abhishek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31750</wp:posOffset>
            </wp:positionV>
            <wp:extent cx="33432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Abhishek Maheshwari</w:t>
      </w:r>
    </w:p>
    <w:p>
      <w:pPr>
        <w:ind w:left="6000"/>
        <w:spacing w:after="0"/>
        <w:rPr>
          <w:sz w:val="20"/>
          <w:szCs w:val="20"/>
          <w:color w:val="auto"/>
        </w:rPr>
      </w:pPr>
      <w:r>
        <w:rPr>
          <w:rFonts w:ascii="Arial" w:cs="Arial" w:eastAsia="Arial" w:hAnsi="Arial"/>
          <w:sz w:val="18"/>
          <w:szCs w:val="18"/>
          <w:i w:val="1"/>
          <w:iCs w:val="1"/>
          <w:color w:val="auto"/>
        </w:rPr>
        <w:t>Chief Accounting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320" w:top="125" w:right="37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2019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UNIT AGREEMENT</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Unless otherwise defined herein, the terms defined in the CrowdStrike Holdings, Inc. 2019 Equity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will have the same defined meanings in this Global Performance Unit Agreement, which includes the Notice of Performance Unit Grant (the “</w:t>
      </w:r>
      <w:r>
        <w:rPr>
          <w:rFonts w:ascii="Arial" w:cs="Arial" w:eastAsia="Arial" w:hAnsi="Arial"/>
          <w:sz w:val="22"/>
          <w:szCs w:val="22"/>
          <w:u w:val="single" w:color="auto"/>
          <w:color w:val="auto"/>
        </w:rPr>
        <w:t>Notice of Grant</w:t>
      </w:r>
      <w:r>
        <w:rPr>
          <w:rFonts w:ascii="Arial" w:cs="Arial" w:eastAsia="Arial" w:hAnsi="Arial"/>
          <w:sz w:val="22"/>
          <w:szCs w:val="22"/>
          <w:color w:val="auto"/>
        </w:rPr>
        <w:t xml:space="preserve">”), the Terms and Conditions of Performance Unit Grant, including the Country Addendum,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Performance Goal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all other exhibits and appendices (all together, the “</w:t>
      </w:r>
      <w:r>
        <w:rPr>
          <w:rFonts w:ascii="Arial" w:cs="Arial" w:eastAsia="Arial" w:hAnsi="Arial"/>
          <w:sz w:val="22"/>
          <w:szCs w:val="22"/>
          <w:u w:val="single" w:color="auto"/>
          <w:color w:val="auto"/>
        </w:rPr>
        <w:t>Award Agreement</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PERFORMANCE UNIT GRANT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Participant: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Address:</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CrowdStrike Holdings, Inc. (the “</w:t>
      </w:r>
      <w:r>
        <w:rPr>
          <w:rFonts w:ascii="Arial" w:cs="Arial" w:eastAsia="Arial" w:hAnsi="Arial"/>
          <w:sz w:val="22"/>
          <w:szCs w:val="22"/>
          <w:u w:val="single" w:color="auto"/>
          <w:color w:val="auto"/>
        </w:rPr>
        <w:t>Company</w:t>
      </w:r>
      <w:r>
        <w:rPr>
          <w:rFonts w:ascii="Arial" w:cs="Arial" w:eastAsia="Arial" w:hAnsi="Arial"/>
          <w:sz w:val="22"/>
          <w:szCs w:val="22"/>
          <w:color w:val="auto"/>
        </w:rPr>
        <w:t>”) has granted Participant the right to receive an Award of Performance Units, subject to the terms and conditions of the Plan and this Award Agreement, as follows: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1353820</wp:posOffset>
            </wp:positionH>
            <wp:positionV relativeFrom="paragraph">
              <wp:posOffset>-17780</wp:posOffset>
            </wp:positionV>
            <wp:extent cx="342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1311275</wp:posOffset>
            </wp:positionH>
            <wp:positionV relativeFrom="paragraph">
              <wp:posOffset>-17780</wp:posOffset>
            </wp:positionV>
            <wp:extent cx="342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2195195</wp:posOffset>
            </wp:positionH>
            <wp:positionV relativeFrom="paragraph">
              <wp:posOffset>-17780</wp:posOffset>
            </wp:positionV>
            <wp:extent cx="342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Target Number of Performance Units: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Subject to any acceleration provisions contained in the Plan or set forth below, the Performance Units will become earned and vested as follows:</w:t>
      </w:r>
    </w:p>
    <w:p>
      <w:pPr>
        <w:spacing w:after="0" w:line="175" w:lineRule="exact"/>
        <w:rPr>
          <w:sz w:val="20"/>
          <w:szCs w:val="20"/>
          <w:color w:val="auto"/>
        </w:rPr>
      </w:pPr>
    </w:p>
    <w:p>
      <w:pPr>
        <w:jc w:val="both"/>
        <w:ind w:firstLine="656"/>
        <w:spacing w:after="0" w:line="253" w:lineRule="auto"/>
        <w:tabs>
          <w:tab w:leader="none" w:pos="1284" w:val="left"/>
        </w:tabs>
        <w:numPr>
          <w:ilvl w:val="0"/>
          <w:numId w:val="35"/>
        </w:numPr>
        <w:rPr>
          <w:rFonts w:ascii="Arial" w:cs="Arial" w:eastAsia="Arial" w:hAnsi="Arial"/>
          <w:sz w:val="22"/>
          <w:szCs w:val="22"/>
          <w:color w:val="auto"/>
        </w:rPr>
      </w:pPr>
      <w:r>
        <w:rPr>
          <w:rFonts w:ascii="Arial" w:cs="Arial" w:eastAsia="Arial" w:hAnsi="Arial"/>
          <w:sz w:val="22"/>
          <w:szCs w:val="22"/>
          <w:i w:val="1"/>
          <w:iCs w:val="1"/>
          <w:u w:val="single" w:color="auto"/>
          <w:color w:val="auto"/>
        </w:rPr>
        <w:t>Performance Goal</w:t>
      </w:r>
      <w:r>
        <w:rPr>
          <w:rFonts w:ascii="Arial" w:cs="Arial" w:eastAsia="Arial" w:hAnsi="Arial"/>
          <w:sz w:val="22"/>
          <w:szCs w:val="22"/>
          <w:color w:val="auto"/>
        </w:rPr>
        <w:t>. The Participant may earn [between [●]% and [●]% of] the Target Number of Performance</w:t>
      </w:r>
      <w:r>
        <w:rPr>
          <w:rFonts w:ascii="Arial" w:cs="Arial" w:eastAsia="Arial" w:hAnsi="Arial"/>
          <w:sz w:val="22"/>
          <w:szCs w:val="22"/>
          <w:i w:val="1"/>
          <w:iCs w:val="1"/>
          <w:color w:val="auto"/>
        </w:rPr>
        <w:t xml:space="preserve"> </w:t>
      </w:r>
      <w:r>
        <w:rPr>
          <w:rFonts w:ascii="Arial" w:cs="Arial" w:eastAsia="Arial" w:hAnsi="Arial"/>
          <w:sz w:val="22"/>
          <w:szCs w:val="22"/>
          <w:color w:val="auto"/>
        </w:rPr>
        <w:t>Units reflected above (“</w:t>
      </w:r>
      <w:r>
        <w:rPr>
          <w:rFonts w:ascii="Arial" w:cs="Arial" w:eastAsia="Arial" w:hAnsi="Arial"/>
          <w:sz w:val="22"/>
          <w:szCs w:val="22"/>
          <w:u w:val="single" w:color="auto"/>
          <w:color w:val="auto"/>
        </w:rPr>
        <w:t>Target Performance Units</w:t>
      </w:r>
      <w:r>
        <w:rPr>
          <w:rFonts w:ascii="Arial" w:cs="Arial" w:eastAsia="Arial" w:hAnsi="Arial"/>
          <w:sz w:val="22"/>
          <w:szCs w:val="22"/>
          <w:color w:val="auto"/>
        </w:rPr>
        <w:t xml:space="preserve">”) based on achievement of the Performance Goal (as defined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attached hereto) for the Performance Period (as defined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attached hereto).</w:t>
      </w:r>
    </w:p>
    <w:p>
      <w:pPr>
        <w:spacing w:after="0" w:line="185" w:lineRule="exact"/>
        <w:rPr>
          <w:rFonts w:ascii="Arial" w:cs="Arial" w:eastAsia="Arial" w:hAnsi="Arial"/>
          <w:sz w:val="22"/>
          <w:szCs w:val="22"/>
          <w:color w:val="auto"/>
        </w:rPr>
      </w:pPr>
    </w:p>
    <w:p>
      <w:pPr>
        <w:jc w:val="both"/>
        <w:ind w:firstLine="656"/>
        <w:spacing w:after="0" w:line="248" w:lineRule="auto"/>
        <w:tabs>
          <w:tab w:leader="none" w:pos="1296" w:val="left"/>
        </w:tabs>
        <w:numPr>
          <w:ilvl w:val="0"/>
          <w:numId w:val="35"/>
        </w:numPr>
        <w:rPr>
          <w:rFonts w:ascii="Arial" w:cs="Arial" w:eastAsia="Arial" w:hAnsi="Arial"/>
          <w:sz w:val="22"/>
          <w:szCs w:val="22"/>
          <w:color w:val="auto"/>
        </w:rPr>
      </w:pPr>
      <w:r>
        <w:rPr>
          <w:rFonts w:ascii="Arial" w:cs="Arial" w:eastAsia="Arial" w:hAnsi="Arial"/>
          <w:sz w:val="22"/>
          <w:szCs w:val="22"/>
          <w:i w:val="1"/>
          <w:iCs w:val="1"/>
          <w:u w:val="single" w:color="auto"/>
          <w:color w:val="auto"/>
        </w:rPr>
        <w:t>Shares Eligible to Vest</w:t>
      </w:r>
      <w:r>
        <w:rPr>
          <w:rFonts w:ascii="Arial" w:cs="Arial" w:eastAsia="Arial" w:hAnsi="Arial"/>
          <w:sz w:val="22"/>
          <w:szCs w:val="22"/>
          <w:color w:val="auto"/>
        </w:rPr>
        <w:t>. The number of Performance Units earned and eligible to vest and convert to Shares (the</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Earned Performance Units</w:t>
      </w:r>
      <w:r>
        <w:rPr>
          <w:rFonts w:ascii="Arial" w:cs="Arial" w:eastAsia="Arial" w:hAnsi="Arial"/>
          <w:sz w:val="22"/>
          <w:szCs w:val="22"/>
          <w:color w:val="auto"/>
        </w:rPr>
        <w:t xml:space="preserve">”) shall be equal to (i) the number of Target Performance Units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(ii) the Achievement Percentage (as defined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attached hereto), as determined in accordance with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attached hereto. For the avoidance of doubt, if the Achivement Percentage is [●]%, all of the Performance Units granted hereunder shall be forfeited without any payment to Participant.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w:t>
      </w:r>
      <w:r>
        <w:rPr>
          <w:rFonts w:ascii="Arial" w:cs="Arial" w:eastAsia="Arial" w:hAnsi="Arial"/>
          <w:sz w:val="21"/>
          <w:szCs w:val="21"/>
          <w:color w:val="auto"/>
        </w:rPr>
        <w:t>1</w:t>
      </w: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132"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56"/>
        <w:spacing w:after="0" w:line="287" w:lineRule="auto"/>
        <w:tabs>
          <w:tab w:leader="none" w:pos="1284" w:val="left"/>
        </w:tabs>
        <w:numPr>
          <w:ilvl w:val="0"/>
          <w:numId w:val="36"/>
        </w:numPr>
        <w:rPr>
          <w:rFonts w:ascii="Arial" w:cs="Arial" w:eastAsia="Arial" w:hAnsi="Arial"/>
          <w:sz w:val="21"/>
          <w:szCs w:val="21"/>
          <w:color w:val="auto"/>
        </w:rPr>
      </w:pPr>
      <w:r>
        <w:rPr>
          <w:rFonts w:ascii="Arial" w:cs="Arial" w:eastAsia="Arial" w:hAnsi="Arial"/>
          <w:sz w:val="21"/>
          <w:szCs w:val="21"/>
          <w:i w:val="1"/>
          <w:iCs w:val="1"/>
          <w:u w:val="single" w:color="auto"/>
          <w:color w:val="auto"/>
        </w:rPr>
        <w:t>Vesting Schedule</w:t>
      </w:r>
      <w:r>
        <w:rPr>
          <w:rFonts w:ascii="Arial" w:cs="Arial" w:eastAsia="Arial" w:hAnsi="Arial"/>
          <w:sz w:val="21"/>
          <w:szCs w:val="21"/>
          <w:color w:val="auto"/>
        </w:rPr>
        <w:t>. Subject to the Participant’s continued employment on the applicable vesting date (except as</w:t>
      </w:r>
      <w:r>
        <w:rPr>
          <w:rFonts w:ascii="Arial" w:cs="Arial" w:eastAsia="Arial" w:hAnsi="Arial"/>
          <w:sz w:val="21"/>
          <w:szCs w:val="21"/>
          <w:i w:val="1"/>
          <w:iCs w:val="1"/>
          <w:color w:val="auto"/>
        </w:rPr>
        <w:t xml:space="preserve"> </w:t>
      </w:r>
      <w:r>
        <w:rPr>
          <w:rFonts w:ascii="Arial" w:cs="Arial" w:eastAsia="Arial" w:hAnsi="Arial"/>
          <w:sz w:val="21"/>
          <w:szCs w:val="21"/>
          <w:color w:val="auto"/>
        </w:rPr>
        <w:t>otherwise provided herein), the Earned Performance Units shall vest in accordance with the schedule below:</w:t>
      </w:r>
    </w:p>
    <w:p>
      <w:pPr>
        <w:spacing w:after="0" w:line="151" w:lineRule="exact"/>
        <w:rPr>
          <w:sz w:val="20"/>
          <w:szCs w:val="20"/>
          <w:color w:val="auto"/>
        </w:rPr>
      </w:pPr>
    </w:p>
    <w:p>
      <w:pPr>
        <w:ind w:firstLine="656"/>
        <w:spacing w:after="0" w:line="263" w:lineRule="auto"/>
        <w:tabs>
          <w:tab w:leader="none" w:pos="1039" w:val="left"/>
        </w:tabs>
        <w:numPr>
          <w:ilvl w:val="0"/>
          <w:numId w:val="37"/>
        </w:numPr>
        <w:rPr>
          <w:rFonts w:ascii="Arial" w:cs="Arial" w:eastAsia="Arial" w:hAnsi="Arial"/>
          <w:sz w:val="22"/>
          <w:szCs w:val="22"/>
          <w:color w:val="auto"/>
        </w:rPr>
      </w:pPr>
      <w:r>
        <w:rPr>
          <w:rFonts w:ascii="Arial" w:cs="Arial" w:eastAsia="Arial" w:hAnsi="Arial"/>
          <w:sz w:val="22"/>
          <w:szCs w:val="22"/>
          <w:color w:val="auto"/>
        </w:rPr>
        <w:t>of the Earned Performance Units will vest [●], and [●] of the Earned Performance Units will vest [●], subject to Participant continuing to be a Service Provider through each such date.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the event Participant ceases to be a Service Provider for any or no reason before Participant vests in the Earned Performance Units (or a portion thereof), the unvested Earned Performance Units (or the unvested portion thereof) and Participant’s right to acquire any Shares hereunder will immediately terminate.</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If Participant does </w:t>
      </w:r>
      <w:r>
        <w:rPr>
          <w:rFonts w:ascii="Arial" w:cs="Arial" w:eastAsia="Arial" w:hAnsi="Arial"/>
          <w:sz w:val="22"/>
          <w:szCs w:val="22"/>
          <w:b w:val="1"/>
          <w:bCs w:val="1"/>
          <w:u w:val="single" w:color="auto"/>
          <w:color w:val="auto"/>
        </w:rPr>
        <w:t>not</w:t>
      </w:r>
      <w:r>
        <w:rPr>
          <w:rFonts w:ascii="Arial" w:cs="Arial" w:eastAsia="Arial" w:hAnsi="Arial"/>
          <w:sz w:val="22"/>
          <w:szCs w:val="22"/>
          <w:b w:val="1"/>
          <w:bCs w:val="1"/>
          <w:color w:val="auto"/>
        </w:rPr>
        <w:t xml:space="preserve"> wish to accept this Award Agreement and the Performance Units granted hereunder, Participant must inform the Company in writing (by writing to [●]) within forty-five (45) days after the Date of Grant, in which case the Company will cancel this Award and the Performance Units granted hereunder will be immediately forfeited and canceled in their entirety without any payment or consideration being due from the Company. </w:t>
      </w:r>
      <w:r>
        <w:rPr>
          <w:rFonts w:ascii="Arial" w:cs="Arial" w:eastAsia="Arial" w:hAnsi="Arial"/>
          <w:sz w:val="22"/>
          <w:szCs w:val="22"/>
          <w:b w:val="1"/>
          <w:bCs w:val="1"/>
          <w:u w:val="single" w:color="auto"/>
          <w:color w:val="auto"/>
        </w:rPr>
        <w:t>If, during</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such period, Participant does not inform the Company in writing of his or her refusal to accept this Award of Performance Units, then Participant will be deemed to have accepted this Award of Performance Units and, by accepting, to</w:t>
      </w:r>
      <w:r>
        <w:rPr>
          <w:rFonts w:ascii="Arial" w:cs="Arial" w:eastAsia="Arial" w:hAnsi="Arial"/>
          <w:sz w:val="22"/>
          <w:szCs w:val="22"/>
          <w:b w:val="1"/>
          <w:bCs w:val="1"/>
          <w:color w:val="auto"/>
        </w:rPr>
        <w:t>:</w:t>
      </w:r>
    </w:p>
    <w:p>
      <w:pPr>
        <w:spacing w:after="0" w:line="189" w:lineRule="exact"/>
        <w:rPr>
          <w:sz w:val="20"/>
          <w:szCs w:val="20"/>
          <w:color w:val="auto"/>
        </w:rPr>
      </w:pPr>
    </w:p>
    <w:p>
      <w:pPr>
        <w:jc w:val="both"/>
        <w:ind w:left="1300" w:hanging="320"/>
        <w:spacing w:after="0" w:line="252" w:lineRule="auto"/>
        <w:tabs>
          <w:tab w:leader="none" w:pos="1295"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 xml:space="preserve">agree that this Award of Performance Units is granted under and governed by the terms and conditions of the Plan and this Award Agreement, including the Terms and Conditions of Performance Unit Grant, attached hereto as </w:t>
      </w:r>
      <w:r>
        <w:rPr>
          <w:rFonts w:ascii="Arial" w:cs="Arial" w:eastAsia="Arial" w:hAnsi="Arial"/>
          <w:sz w:val="22"/>
          <w:szCs w:val="22"/>
          <w:b w:val="1"/>
          <w:bCs w:val="1"/>
          <w:u w:val="single" w:color="auto"/>
          <w:color w:val="auto"/>
        </w:rPr>
        <w:t>Exhibit A</w:t>
      </w:r>
      <w:r>
        <w:rPr>
          <w:rFonts w:ascii="Arial" w:cs="Arial" w:eastAsia="Arial" w:hAnsi="Arial"/>
          <w:sz w:val="22"/>
          <w:szCs w:val="22"/>
          <w:b w:val="1"/>
          <w:bCs w:val="1"/>
          <w:color w:val="auto"/>
        </w:rPr>
        <w:t xml:space="preserve">, and the Performance Goal, attached hereto as </w:t>
      </w:r>
      <w:r>
        <w:rPr>
          <w:rFonts w:ascii="Arial" w:cs="Arial" w:eastAsia="Arial" w:hAnsi="Arial"/>
          <w:sz w:val="22"/>
          <w:szCs w:val="22"/>
          <w:b w:val="1"/>
          <w:bCs w:val="1"/>
          <w:u w:val="single" w:color="auto"/>
          <w:color w:val="auto"/>
        </w:rPr>
        <w:t>Exhibit B</w:t>
      </w:r>
      <w:r>
        <w:rPr>
          <w:rFonts w:ascii="Arial" w:cs="Arial" w:eastAsia="Arial" w:hAnsi="Arial"/>
          <w:sz w:val="22"/>
          <w:szCs w:val="22"/>
          <w:b w:val="1"/>
          <w:bCs w:val="1"/>
          <w:color w:val="auto"/>
        </w:rPr>
        <w:t>, all of which are made a part of this document;</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acknowledge receipt of a copy of the Plan;</w:t>
      </w:r>
    </w:p>
    <w:p>
      <w:pPr>
        <w:spacing w:after="0" w:line="219" w:lineRule="exact"/>
        <w:rPr>
          <w:rFonts w:ascii="Arial" w:cs="Arial" w:eastAsia="Arial" w:hAnsi="Arial"/>
          <w:sz w:val="22"/>
          <w:szCs w:val="22"/>
          <w:color w:val="auto"/>
        </w:rPr>
      </w:pPr>
    </w:p>
    <w:p>
      <w:pPr>
        <w:jc w:val="both"/>
        <w:ind w:left="1300" w:hanging="320"/>
        <w:spacing w:after="0" w:line="256" w:lineRule="auto"/>
        <w:tabs>
          <w:tab w:leader="none" w:pos="1295"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acknowledge that Participant has reviewed the Plan and this Award Agreement in their entirety, has had an opportunity to obtain the advice of counsel prior to executing this Award Agreement, and fully understands all provisions of the Plan and this Award Agreement;</w:t>
      </w:r>
    </w:p>
    <w:p>
      <w:pPr>
        <w:spacing w:after="0" w:line="176" w:lineRule="exact"/>
        <w:rPr>
          <w:rFonts w:ascii="Arial" w:cs="Arial" w:eastAsia="Arial" w:hAnsi="Arial"/>
          <w:sz w:val="22"/>
          <w:szCs w:val="22"/>
          <w:color w:val="auto"/>
        </w:rPr>
      </w:pPr>
    </w:p>
    <w:p>
      <w:pPr>
        <w:ind w:left="1300" w:hanging="320"/>
        <w:spacing w:after="0" w:line="269" w:lineRule="auto"/>
        <w:tabs>
          <w:tab w:leader="none" w:pos="1295"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agree to accept as binding, conclusive, and final all decisions or interpretations of the Administrator upon any questions relating to the Plan and the Award Agreement; and</w:t>
      </w:r>
    </w:p>
    <w:p>
      <w:pPr>
        <w:spacing w:after="0" w:line="161" w:lineRule="exact"/>
        <w:rPr>
          <w:rFonts w:ascii="Arial" w:cs="Arial" w:eastAsia="Arial" w:hAnsi="Arial"/>
          <w:sz w:val="22"/>
          <w:szCs w:val="22"/>
          <w:color w:val="auto"/>
        </w:rPr>
      </w:pPr>
    </w:p>
    <w:p>
      <w:pPr>
        <w:ind w:left="1300" w:hanging="320"/>
        <w:spacing w:after="0"/>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agree to notify the Company upon any change in his or her residence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w:t>
      </w:r>
      <w:r>
        <w:rPr>
          <w:rFonts w:ascii="Arial" w:cs="Arial" w:eastAsia="Arial" w:hAnsi="Arial"/>
          <w:sz w:val="21"/>
          <w:szCs w:val="21"/>
          <w:color w:val="auto"/>
        </w:rPr>
        <w:t>2</w:t>
      </w: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TERMS AND CONDITIONS OF PERFORMANCE UNIT GRANT</w:t>
      </w:r>
    </w:p>
    <w:p>
      <w:pPr>
        <w:spacing w:after="0" w:line="226" w:lineRule="exact"/>
        <w:rPr>
          <w:sz w:val="20"/>
          <w:szCs w:val="20"/>
          <w:color w:val="auto"/>
        </w:rPr>
      </w:pPr>
    </w:p>
    <w:p>
      <w:pPr>
        <w:jc w:val="both"/>
        <w:ind w:firstLine="656"/>
        <w:spacing w:after="0" w:line="297" w:lineRule="auto"/>
        <w:tabs>
          <w:tab w:leader="none" w:pos="1284"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Grant of Performance Units</w:t>
      </w:r>
      <w:r>
        <w:rPr>
          <w:rFonts w:ascii="Arial" w:cs="Arial" w:eastAsia="Arial" w:hAnsi="Arial"/>
          <w:sz w:val="19"/>
          <w:szCs w:val="19"/>
          <w:color w:val="auto"/>
        </w:rPr>
        <w:t>. The Company hereby grants to the individual (the “</w:t>
      </w:r>
      <w:r>
        <w:rPr>
          <w:rFonts w:ascii="Arial" w:cs="Arial" w:eastAsia="Arial" w:hAnsi="Arial"/>
          <w:sz w:val="19"/>
          <w:szCs w:val="19"/>
          <w:u w:val="single" w:color="auto"/>
          <w:color w:val="auto"/>
        </w:rPr>
        <w:t>Participant</w:t>
      </w:r>
      <w:r>
        <w:rPr>
          <w:rFonts w:ascii="Arial" w:cs="Arial" w:eastAsia="Arial" w:hAnsi="Arial"/>
          <w:sz w:val="19"/>
          <w:szCs w:val="19"/>
          <w:color w:val="auto"/>
        </w:rPr>
        <w:t>”) named in the Notice of Performance Unit Grant of this Award Agreement (the “</w:t>
      </w:r>
      <w:r>
        <w:rPr>
          <w:rFonts w:ascii="Arial" w:cs="Arial" w:eastAsia="Arial" w:hAnsi="Arial"/>
          <w:sz w:val="19"/>
          <w:szCs w:val="19"/>
          <w:u w:val="single" w:color="auto"/>
          <w:color w:val="auto"/>
        </w:rPr>
        <w:t>Notice of Grant</w:t>
      </w:r>
      <w:r>
        <w:rPr>
          <w:rFonts w:ascii="Arial" w:cs="Arial" w:eastAsia="Arial" w:hAnsi="Arial"/>
          <w:sz w:val="19"/>
          <w:szCs w:val="19"/>
          <w:color w:val="auto"/>
        </w:rPr>
        <w:t>”) under the Plan an Award of Performance Units, subject to all of the terms and conditions in this Award Agreement and the Plan, which is incorporated herein by reference. Subject to Section 21(c) of the Plan, in the event of a conflict between the terms and conditions of the Plan and the terms and conditions of this Award Agreement, the terms and conditions of the Plan shall prevail.</w:t>
      </w:r>
    </w:p>
    <w:p>
      <w:pPr>
        <w:spacing w:after="0" w:line="146" w:lineRule="exact"/>
        <w:rPr>
          <w:rFonts w:ascii="Arial" w:cs="Arial" w:eastAsia="Arial" w:hAnsi="Arial"/>
          <w:sz w:val="19"/>
          <w:szCs w:val="19"/>
          <w:color w:val="auto"/>
        </w:rPr>
      </w:pPr>
    </w:p>
    <w:p>
      <w:pPr>
        <w:jc w:val="both"/>
        <w:ind w:firstLine="656"/>
        <w:spacing w:after="0" w:line="263" w:lineRule="auto"/>
        <w:tabs>
          <w:tab w:leader="none" w:pos="1296"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Company’s Obligation to Deliver and Settle</w:t>
      </w:r>
      <w:r>
        <w:rPr>
          <w:rFonts w:ascii="Arial" w:cs="Arial" w:eastAsia="Arial" w:hAnsi="Arial"/>
          <w:sz w:val="21"/>
          <w:szCs w:val="21"/>
          <w:color w:val="auto"/>
        </w:rPr>
        <w:t>. Each Performance Unit represents the right to receive up to [●]% of a Share on the date it vests, based on the level of attainment of the Performance Goal. Unless and until the Performance Units will have vested in the manner set forth in Section 3 or 4, Participant will have no right to settlement of any such Performance Units. Prior to actual settlement of any vested Performance Units, such Performance Units will represent an unsecured obligation of the Company, payable (if at all) only from the general assets of the Company.</w:t>
      </w:r>
    </w:p>
    <w:p>
      <w:pPr>
        <w:spacing w:after="0" w:line="175" w:lineRule="exact"/>
        <w:rPr>
          <w:rFonts w:ascii="Arial" w:cs="Arial" w:eastAsia="Arial" w:hAnsi="Arial"/>
          <w:sz w:val="21"/>
          <w:szCs w:val="21"/>
          <w:color w:val="auto"/>
        </w:rPr>
      </w:pPr>
    </w:p>
    <w:p>
      <w:pPr>
        <w:jc w:val="both"/>
        <w:ind w:firstLine="656"/>
        <w:spacing w:after="0" w:line="253" w:lineRule="auto"/>
        <w:tabs>
          <w:tab w:leader="none" w:pos="1284"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 Except as provided in Section 4, and subject to Section 5, the Performance Units awarded by this Award Agreement will be earned and vest in accordance with the vesting schedule set forth in the Notice of Grant, subject to Participant continuing to be a Service Provider through each applicable vesting date.</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Settlement after Vesting</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97" w:lineRule="auto"/>
        <w:tabs>
          <w:tab w:leader="none" w:pos="1944"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General Rule</w:t>
      </w:r>
      <w:r>
        <w:rPr>
          <w:rFonts w:ascii="Arial" w:cs="Arial" w:eastAsia="Arial" w:hAnsi="Arial"/>
          <w:sz w:val="19"/>
          <w:szCs w:val="19"/>
          <w:color w:val="auto"/>
        </w:rPr>
        <w:t>. Subject to Section 8, any Earned Performance Units that vest will be settled to Participant (or in the event of Participant’s death, to his or her properly designated beneficiary or estate) in whole Shares. Subject to the provisions of Section 4(b), such vested Earned Performance Units shall be settled in whole Shares as soon as practicable after vesting, but in each such case within sixty (60) days following the vesting date. In no event will Participant be permitted, directly or indirectly, to specify the taxable year of payment of any Earned Performance Units payable under this Award Agreement.</w:t>
      </w:r>
    </w:p>
    <w:p>
      <w:pPr>
        <w:spacing w:after="0" w:line="146" w:lineRule="exact"/>
        <w:rPr>
          <w:rFonts w:ascii="Arial" w:cs="Arial" w:eastAsia="Arial" w:hAnsi="Arial"/>
          <w:sz w:val="19"/>
          <w:szCs w:val="19"/>
          <w:color w:val="auto"/>
        </w:rPr>
      </w:pPr>
    </w:p>
    <w:p>
      <w:pPr>
        <w:jc w:val="both"/>
        <w:ind w:firstLine="1304"/>
        <w:spacing w:after="0" w:line="294" w:lineRule="auto"/>
        <w:tabs>
          <w:tab w:leader="none" w:pos="1944"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Discretionary Acceleration</w:t>
      </w:r>
      <w:r>
        <w:rPr>
          <w:rFonts w:ascii="Arial" w:cs="Arial" w:eastAsia="Arial" w:hAnsi="Arial"/>
          <w:sz w:val="19"/>
          <w:szCs w:val="19"/>
          <w:color w:val="auto"/>
        </w:rPr>
        <w:t>. The Administrator, in its discretion, may accelerate the vesting of the balance, or some lesser portion of the balance, of the unearned or unvested Performance Units at any time, subject to the terms of the Plan. If so accelerated, such Performance Units will be considered as having been earned or vested as of the date specified by the Administrator. If Participant is a U.S. taxpayer, the payment of Shares vesting pursuant to this Section 4(b) shall in all cases be paid at a time or in a manner that is exempt from, or complies with, Section 409A of the Code. The prior sentence may be superseded in a future agreement or amendment to this Award Agreement only by direct and specific reference to such sentence.</w:t>
      </w:r>
    </w:p>
    <w:p>
      <w:pPr>
        <w:spacing w:after="0" w:line="149" w:lineRule="exact"/>
        <w:rPr>
          <w:rFonts w:ascii="Arial" w:cs="Arial" w:eastAsia="Arial" w:hAnsi="Arial"/>
          <w:sz w:val="19"/>
          <w:szCs w:val="19"/>
          <w:color w:val="auto"/>
        </w:rPr>
      </w:pPr>
    </w:p>
    <w:p>
      <w:pPr>
        <w:jc w:val="both"/>
        <w:ind w:firstLine="656"/>
        <w:spacing w:after="0" w:line="250" w:lineRule="auto"/>
        <w:tabs>
          <w:tab w:leader="none" w:pos="1284"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Forfeiture Upon Termination as a Service Provider</w:t>
      </w:r>
      <w:r>
        <w:rPr>
          <w:rFonts w:ascii="Arial" w:cs="Arial" w:eastAsia="Arial" w:hAnsi="Arial"/>
          <w:sz w:val="22"/>
          <w:szCs w:val="22"/>
          <w:color w:val="auto"/>
        </w:rPr>
        <w:t>. Notwithstanding any contrary provision of this Award Agreement, if Participant ceases to be a Service Provider for any or no reason, the then-unvested Performance Units awarded by this Award Agreement will thereupon be forfeited at no cost to the Company and Participant will have no further rights thereunder.</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w:t>
      </w:r>
      <w:r>
        <w:rPr>
          <w:rFonts w:ascii="Arial" w:cs="Arial" w:eastAsia="Arial" w:hAnsi="Arial"/>
          <w:sz w:val="21"/>
          <w:szCs w:val="21"/>
          <w:color w:val="auto"/>
        </w:rPr>
        <w:t>3</w:t>
      </w: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656"/>
        <w:spacing w:after="0" w:line="294" w:lineRule="auto"/>
        <w:tabs>
          <w:tab w:leader="none" w:pos="1287"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Any distribution or delivery to be made to Participant under this Award Agreement will, if Participant is then deceased, be made to Participant’s designated beneficiary (to the extent such designation is permitted by the Company and the Company has determined it to be valid under applicable law), or if no beneficiary has been validly designated or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49" w:lineRule="exact"/>
        <w:rPr>
          <w:rFonts w:ascii="Arial" w:cs="Arial" w:eastAsia="Arial" w:hAnsi="Arial"/>
          <w:sz w:val="19"/>
          <w:szCs w:val="19"/>
          <w:color w:val="auto"/>
        </w:rPr>
      </w:pPr>
    </w:p>
    <w:p>
      <w:pPr>
        <w:jc w:val="both"/>
        <w:ind w:firstLine="656"/>
        <w:spacing w:after="0" w:line="253" w:lineRule="auto"/>
        <w:tabs>
          <w:tab w:leader="none" w:pos="1296"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In the event of a Change in Control, the Administrator will have full discretion, subject to any applicable regulatory approvals, to take whatever actions it deems necessary or appropriate with respect to unvested Performance Units, in accordance with Section 15 of the Plan.</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Tax Obligations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87" w:lineRule="auto"/>
        <w:tabs>
          <w:tab w:leader="none" w:pos="1944"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regardless of any action taken by the Company or, if different, Participant’s employer (the “</w:t>
      </w:r>
      <w:r>
        <w:rPr>
          <w:rFonts w:ascii="Arial" w:cs="Arial" w:eastAsia="Arial" w:hAnsi="Arial"/>
          <w:sz w:val="19"/>
          <w:szCs w:val="19"/>
          <w:u w:val="single" w:color="auto"/>
          <w:color w:val="auto"/>
        </w:rPr>
        <w:t>Employer</w:t>
      </w:r>
      <w:r>
        <w:rPr>
          <w:rFonts w:ascii="Arial" w:cs="Arial" w:eastAsia="Arial" w:hAnsi="Arial"/>
          <w:sz w:val="19"/>
          <w:szCs w:val="19"/>
          <w:color w:val="auto"/>
        </w:rPr>
        <w:t>”) or Parent or Subsidiary to which Participant is providing services (together, the Company, Employer and/or Parent or Subsidiary to which Participant is providing services, the “</w:t>
      </w:r>
      <w:r>
        <w:rPr>
          <w:rFonts w:ascii="Arial" w:cs="Arial" w:eastAsia="Arial" w:hAnsi="Arial"/>
          <w:sz w:val="19"/>
          <w:szCs w:val="19"/>
          <w:u w:val="single" w:color="auto"/>
          <w:color w:val="auto"/>
        </w:rPr>
        <w:t>Service Recipient</w:t>
      </w:r>
      <w:r>
        <w:rPr>
          <w:rFonts w:ascii="Arial" w:cs="Arial" w:eastAsia="Arial" w:hAnsi="Arial"/>
          <w:sz w:val="19"/>
          <w:szCs w:val="19"/>
          <w:color w:val="auto"/>
        </w:rPr>
        <w:t>”), the ultimate liability for any income tax, social insurance, payroll tax, fringe benefits tax, payment on account or other tax-related items related to Participant’s participation in the Plan and legally applicable to Participant (collectively, the “</w:t>
      </w:r>
      <w:r>
        <w:rPr>
          <w:rFonts w:ascii="Arial" w:cs="Arial" w:eastAsia="Arial" w:hAnsi="Arial"/>
          <w:sz w:val="19"/>
          <w:szCs w:val="19"/>
          <w:u w:val="single" w:color="auto"/>
          <w:color w:val="auto"/>
        </w:rPr>
        <w:t>Tax Obligations</w:t>
      </w:r>
      <w:r>
        <w:rPr>
          <w:rFonts w:ascii="Arial" w:cs="Arial" w:eastAsia="Arial" w:hAnsi="Arial"/>
          <w:sz w:val="19"/>
          <w:szCs w:val="19"/>
          <w:color w:val="auto"/>
        </w:rPr>
        <w:t>”), is and remains Participant’s responsibility and may exceed the amount, if any, actually withheld by the Company or the Service Recipient. Further, if Participant is subject to Tax Obligations in more than one jurisdiction,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 or proceeds from the sale of Shares.</w:t>
      </w:r>
    </w:p>
    <w:p>
      <w:pPr>
        <w:spacing w:after="0" w:line="163" w:lineRule="exact"/>
        <w:rPr>
          <w:rFonts w:ascii="Arial" w:cs="Arial" w:eastAsia="Arial" w:hAnsi="Arial"/>
          <w:sz w:val="19"/>
          <w:szCs w:val="19"/>
          <w:color w:val="auto"/>
        </w:rPr>
      </w:pPr>
    </w:p>
    <w:p>
      <w:pPr>
        <w:jc w:val="both"/>
        <w:ind w:firstLine="1304"/>
        <w:spacing w:after="0" w:line="288" w:lineRule="auto"/>
        <w:tabs>
          <w:tab w:leader="none" w:pos="1944"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Tax Withholding and Default Sell-to-Cover Method of Tax Withholding</w:t>
      </w:r>
      <w:r>
        <w:rPr>
          <w:rFonts w:ascii="Arial" w:cs="Arial" w:eastAsia="Arial" w:hAnsi="Arial"/>
          <w:sz w:val="19"/>
          <w:szCs w:val="19"/>
          <w:color w:val="auto"/>
        </w:rPr>
        <w:t>. Prior to any relevant taxable or tax withholding event, as applicable, Participant agrees to make adequate arrangements satisfactory to the Company and/or the Service Recipient to satisfy all Tax Obligations. Subject to Section 8(c), the Tax Obligations which the Company determines must be withheld with respect to this Award (“</w:t>
      </w:r>
      <w:r>
        <w:rPr>
          <w:rFonts w:ascii="Arial" w:cs="Arial" w:eastAsia="Arial" w:hAnsi="Arial"/>
          <w:sz w:val="19"/>
          <w:szCs w:val="19"/>
          <w:u w:val="single" w:color="auto"/>
          <w:color w:val="auto"/>
        </w:rPr>
        <w:t>Tax Withholding Obligation</w:t>
      </w:r>
      <w:r>
        <w:rPr>
          <w:rFonts w:ascii="Arial" w:cs="Arial" w:eastAsia="Arial" w:hAnsi="Arial"/>
          <w:sz w:val="19"/>
          <w:szCs w:val="19"/>
          <w:color w:val="auto"/>
        </w:rPr>
        <w:t>”) will be satisfied with consideration received under a formal, broker-assisted cashless program adopted by the Company in connection with the Plan pursuant to this authorization (the “</w:t>
      </w:r>
      <w:r>
        <w:rPr>
          <w:rFonts w:ascii="Arial" w:cs="Arial" w:eastAsia="Arial" w:hAnsi="Arial"/>
          <w:sz w:val="19"/>
          <w:szCs w:val="19"/>
          <w:u w:val="single" w:color="auto"/>
          <w:color w:val="auto"/>
        </w:rPr>
        <w:t>Sell-to-Cover Method</w:t>
      </w:r>
      <w:r>
        <w:rPr>
          <w:rFonts w:ascii="Arial" w:cs="Arial" w:eastAsia="Arial" w:hAnsi="Arial"/>
          <w:sz w:val="19"/>
          <w:szCs w:val="19"/>
          <w:color w:val="auto"/>
        </w:rPr>
        <w:t xml:space="preserve">”). In addition to Shares sold to satisfy the Tax Withholding Obligation, additional Shares will be sold to satisfy any associated broker or other fees. Only whole Shares will be sold through the Sell-to-Cover Method to satisfy any Tax Withholding Obligation and any associated broker or other fees. Any proceeds from the sale of Shares in excess of the Tax Withholding Obligation and any associated broker or other fees generated through the Sell-to-Cover Method will be paid to Participant in accordance with procedures the Company may specify from time to time. </w:t>
      </w:r>
      <w:r>
        <w:rPr>
          <w:rFonts w:ascii="Arial" w:cs="Arial" w:eastAsia="Arial" w:hAnsi="Arial"/>
          <w:sz w:val="19"/>
          <w:szCs w:val="19"/>
          <w:b w:val="1"/>
          <w:bCs w:val="1"/>
          <w:color w:val="auto"/>
        </w:rPr>
        <w:t>By accepting this Award, Participant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w:t>
      </w:r>
      <w:r>
        <w:rPr>
          <w:rFonts w:ascii="Arial" w:cs="Arial" w:eastAsia="Arial" w:hAnsi="Arial"/>
          <w:sz w:val="21"/>
          <w:szCs w:val="21"/>
          <w:color w:val="auto"/>
        </w:rPr>
        <w:t>4</w:t>
      </w: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expressly consents to the sale of Shares to cover the Tax Withholding Obligation (and any associated broker or other fees) through the Sell-to-Cover Method.</w:t>
      </w:r>
    </w:p>
    <w:p>
      <w:pPr>
        <w:spacing w:after="0" w:line="168" w:lineRule="exact"/>
        <w:rPr>
          <w:sz w:val="20"/>
          <w:szCs w:val="20"/>
          <w:color w:val="auto"/>
        </w:rPr>
      </w:pPr>
    </w:p>
    <w:p>
      <w:pPr>
        <w:jc w:val="both"/>
        <w:ind w:firstLine="1304"/>
        <w:spacing w:after="0" w:line="286" w:lineRule="auto"/>
        <w:tabs>
          <w:tab w:leader="none" w:pos="1944"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Administrator Discretion</w:t>
      </w:r>
      <w:r>
        <w:rPr>
          <w:rFonts w:ascii="Arial" w:cs="Arial" w:eastAsia="Arial" w:hAnsi="Arial"/>
          <w:sz w:val="19"/>
          <w:szCs w:val="19"/>
          <w:color w:val="auto"/>
        </w:rPr>
        <w:t>. Notwithstanding the foregoing Sections 8(a) and 8(b), if the Administrator determines it is in the best interests of the Company for Participant to satisfy Participant’s Tax Withholding Obligation by a method other than through the default Sell-to-Cover Method described in Section 8(b), it may permit or require Participant to satisfy Participant’s Tax Withholding Obligation, in whole or in part (without limitation), if permissible by Applicable Laws, with</w:t>
      </w:r>
    </w:p>
    <w:p>
      <w:pPr>
        <w:spacing w:after="0" w:line="2" w:lineRule="exact"/>
        <w:rPr>
          <w:rFonts w:ascii="Arial" w:cs="Arial" w:eastAsia="Arial" w:hAnsi="Arial"/>
          <w:sz w:val="19"/>
          <w:szCs w:val="19"/>
          <w:color w:val="auto"/>
        </w:rPr>
      </w:pPr>
    </w:p>
    <w:p>
      <w:pPr>
        <w:jc w:val="both"/>
        <w:ind w:firstLine="8"/>
        <w:spacing w:after="0" w:line="302" w:lineRule="auto"/>
        <w:tabs>
          <w:tab w:leader="none" w:pos="324" w:val="left"/>
        </w:tabs>
        <w:numPr>
          <w:ilvl w:val="0"/>
          <w:numId w:val="42"/>
        </w:numPr>
        <w:rPr>
          <w:rFonts w:ascii="Arial" w:cs="Arial" w:eastAsia="Arial" w:hAnsi="Arial"/>
          <w:sz w:val="19"/>
          <w:szCs w:val="19"/>
          <w:color w:val="auto"/>
        </w:rPr>
      </w:pPr>
      <w:r>
        <w:rPr>
          <w:rFonts w:ascii="Arial" w:cs="Arial" w:eastAsia="Arial" w:hAnsi="Arial"/>
          <w:sz w:val="19"/>
          <w:szCs w:val="19"/>
          <w:color w:val="auto"/>
        </w:rPr>
        <w:t>cash in U.S. dollars, (ii) check designated in U.S. dollars, (iii) withholding from Participant's wages or other cash compensation paid to Participant by the Company and/or the Service Recipient, (iv) withholding in Shares otherwise issuable upon vesting of the Earned Performance Units or (v) any other method approved in the sole discretion of the Administrator.</w:t>
      </w:r>
    </w:p>
    <w:p>
      <w:pPr>
        <w:spacing w:after="0" w:line="14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Depending on the withholding method, the Company and/or the Service Recipient may withhold or account for the Tax Withholding Obligation by considering minimum statutory withholding rates or other withholding rates, including maximum applicable rates in Participant’s jurisdiction, in which case Participant may receive a refund of any over-withheld amount in cash and will have no entitlement to the equivalent in Shares. If the Tax Withholding Obligation is satisfied by withholding in Shares, for tax purposes, Participant will be deemed to have been issued the full number of Shares subject to the Earned Performance Units, notwithstanding that a number of Shares are held back solely for the purpose of satisfying the Tax Withholding Obligation.</w:t>
      </w:r>
    </w:p>
    <w:p>
      <w:pPr>
        <w:spacing w:after="0" w:line="196" w:lineRule="exact"/>
        <w:rPr>
          <w:sz w:val="20"/>
          <w:szCs w:val="20"/>
          <w:color w:val="auto"/>
        </w:rPr>
      </w:pPr>
    </w:p>
    <w:p>
      <w:pPr>
        <w:jc w:val="both"/>
        <w:ind w:firstLine="656"/>
        <w:spacing w:after="0" w:line="294" w:lineRule="auto"/>
        <w:tabs>
          <w:tab w:leader="none" w:pos="1288"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49" w:lineRule="exact"/>
        <w:rPr>
          <w:rFonts w:ascii="Arial" w:cs="Arial" w:eastAsia="Arial" w:hAnsi="Arial"/>
          <w:sz w:val="19"/>
          <w:szCs w:val="19"/>
          <w:color w:val="auto"/>
        </w:rPr>
      </w:pPr>
    </w:p>
    <w:p>
      <w:pPr>
        <w:ind w:firstLine="656"/>
        <w:spacing w:after="0" w:line="263" w:lineRule="auto"/>
        <w:tabs>
          <w:tab w:leader="none" w:pos="1288"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Grant Is Not Transferable</w:t>
      </w:r>
      <w:r>
        <w:rPr>
          <w:rFonts w:ascii="Arial" w:cs="Arial" w:eastAsia="Arial" w:hAnsi="Arial"/>
          <w:sz w:val="22"/>
          <w:szCs w:val="22"/>
          <w:color w:val="auto"/>
        </w:rPr>
        <w:t>. Except to the limited extent provided in Section 6, Section 14 of the Plan will govern the transferability of the Performance Units.</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Nature of Grant</w:t>
      </w:r>
      <w:r>
        <w:rPr>
          <w:rFonts w:ascii="Arial" w:cs="Arial" w:eastAsia="Arial" w:hAnsi="Arial"/>
          <w:sz w:val="22"/>
          <w:szCs w:val="22"/>
          <w:color w:val="auto"/>
        </w:rPr>
        <w:t>. In accepting the grant, Participant acknowledges, understands and agrees that:</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944"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grant of Performance Units is exceptional, voluntary and occasional and does not create any contractual right to receive future grants of Performance Units, or benefits in lieu of Performance Units, even if Performance Units have been granted in the past;</w:t>
      </w:r>
    </w:p>
    <w:p>
      <w:pPr>
        <w:spacing w:after="0" w:line="185" w:lineRule="exact"/>
        <w:rPr>
          <w:rFonts w:ascii="Arial" w:cs="Arial" w:eastAsia="Arial" w:hAnsi="Arial"/>
          <w:sz w:val="22"/>
          <w:szCs w:val="22"/>
          <w:color w:val="auto"/>
        </w:rPr>
      </w:pPr>
    </w:p>
    <w:p>
      <w:pPr>
        <w:ind w:left="1960" w:hanging="656"/>
        <w:spacing w:after="0"/>
        <w:tabs>
          <w:tab w:leader="none" w:pos="1960" w:val="left"/>
        </w:tabs>
        <w:numPr>
          <w:ilvl w:val="1"/>
          <w:numId w:val="43"/>
        </w:numPr>
        <w:rPr>
          <w:rFonts w:ascii="Arial" w:cs="Arial" w:eastAsia="Arial" w:hAnsi="Arial"/>
          <w:sz w:val="19"/>
          <w:szCs w:val="19"/>
          <w:color w:val="auto"/>
        </w:rPr>
      </w:pPr>
      <w:r>
        <w:rPr>
          <w:rFonts w:ascii="Arial" w:cs="Arial" w:eastAsia="Arial" w:hAnsi="Arial"/>
          <w:sz w:val="19"/>
          <w:szCs w:val="19"/>
          <w:color w:val="auto"/>
        </w:rPr>
        <w:t>all decisions with respect to future grants of Awards, if any, will be at the sole discretion of the Company;</w:t>
      </w:r>
    </w:p>
    <w:p>
      <w:pPr>
        <w:spacing w:after="0" w:line="254" w:lineRule="exact"/>
        <w:rPr>
          <w:rFonts w:ascii="Arial" w:cs="Arial" w:eastAsia="Arial" w:hAnsi="Arial"/>
          <w:sz w:val="19"/>
          <w:szCs w:val="19"/>
          <w:color w:val="auto"/>
        </w:rPr>
      </w:pPr>
    </w:p>
    <w:p>
      <w:pPr>
        <w:ind w:left="1960" w:hanging="656"/>
        <w:spacing w:after="0"/>
        <w:tabs>
          <w:tab w:leader="none" w:pos="19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w:t>
      </w:r>
      <w:r>
        <w:rPr>
          <w:rFonts w:ascii="Arial" w:cs="Arial" w:eastAsia="Arial" w:hAnsi="Arial"/>
          <w:sz w:val="21"/>
          <w:szCs w:val="21"/>
          <w:color w:val="auto"/>
        </w:rPr>
        <w:t>5</w:t>
      </w: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firstLine="1304"/>
        <w:spacing w:after="0" w:line="263" w:lineRule="auto"/>
        <w:tabs>
          <w:tab w:leader="none" w:pos="1944"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future value of the Shares underlying the Performance Units is unknown, indeterminable and cannot be predicted with certainty;</w:t>
      </w:r>
    </w:p>
    <w:p>
      <w:pPr>
        <w:spacing w:after="0" w:line="174" w:lineRule="exact"/>
        <w:rPr>
          <w:rFonts w:ascii="Arial" w:cs="Arial" w:eastAsia="Arial" w:hAnsi="Arial"/>
          <w:sz w:val="22"/>
          <w:szCs w:val="22"/>
          <w:color w:val="auto"/>
        </w:rPr>
      </w:pPr>
    </w:p>
    <w:p>
      <w:pPr>
        <w:jc w:val="both"/>
        <w:ind w:firstLine="1304"/>
        <w:spacing w:after="0" w:line="287" w:lineRule="auto"/>
        <w:tabs>
          <w:tab w:leader="none" w:pos="1944" w:val="left"/>
        </w:tabs>
        <w:numPr>
          <w:ilvl w:val="0"/>
          <w:numId w:val="44"/>
        </w:numPr>
        <w:rPr>
          <w:rFonts w:ascii="Arial" w:cs="Arial" w:eastAsia="Arial" w:hAnsi="Arial"/>
          <w:sz w:val="19"/>
          <w:szCs w:val="19"/>
          <w:color w:val="auto"/>
        </w:rPr>
      </w:pPr>
      <w:r>
        <w:rPr>
          <w:rFonts w:ascii="Arial" w:cs="Arial" w:eastAsia="Arial" w:hAnsi="Arial"/>
          <w:sz w:val="19"/>
          <w:szCs w:val="19"/>
          <w:color w:val="auto"/>
        </w:rPr>
        <w:t>for purposes of the Performance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Performance Units under the Plan, if any, will terminate as of such date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Performance Units grant (including whether Participant may still be considered to be providing services while on a leave of absence and consistent with local law);</w:t>
      </w:r>
    </w:p>
    <w:p>
      <w:pPr>
        <w:spacing w:after="0" w:line="158" w:lineRule="exact"/>
        <w:rPr>
          <w:rFonts w:ascii="Arial" w:cs="Arial" w:eastAsia="Arial" w:hAnsi="Arial"/>
          <w:sz w:val="19"/>
          <w:szCs w:val="19"/>
          <w:color w:val="auto"/>
        </w:rPr>
      </w:pPr>
    </w:p>
    <w:p>
      <w:pPr>
        <w:jc w:val="both"/>
        <w:ind w:firstLine="1304"/>
        <w:spacing w:after="0" w:line="253" w:lineRule="auto"/>
        <w:tabs>
          <w:tab w:leader="none" w:pos="1936" w:val="left"/>
        </w:tabs>
        <w:numPr>
          <w:ilvl w:val="0"/>
          <w:numId w:val="44"/>
        </w:numPr>
        <w:rPr>
          <w:rFonts w:ascii="Arial" w:cs="Arial" w:eastAsia="Arial" w:hAnsi="Arial"/>
          <w:sz w:val="22"/>
          <w:szCs w:val="22"/>
          <w:color w:val="auto"/>
        </w:rPr>
      </w:pPr>
      <w:r>
        <w:rPr>
          <w:rFonts w:ascii="Arial" w:cs="Arial" w:eastAsia="Arial" w:hAnsi="Arial"/>
          <w:sz w:val="22"/>
          <w:szCs w:val="22"/>
          <w:color w:val="auto"/>
        </w:rPr>
        <w:t>unless otherwise agreed with the Company, the Performance Units and Shares subject to the Performance Units, and the income from and value of same, are not granted as consideration for, or in connection with, the service Participant may provide as a director of a Subsidiary; and</w:t>
      </w:r>
    </w:p>
    <w:p>
      <w:pPr>
        <w:spacing w:after="0" w:line="185" w:lineRule="exact"/>
        <w:rPr>
          <w:rFonts w:ascii="Arial" w:cs="Arial" w:eastAsia="Arial" w:hAnsi="Arial"/>
          <w:sz w:val="22"/>
          <w:szCs w:val="22"/>
          <w:color w:val="auto"/>
        </w:rPr>
      </w:pPr>
    </w:p>
    <w:p>
      <w:pPr>
        <w:ind w:left="1960" w:hanging="656"/>
        <w:spacing w:after="0"/>
        <w:tabs>
          <w:tab w:leader="none" w:pos="1960" w:val="left"/>
        </w:tabs>
        <w:numPr>
          <w:ilvl w:val="0"/>
          <w:numId w:val="44"/>
        </w:numPr>
        <w:rPr>
          <w:rFonts w:ascii="Arial" w:cs="Arial" w:eastAsia="Arial" w:hAnsi="Arial"/>
          <w:sz w:val="21"/>
          <w:szCs w:val="21"/>
          <w:color w:val="auto"/>
        </w:rPr>
      </w:pPr>
      <w:r>
        <w:rPr>
          <w:rFonts w:ascii="Arial" w:cs="Arial" w:eastAsia="Arial" w:hAnsi="Arial"/>
          <w:sz w:val="21"/>
          <w:szCs w:val="21"/>
          <w:color w:val="auto"/>
        </w:rPr>
        <w:t>for Participants who reside outside the United States, the following additional provisions shall apply:</w:t>
      </w:r>
    </w:p>
    <w:p>
      <w:pPr>
        <w:spacing w:after="0" w:line="231" w:lineRule="exact"/>
        <w:rPr>
          <w:sz w:val="20"/>
          <w:szCs w:val="20"/>
          <w:color w:val="auto"/>
        </w:rPr>
      </w:pPr>
    </w:p>
    <w:p>
      <w:pPr>
        <w:jc w:val="both"/>
        <w:ind w:firstLine="1830"/>
        <w:spacing w:after="0" w:line="263" w:lineRule="auto"/>
        <w:rPr>
          <w:sz w:val="20"/>
          <w:szCs w:val="20"/>
          <w:color w:val="auto"/>
        </w:rPr>
      </w:pPr>
      <w:r>
        <w:rPr>
          <w:rFonts w:ascii="Arial" w:cs="Arial" w:eastAsia="Arial" w:hAnsi="Arial"/>
          <w:sz w:val="22"/>
          <w:szCs w:val="22"/>
          <w:color w:val="auto"/>
        </w:rPr>
        <w:t>i.the Performance Units and any Shares acquired under the Plan are not intended to replace any pension rights or compensation;</w:t>
      </w:r>
    </w:p>
    <w:p>
      <w:pPr>
        <w:spacing w:after="0" w:line="175" w:lineRule="exact"/>
        <w:rPr>
          <w:sz w:val="20"/>
          <w:szCs w:val="20"/>
          <w:color w:val="auto"/>
        </w:rPr>
      </w:pPr>
    </w:p>
    <w:p>
      <w:pPr>
        <w:jc w:val="both"/>
        <w:ind w:firstLine="1770"/>
        <w:spacing w:after="0" w:line="250" w:lineRule="auto"/>
        <w:rPr>
          <w:sz w:val="20"/>
          <w:szCs w:val="20"/>
          <w:color w:val="auto"/>
        </w:rPr>
      </w:pPr>
      <w:r>
        <w:rPr>
          <w:rFonts w:ascii="Arial" w:cs="Arial" w:eastAsia="Arial" w:hAnsi="Arial"/>
          <w:sz w:val="22"/>
          <w:szCs w:val="22"/>
          <w:color w:val="auto"/>
        </w:rPr>
        <w:t>ii.the Performance Units and any Shares acquired under the Plan, and the income from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88" w:lineRule="exact"/>
        <w:rPr>
          <w:sz w:val="20"/>
          <w:szCs w:val="20"/>
          <w:color w:val="auto"/>
        </w:rPr>
      </w:pPr>
    </w:p>
    <w:p>
      <w:pPr>
        <w:jc w:val="both"/>
        <w:ind w:firstLine="1710"/>
        <w:spacing w:after="0" w:line="250" w:lineRule="auto"/>
        <w:rPr>
          <w:sz w:val="20"/>
          <w:szCs w:val="20"/>
          <w:color w:val="auto"/>
        </w:rPr>
      </w:pPr>
      <w:r>
        <w:rPr>
          <w:rFonts w:ascii="Arial" w:cs="Arial" w:eastAsia="Arial" w:hAnsi="Arial"/>
          <w:sz w:val="22"/>
          <w:szCs w:val="22"/>
          <w:color w:val="auto"/>
        </w:rPr>
        <w:t>iii.no claim or entitlement to compensation or damages shall arise from the forfeiture of the Performance Units resulting from the termination of Participant’s status as a Service Provider (for any reason whatsoever, whether or not later found to be invalid or in breach of employment laws in the jurisdiction where Participant is employed or the terms of his or her employment or service agreement, if any); and</w:t>
      </w:r>
    </w:p>
    <w:p>
      <w:pPr>
        <w:spacing w:after="0" w:line="188" w:lineRule="exact"/>
        <w:rPr>
          <w:sz w:val="20"/>
          <w:szCs w:val="20"/>
          <w:color w:val="auto"/>
        </w:rPr>
      </w:pPr>
    </w:p>
    <w:p>
      <w:pPr>
        <w:jc w:val="both"/>
        <w:ind w:firstLine="1722"/>
        <w:spacing w:after="0" w:line="263" w:lineRule="auto"/>
        <w:rPr>
          <w:sz w:val="20"/>
          <w:szCs w:val="20"/>
          <w:color w:val="auto"/>
        </w:rPr>
      </w:pPr>
      <w:r>
        <w:rPr>
          <w:rFonts w:ascii="Arial" w:cs="Arial" w:eastAsia="Arial" w:hAnsi="Arial"/>
          <w:sz w:val="22"/>
          <w:szCs w:val="22"/>
          <w:color w:val="auto"/>
        </w:rPr>
        <w:t>iv.neither the Company, the Employer nor any Subsidiary shall be liable for any foreign exchange rate fluctuation between Participant’s local currency and the United States Dollar</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w:t>
      </w:r>
      <w:r>
        <w:rPr>
          <w:rFonts w:ascii="Arial" w:cs="Arial" w:eastAsia="Arial" w:hAnsi="Arial"/>
          <w:sz w:val="21"/>
          <w:szCs w:val="21"/>
          <w:color w:val="auto"/>
        </w:rPr>
        <w:t>6</w:t>
      </w: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that may affect the value of the Performance Units or of any amounts due to Participant pursuant to the settlement of Performance Units or subsequent sale of Shares acquired upon settlement.</w:t>
      </w:r>
    </w:p>
    <w:p>
      <w:pPr>
        <w:spacing w:after="0" w:line="175"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Tax Consequences and Acknowledgements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97" w:lineRule="auto"/>
        <w:tabs>
          <w:tab w:leader="none" w:pos="1944" w:val="left"/>
        </w:tabs>
        <w:numPr>
          <w:ilvl w:val="1"/>
          <w:numId w:val="45"/>
        </w:numPr>
        <w:rPr>
          <w:rFonts w:ascii="Arial" w:cs="Arial" w:eastAsia="Arial" w:hAnsi="Arial"/>
          <w:sz w:val="19"/>
          <w:szCs w:val="19"/>
          <w:color w:val="auto"/>
        </w:rPr>
      </w:pPr>
      <w:r>
        <w:rPr>
          <w:rFonts w:ascii="Arial" w:cs="Arial" w:eastAsia="Arial" w:hAnsi="Arial"/>
          <w:sz w:val="19"/>
          <w:szCs w:val="19"/>
          <w:color w:val="auto"/>
        </w:rPr>
        <w:t>Participant has reviewed with his or her own tax advisors the U.S. federal, state, local and non-U.S.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46" w:lineRule="exact"/>
        <w:rPr>
          <w:rFonts w:ascii="Arial" w:cs="Arial" w:eastAsia="Arial" w:hAnsi="Arial"/>
          <w:sz w:val="19"/>
          <w:szCs w:val="19"/>
          <w:color w:val="auto"/>
        </w:rPr>
      </w:pPr>
    </w:p>
    <w:p>
      <w:pPr>
        <w:jc w:val="both"/>
        <w:ind w:firstLine="1304"/>
        <w:spacing w:after="0" w:line="261" w:lineRule="auto"/>
        <w:tabs>
          <w:tab w:leader="none" w:pos="1944" w:val="left"/>
        </w:tabs>
        <w:numPr>
          <w:ilvl w:val="1"/>
          <w:numId w:val="45"/>
        </w:numPr>
        <w:rPr>
          <w:rFonts w:ascii="Arial" w:cs="Arial" w:eastAsia="Arial" w:hAnsi="Arial"/>
          <w:sz w:val="21"/>
          <w:szCs w:val="21"/>
          <w:color w:val="auto"/>
        </w:rPr>
      </w:pPr>
      <w:r>
        <w:rPr>
          <w:rFonts w:ascii="Arial" w:cs="Arial" w:eastAsia="Arial" w:hAnsi="Arial"/>
          <w:sz w:val="21"/>
          <w:szCs w:val="21"/>
          <w:color w:val="auto"/>
        </w:rPr>
        <w:t>Participant acknowledges that the Company and/or the Service Recipient (i) make no representations or undertakings regarding the treatment of any Tax Obligations in connection with any aspect of the Performance Units, including, but not limited to, the grant, vesting or settlement of the Performance Units, the subsequent sale of Shares acquired pursuant to such settlement and the receipt of any dividends or other distributions, and (ii) do not commit to and are under no obligation to structure the terms of the grant or any aspect of the Performance Units to reduce or eliminate Participant’s liability for Tax Obligations or achieve any particular tax result.</w:t>
      </w:r>
    </w:p>
    <w:p>
      <w:pPr>
        <w:spacing w:after="0" w:line="179" w:lineRule="exact"/>
        <w:rPr>
          <w:rFonts w:ascii="Arial" w:cs="Arial" w:eastAsia="Arial" w:hAnsi="Arial"/>
          <w:sz w:val="21"/>
          <w:szCs w:val="21"/>
          <w:color w:val="auto"/>
        </w:rPr>
      </w:pPr>
    </w:p>
    <w:p>
      <w:pPr>
        <w:ind w:left="1300" w:hanging="644"/>
        <w:spacing w:after="0"/>
        <w:tabs>
          <w:tab w:leader="none" w:pos="1300" w:val="left"/>
        </w:tabs>
        <w:numPr>
          <w:ilvl w:val="0"/>
          <w:numId w:val="45"/>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Data Protection</w:t>
      </w:r>
      <w:r>
        <w:rPr>
          <w:rFonts w:ascii="Arial" w:cs="Arial" w:eastAsia="Arial" w:hAnsi="Arial"/>
          <w:sz w:val="22"/>
          <w:szCs w:val="22"/>
          <w:b w:val="1"/>
          <w:bCs w:val="1"/>
          <w:i w:val="1"/>
          <w:iCs w:val="1"/>
          <w:color w:val="auto"/>
        </w:rPr>
        <w:t>.</w:t>
      </w:r>
    </w:p>
    <w:p>
      <w:pPr>
        <w:spacing w:after="0" w:line="219" w:lineRule="exact"/>
        <w:rPr>
          <w:rFonts w:ascii="Arial" w:cs="Arial" w:eastAsia="Arial" w:hAnsi="Arial"/>
          <w:sz w:val="22"/>
          <w:szCs w:val="22"/>
          <w:color w:val="auto"/>
        </w:rPr>
      </w:pPr>
    </w:p>
    <w:p>
      <w:pPr>
        <w:jc w:val="both"/>
        <w:ind w:firstLine="1304"/>
        <w:spacing w:after="0" w:line="289" w:lineRule="auto"/>
        <w:tabs>
          <w:tab w:leader="none" w:pos="1944" w:val="left"/>
        </w:tabs>
        <w:numPr>
          <w:ilvl w:val="1"/>
          <w:numId w:val="46"/>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u w:val="single" w:color="auto"/>
          <w:color w:val="auto"/>
        </w:rPr>
        <w:t>Data Processing</w:t>
      </w:r>
      <w:r>
        <w:rPr>
          <w:rFonts w:ascii="Arial" w:cs="Arial" w:eastAsia="Arial" w:hAnsi="Arial"/>
          <w:sz w:val="19"/>
          <w:szCs w:val="19"/>
          <w:b w:val="1"/>
          <w:bCs w:val="1"/>
          <w:i w:val="1"/>
          <w:iCs w:val="1"/>
          <w:color w:val="auto"/>
        </w:rPr>
        <w:t>. By participating in the Plan, Participant understands and acknowledges that it is necessary for the Company, Parent and any of their Subsidiaries or affiliates to collect, use, disclose, hold, transfer and otherwise process certain personal information about Participant as described in Section 28 of the Plan. This personal data (hereinafter “</w:t>
      </w:r>
      <w:r>
        <w:rPr>
          <w:rFonts w:ascii="Arial" w:cs="Arial" w:eastAsia="Arial" w:hAnsi="Arial"/>
          <w:sz w:val="19"/>
          <w:szCs w:val="19"/>
          <w:b w:val="1"/>
          <w:bCs w:val="1"/>
          <w:i w:val="1"/>
          <w:iCs w:val="1"/>
          <w:u w:val="single" w:color="auto"/>
          <w:color w:val="auto"/>
        </w:rPr>
        <w:t>Data</w:t>
      </w:r>
      <w:r>
        <w:rPr>
          <w:rFonts w:ascii="Arial" w:cs="Arial" w:eastAsia="Arial" w:hAnsi="Arial"/>
          <w:sz w:val="19"/>
          <w:szCs w:val="19"/>
          <w:b w:val="1"/>
          <w:bCs w:val="1"/>
          <w:i w:val="1"/>
          <w:iCs w:val="1"/>
          <w:color w:val="auto"/>
        </w:rPr>
        <w:t>”) includes but is not limited to, Participant’s name, home address, email address and telephone number, date of birth, social insurance number, passport or other identification number, salary, nationality, job title, any Shares or directorships held in the Company, details of all Performance Units or any other entitlement to Shares awarded, canceled, vested, unvested or outstanding in Participant’s favor, which the Company receives from Participant or the Employer. This may include the international transfer of Participant’s Data to a jurisdiction that might have enacted data privacy laws that are less protective or otherwise different from those applicable in the Participant's country of residence.</w:t>
      </w:r>
    </w:p>
    <w:p>
      <w:pPr>
        <w:spacing w:after="0" w:line="156" w:lineRule="exact"/>
        <w:rPr>
          <w:rFonts w:ascii="Arial" w:cs="Arial" w:eastAsia="Arial" w:hAnsi="Arial"/>
          <w:sz w:val="19"/>
          <w:szCs w:val="19"/>
          <w:b w:val="1"/>
          <w:bCs w:val="1"/>
          <w:i w:val="1"/>
          <w:iCs w:val="1"/>
          <w:color w:val="auto"/>
        </w:rPr>
      </w:pPr>
    </w:p>
    <w:p>
      <w:pPr>
        <w:jc w:val="both"/>
        <w:ind w:firstLine="1304"/>
        <w:spacing w:after="0" w:line="250" w:lineRule="auto"/>
        <w:tabs>
          <w:tab w:leader="none" w:pos="1944" w:val="left"/>
        </w:tabs>
        <w:numPr>
          <w:ilvl w:val="1"/>
          <w:numId w:val="4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Necessary Disclosure of Data</w:t>
      </w:r>
      <w:r>
        <w:rPr>
          <w:rFonts w:ascii="Arial" w:cs="Arial" w:eastAsia="Arial" w:hAnsi="Arial"/>
          <w:sz w:val="22"/>
          <w:szCs w:val="22"/>
          <w:b w:val="1"/>
          <w:bCs w:val="1"/>
          <w:i w:val="1"/>
          <w:iCs w:val="1"/>
          <w:color w:val="auto"/>
        </w:rPr>
        <w:t>. Participant understands that providing the Company with Data is necessary for performance of the Award Agreement and that Participant’s refusal to provide the Data would make it impossible for the Company to perform its contractual obligations and legitimate interests and may affect Participant’s ability to participate in the Plan.</w:t>
      </w:r>
    </w:p>
    <w:p>
      <w:pPr>
        <w:spacing w:after="0" w:line="187" w:lineRule="exact"/>
        <w:rPr>
          <w:rFonts w:ascii="Arial" w:cs="Arial" w:eastAsia="Arial" w:hAnsi="Arial"/>
          <w:sz w:val="22"/>
          <w:szCs w:val="22"/>
          <w:b w:val="1"/>
          <w:bCs w:val="1"/>
          <w:i w:val="1"/>
          <w:iCs w:val="1"/>
          <w:color w:val="auto"/>
        </w:rPr>
      </w:pPr>
    </w:p>
    <w:p>
      <w:pPr>
        <w:jc w:val="both"/>
        <w:ind w:firstLine="1304"/>
        <w:spacing w:after="0" w:line="323" w:lineRule="auto"/>
        <w:tabs>
          <w:tab w:leader="none" w:pos="1944" w:val="left"/>
        </w:tabs>
        <w:numPr>
          <w:ilvl w:val="1"/>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Data Processing and Transfer Consent</w:t>
      </w:r>
      <w:r>
        <w:rPr>
          <w:rFonts w:ascii="Arial" w:cs="Arial" w:eastAsia="Arial" w:hAnsi="Arial"/>
          <w:sz w:val="18"/>
          <w:szCs w:val="18"/>
          <w:b w:val="1"/>
          <w:bCs w:val="1"/>
          <w:i w:val="1"/>
          <w:iCs w:val="1"/>
          <w:color w:val="auto"/>
        </w:rPr>
        <w:t>. Notwithstanding the foregoing, if Participant is located in a jurisdiction for which the lawful bases for processing and transferring personal data described in the Plan are not recognized, then, to the extent applicable, Participant hereby unambiguously consents to the collection, use and transfer, in electronic or other form, of his or her Data, as described above and in any other grant materials, by and among, as applicable,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w:t>
      </w:r>
      <w:r>
        <w:rPr>
          <w:rFonts w:ascii="Arial" w:cs="Arial" w:eastAsia="Arial" w:hAnsi="Arial"/>
          <w:sz w:val="21"/>
          <w:szCs w:val="21"/>
          <w:color w:val="auto"/>
        </w:rPr>
        <w:t>7</w:t>
      </w: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i w:val="1"/>
          <w:iCs w:val="1"/>
          <w:color w:val="auto"/>
        </w:rPr>
        <w:t>the Employer, the Company and any affiliate for the exclusive purpose of implementing, administering and managing Participant’s participation in the Plan. Participant understands that he or she may, at any time, refuse or withdraw the consents herein, in any case without cost, by contacting in writing his or her human resources representative. If Participant does not consent or later seeks to revoke his or her consent, Participant’s employment status or service with the Employer will not be affected; the only consequence of refusing or withdrawing consent is that the Company would not be able to grant Performance Units or other Awards to Participant under the Plan or administer or maintain such Awards. Therefore, Participant understands that refusing or withdrawing consent may affect his or her ability to participate in the Plan. For more information on the consequences of refusal to consent or withdrawal of consent, Participant should contact his or her local human resources representative.</w:t>
      </w:r>
    </w:p>
    <w:p>
      <w:pPr>
        <w:spacing w:after="0" w:line="157" w:lineRule="exact"/>
        <w:rPr>
          <w:sz w:val="20"/>
          <w:szCs w:val="20"/>
          <w:color w:val="auto"/>
        </w:rPr>
      </w:pPr>
    </w:p>
    <w:p>
      <w:pPr>
        <w:jc w:val="both"/>
        <w:ind w:firstLine="656"/>
        <w:spacing w:after="0" w:line="250" w:lineRule="auto"/>
        <w:tabs>
          <w:tab w:leader="none" w:pos="1296"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The Company is not providing any tax, legal or financial advice, nor is the Company making any recommendations regarding Participant’s participation in the Plan, or Participant’s acquisition or sale of the underlying Shares. Participant should consult with his or her own personal tax, legal and financial advisors regarding his or her participation in the Plan before taking any action related to the Plan.</w:t>
      </w:r>
    </w:p>
    <w:p>
      <w:pPr>
        <w:spacing w:after="0" w:line="187"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Address for Notices</w:t>
      </w:r>
      <w:r>
        <w:rPr>
          <w:rFonts w:ascii="Arial" w:cs="Arial" w:eastAsia="Arial" w:hAnsi="Arial"/>
          <w:sz w:val="22"/>
          <w:szCs w:val="22"/>
          <w:color w:val="auto"/>
        </w:rPr>
        <w:t>. Any notice to be given to the Company under the terms of this Award Agreement will be addressed to the Company at CrowdStrike Holdings, Inc., 150 Mathilda Place, Suite 300, Sunnyvale, CA 94086 United States or at such other address as the Company may hereafter designate in writing.</w:t>
      </w:r>
    </w:p>
    <w:p>
      <w:pPr>
        <w:spacing w:after="0" w:line="185" w:lineRule="exact"/>
        <w:rPr>
          <w:rFonts w:ascii="Arial" w:cs="Arial" w:eastAsia="Arial" w:hAnsi="Arial"/>
          <w:sz w:val="22"/>
          <w:szCs w:val="22"/>
          <w:color w:val="auto"/>
        </w:rPr>
      </w:pPr>
    </w:p>
    <w:p>
      <w:pPr>
        <w:jc w:val="both"/>
        <w:ind w:firstLine="656"/>
        <w:spacing w:after="0" w:line="248" w:lineRule="auto"/>
        <w:tabs>
          <w:tab w:leader="none" w:pos="1296"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Participant acknowledges that he or she is sufficiently proficient in English, or has consulted with an advisor who is sufficiently proficient in English, so as to allow Participant to understand the terms and conditions of the Award Agreement. If Participant has received the Award Agreement or any other document related to the Plan translated into a language other than English, and if the meaning of the translated version is different than the English version, the English version will control.</w:t>
      </w:r>
    </w:p>
    <w:p>
      <w:pPr>
        <w:spacing w:after="0" w:line="191" w:lineRule="exact"/>
        <w:rPr>
          <w:rFonts w:ascii="Arial" w:cs="Arial" w:eastAsia="Arial" w:hAnsi="Arial"/>
          <w:sz w:val="22"/>
          <w:szCs w:val="22"/>
          <w:color w:val="auto"/>
        </w:rPr>
      </w:pPr>
    </w:p>
    <w:p>
      <w:pPr>
        <w:jc w:val="both"/>
        <w:ind w:firstLine="656"/>
        <w:spacing w:after="0" w:line="297" w:lineRule="auto"/>
        <w:tabs>
          <w:tab w:leader="none" w:pos="1296"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Company may assign any of its rights under this Award Agreement to single or multiple assignees, and this Award Agreement shall be binding upon and inure to the benefit of any assignee or successor of the Company. Subject to the restrictions on transfer set forth herein and in the Plan,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146" w:lineRule="exact"/>
        <w:rPr>
          <w:rFonts w:ascii="Arial" w:cs="Arial" w:eastAsia="Arial" w:hAnsi="Arial"/>
          <w:sz w:val="19"/>
          <w:szCs w:val="19"/>
          <w:color w:val="auto"/>
        </w:rPr>
      </w:pPr>
    </w:p>
    <w:p>
      <w:pPr>
        <w:jc w:val="both"/>
        <w:ind w:firstLine="656"/>
        <w:spacing w:after="0" w:line="247" w:lineRule="auto"/>
        <w:tabs>
          <w:tab w:leader="none" w:pos="1275"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Performance Units have vested). The Administrator’s decisions, determinations and interpretations will be final and binding on Participant and any other holders of the Performance Units or other interested persons. Neither the Administrator nor any person acting on behalf of the Administrator will be personally liable for any</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w:t>
      </w:r>
      <w:r>
        <w:rPr>
          <w:rFonts w:ascii="Arial" w:cs="Arial" w:eastAsia="Arial" w:hAnsi="Arial"/>
          <w:sz w:val="21"/>
          <w:szCs w:val="21"/>
          <w:color w:val="auto"/>
        </w:rPr>
        <w:t>8</w:t>
      </w: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action, determination, or interpretation made in good faith with respect to the Plan or this Award Agreement.</w:t>
      </w:r>
    </w:p>
    <w:p>
      <w:pPr>
        <w:spacing w:after="0" w:line="220" w:lineRule="exact"/>
        <w:rPr>
          <w:sz w:val="20"/>
          <w:szCs w:val="20"/>
          <w:color w:val="auto"/>
        </w:rPr>
      </w:pPr>
    </w:p>
    <w:p>
      <w:pPr>
        <w:ind w:firstLine="656"/>
        <w:spacing w:after="0" w:line="263" w:lineRule="auto"/>
        <w:tabs>
          <w:tab w:leader="none" w:pos="1285"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Captions provided herein are for convenience only and are not to serve as a basis for interpretation or construction of this Award Agreement.</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88"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Agreement Severable</w:t>
      </w:r>
      <w:r>
        <w:rPr>
          <w:rFonts w:ascii="Arial" w:cs="Arial" w:eastAsia="Arial" w:hAnsi="Arial"/>
          <w:sz w:val="22"/>
          <w:szCs w:val="22"/>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296"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Participant’s participation in the Plan, on the Performance Units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87" w:lineRule="exact"/>
        <w:rPr>
          <w:rFonts w:ascii="Arial" w:cs="Arial" w:eastAsia="Arial" w:hAnsi="Arial"/>
          <w:sz w:val="22"/>
          <w:szCs w:val="22"/>
          <w:color w:val="auto"/>
        </w:rPr>
      </w:pPr>
    </w:p>
    <w:p>
      <w:pPr>
        <w:jc w:val="both"/>
        <w:ind w:firstLine="656"/>
        <w:spacing w:after="0" w:line="290" w:lineRule="auto"/>
        <w:tabs>
          <w:tab w:leader="none" w:pos="128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Insider Trading Restrictions/Market Abuse Laws</w:t>
      </w:r>
      <w:r>
        <w:rPr>
          <w:rFonts w:ascii="Arial" w:cs="Arial" w:eastAsia="Arial" w:hAnsi="Arial"/>
          <w:sz w:val="19"/>
          <w:szCs w:val="19"/>
          <w:color w:val="auto"/>
        </w:rPr>
        <w:t>. Participant may be subject to insider trading restrictions and/or market abuse laws in applicable jurisdictions including, but not limited to the United States and Participant’s country, the broker's country or the country in which the Shares are listed (if different), which may affect his or her ability to accept, acquire, sell or otherwise dispose of Shares or rights to Shares or rights linked to the value of Shares during such times as Participant is considered to have “inside information” regarding the Company (as defined by the laws or regulations in applicable jurisdictions).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Participant should consult his or her personal legal advisor on this matter.</w:t>
      </w:r>
    </w:p>
    <w:p>
      <w:pPr>
        <w:spacing w:after="0" w:line="155" w:lineRule="exact"/>
        <w:rPr>
          <w:rFonts w:ascii="Arial" w:cs="Arial" w:eastAsia="Arial" w:hAnsi="Arial"/>
          <w:sz w:val="19"/>
          <w:szCs w:val="19"/>
          <w:color w:val="auto"/>
        </w:rPr>
      </w:pPr>
    </w:p>
    <w:p>
      <w:pPr>
        <w:jc w:val="both"/>
        <w:ind w:firstLine="656"/>
        <w:spacing w:after="0" w:line="289" w:lineRule="auto"/>
        <w:tabs>
          <w:tab w:leader="none" w:pos="1276"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Foreign Asset/Account, Exchange Control and Tax Requirements</w:t>
      </w:r>
      <w:r>
        <w:rPr>
          <w:rFonts w:ascii="Arial" w:cs="Arial" w:eastAsia="Arial" w:hAnsi="Arial"/>
          <w:sz w:val="19"/>
          <w:szCs w:val="19"/>
          <w:color w:val="auto"/>
        </w:rPr>
        <w:t>. Participant acknowledges that, depending on his or her country, there may be certain foreign asset and/or account reporting requirements or exchange control restrictions which may affect Participant’s ability to acquire or hold Shares or cash received from participating in the Plan (including proceeds from the sale of Shares and dividends paid on Shares) in, to and/or from a brokerage or bank account or legal entity outside Participant’s country. Participant may be required to report such accounts, assets or related transactions to the tax or other authorities in his or her country. Participant also may be required to repatriate sale proceeds or other funds received as a result of participating in the Plan to Participant’s country through a designated bank or broker and/or within a certain time after receipt. Participant acknowledges that he or she is responsible for ensuring compliance with any applicable foreign asset/account, exchange control and tax reporting requirements and should consult his or her personal legal and tax advisors on this matter.</w:t>
      </w:r>
    </w:p>
    <w:p>
      <w:pPr>
        <w:spacing w:after="0" w:line="156" w:lineRule="exact"/>
        <w:rPr>
          <w:rFonts w:ascii="Arial" w:cs="Arial" w:eastAsia="Arial" w:hAnsi="Arial"/>
          <w:sz w:val="19"/>
          <w:szCs w:val="19"/>
          <w:color w:val="auto"/>
        </w:rPr>
      </w:pPr>
    </w:p>
    <w:p>
      <w:pPr>
        <w:jc w:val="both"/>
        <w:ind w:firstLine="656"/>
        <w:spacing w:after="0" w:line="253" w:lineRule="auto"/>
        <w:tabs>
          <w:tab w:leader="none" w:pos="1296"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Amendment, Suspension or Termination of the Plan</w:t>
      </w:r>
      <w:r>
        <w:rPr>
          <w:rFonts w:ascii="Arial" w:cs="Arial" w:eastAsia="Arial" w:hAnsi="Arial"/>
          <w:sz w:val="22"/>
          <w:szCs w:val="22"/>
          <w:color w:val="auto"/>
        </w:rPr>
        <w:t>. By accepting this Award, Participant expressly warrants that he or she has received an Award of Performance Units under the Plan, and has received, read, and understood a description of the Plan. Participant understands that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w:t>
      </w:r>
      <w:r>
        <w:rPr>
          <w:rFonts w:ascii="Arial" w:cs="Arial" w:eastAsia="Arial" w:hAnsi="Arial"/>
          <w:sz w:val="21"/>
          <w:szCs w:val="21"/>
          <w:color w:val="auto"/>
        </w:rPr>
        <w:t>9</w:t>
      </w: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the Plan is discretionary in nature and may be amended, suspended or terminated by the Company at any time.</w:t>
      </w:r>
    </w:p>
    <w:p>
      <w:pPr>
        <w:spacing w:after="0" w:line="220" w:lineRule="exact"/>
        <w:rPr>
          <w:sz w:val="20"/>
          <w:szCs w:val="20"/>
          <w:color w:val="auto"/>
        </w:rPr>
      </w:pPr>
    </w:p>
    <w:p>
      <w:pPr>
        <w:jc w:val="both"/>
        <w:ind w:firstLine="656"/>
        <w:spacing w:after="0" w:line="292" w:lineRule="auto"/>
        <w:tabs>
          <w:tab w:leader="none" w:pos="1282"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Modifications to the Award Agreement</w:t>
      </w:r>
      <w:r>
        <w:rPr>
          <w:rFonts w:ascii="Arial" w:cs="Arial" w:eastAsia="Arial" w:hAnsi="Arial"/>
          <w:sz w:val="19"/>
          <w:szCs w:val="19"/>
          <w:color w:val="auto"/>
        </w:rPr>
        <w:t>. Participant expressly warrants that he or she is not accepting this Award Agreement in reliance on any promises, representations, or inducements other than those contained herein. Subject to Sections 15 and 21 of the Plan,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of the Code or to otherwise avoid imposition of any additional tax or income recognition under Section 409A of the Code in connection with this Award of Performance Units.</w:t>
      </w:r>
    </w:p>
    <w:p>
      <w:pPr>
        <w:spacing w:after="0" w:line="150" w:lineRule="exact"/>
        <w:rPr>
          <w:rFonts w:ascii="Arial" w:cs="Arial" w:eastAsia="Arial" w:hAnsi="Arial"/>
          <w:sz w:val="19"/>
          <w:szCs w:val="19"/>
          <w:color w:val="auto"/>
        </w:rPr>
      </w:pPr>
    </w:p>
    <w:p>
      <w:pPr>
        <w:jc w:val="both"/>
        <w:ind w:firstLine="656"/>
        <w:spacing w:after="0" w:line="302" w:lineRule="auto"/>
        <w:tabs>
          <w:tab w:leader="none" w:pos="1284"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to both parties herein are cumulative and shall not constitute a waiver of either party’s right to assert all other legal remedies available to it under the circumstances.</w:t>
      </w:r>
    </w:p>
    <w:p>
      <w:pPr>
        <w:spacing w:after="0" w:line="142" w:lineRule="exact"/>
        <w:rPr>
          <w:sz w:val="20"/>
          <w:szCs w:val="20"/>
          <w:color w:val="auto"/>
        </w:rPr>
      </w:pPr>
    </w:p>
    <w:p>
      <w:pPr>
        <w:jc w:val="both"/>
        <w:ind w:firstLine="656"/>
        <w:spacing w:after="0" w:line="263" w:lineRule="auto"/>
        <w:tabs>
          <w:tab w:leader="none" w:pos="1285"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Governing Law and Venue</w:t>
      </w:r>
      <w:r>
        <w:rPr>
          <w:rFonts w:ascii="Arial" w:cs="Arial" w:eastAsia="Arial" w:hAnsi="Arial"/>
          <w:sz w:val="21"/>
          <w:szCs w:val="21"/>
          <w:color w:val="auto"/>
        </w:rPr>
        <w:t>. This Award Agreement and the Performance Units will be governed by the laws of the State of Delaware, without giving effect to the conflict of law principles thereof. For purposes of litigating any dispute that arises under these Performance Units or this Award Agreement, the parties hereby submit to and consent to the jurisdiction of the State of Delaware, and agree that such litigation will be conducted in any United States federal court located in the State of Delaware or any other state court in the State of Delaware, and no other courts.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tcPr>
          <w:p>
            <w:pPr>
              <w:ind w:left="660"/>
              <w:spacing w:after="0"/>
              <w:rPr>
                <w:sz w:val="20"/>
                <w:szCs w:val="20"/>
                <w:color w:val="auto"/>
              </w:rPr>
            </w:pPr>
            <w:r>
              <w:rPr>
                <w:rFonts w:ascii="Arial" w:cs="Arial" w:eastAsia="Arial" w:hAnsi="Arial"/>
                <w:sz w:val="22"/>
                <w:szCs w:val="22"/>
                <w:color w:val="auto"/>
              </w:rPr>
              <w:t>ab.</w:t>
            </w:r>
          </w:p>
        </w:tc>
        <w:tc>
          <w:tcPr>
            <w:tcW w:w="9940" w:type="dxa"/>
            <w:vAlign w:val="bottom"/>
            <w:gridSpan w:val="3"/>
          </w:tcPr>
          <w:p>
            <w:pPr>
              <w:spacing w:after="0"/>
              <w:rPr>
                <w:sz w:val="20"/>
                <w:szCs w:val="20"/>
                <w:color w:val="auto"/>
              </w:rPr>
            </w:pPr>
            <w:r>
              <w:rPr>
                <w:rFonts w:ascii="Arial" w:cs="Arial" w:eastAsia="Arial" w:hAnsi="Arial"/>
                <w:sz w:val="22"/>
                <w:szCs w:val="22"/>
                <w:color w:val="auto"/>
                <w:w w:val="92"/>
              </w:rPr>
              <w:t>Waiver of Jury Trial. Each of the parties hereto hereby irrevocably waives any and all right to trial by jury in any</w:t>
            </w:r>
          </w:p>
        </w:tc>
      </w:tr>
      <w:tr>
        <w:trPr>
          <w:trHeight w:val="20"/>
        </w:trPr>
        <w:tc>
          <w:tcPr>
            <w:tcW w:w="13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r>
        <w:trPr>
          <w:trHeight w:val="287"/>
        </w:trPr>
        <w:tc>
          <w:tcPr>
            <w:tcW w:w="11240" w:type="dxa"/>
            <w:vAlign w:val="bottom"/>
            <w:gridSpan w:val="4"/>
          </w:tcPr>
          <w:p>
            <w:pPr>
              <w:spacing w:after="0"/>
              <w:rPr>
                <w:sz w:val="20"/>
                <w:szCs w:val="20"/>
                <w:color w:val="auto"/>
              </w:rPr>
            </w:pPr>
            <w:r>
              <w:rPr>
                <w:rFonts w:ascii="Arial" w:cs="Arial" w:eastAsia="Arial" w:hAnsi="Arial"/>
                <w:sz w:val="22"/>
                <w:szCs w:val="22"/>
                <w:color w:val="auto"/>
              </w:rPr>
              <w:t>legal proceeding arising out of or related to this Award Agreement or the transactions contemplated hereby.</w:t>
            </w:r>
          </w:p>
        </w:tc>
      </w:tr>
      <w:tr>
        <w:trPr>
          <w:trHeight w:val="422"/>
        </w:trPr>
        <w:tc>
          <w:tcPr>
            <w:tcW w:w="1300" w:type="dxa"/>
            <w:vAlign w:val="bottom"/>
          </w:tcPr>
          <w:p>
            <w:pPr>
              <w:ind w:left="660"/>
              <w:spacing w:after="0"/>
              <w:rPr>
                <w:sz w:val="20"/>
                <w:szCs w:val="20"/>
                <w:color w:val="auto"/>
              </w:rPr>
            </w:pPr>
            <w:r>
              <w:rPr>
                <w:rFonts w:ascii="Arial" w:cs="Arial" w:eastAsia="Arial" w:hAnsi="Arial"/>
                <w:sz w:val="22"/>
                <w:szCs w:val="22"/>
                <w:color w:val="auto"/>
              </w:rPr>
              <w:t>ac.</w:t>
            </w:r>
          </w:p>
        </w:tc>
        <w:tc>
          <w:tcPr>
            <w:tcW w:w="9940" w:type="dxa"/>
            <w:vAlign w:val="bottom"/>
            <w:gridSpan w:val="3"/>
          </w:tcPr>
          <w:p>
            <w:pPr>
              <w:spacing w:after="0"/>
              <w:rPr>
                <w:sz w:val="20"/>
                <w:szCs w:val="20"/>
                <w:color w:val="auto"/>
              </w:rPr>
            </w:pPr>
            <w:r>
              <w:rPr>
                <w:rFonts w:ascii="Arial" w:cs="Arial" w:eastAsia="Arial" w:hAnsi="Arial"/>
                <w:sz w:val="22"/>
                <w:szCs w:val="22"/>
                <w:color w:val="auto"/>
                <w:w w:val="91"/>
              </w:rPr>
              <w:t>Entire Agreement. The Plan is incorporated herein by reference. The Plan and this Award Agreement (including</w:t>
            </w:r>
          </w:p>
        </w:tc>
      </w:tr>
      <w:tr>
        <w:trPr>
          <w:trHeight w:val="20"/>
        </w:trPr>
        <w:tc>
          <w:tcPr>
            <w:tcW w:w="13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ad. </w:t>
      </w:r>
      <w:r>
        <w:rPr>
          <w:rFonts w:ascii="Arial" w:cs="Arial" w:eastAsia="Arial" w:hAnsi="Arial"/>
          <w:sz w:val="21"/>
          <w:szCs w:val="21"/>
          <w:u w:val="single" w:color="auto"/>
          <w:color w:val="auto"/>
        </w:rPr>
        <w:t>Country Addendum</w:t>
      </w:r>
      <w:r>
        <w:rPr>
          <w:rFonts w:ascii="Arial" w:cs="Arial" w:eastAsia="Arial" w:hAnsi="Arial"/>
          <w:sz w:val="21"/>
          <w:szCs w:val="21"/>
          <w:color w:val="auto"/>
        </w:rPr>
        <w:t>. Notwithstanding any provisions in this Award Agreement, the Performance Unit grant shall be subject to any special terms and conditions set forth in the appendix to this Award Agreement for any country whose laws are applicable to Participant and this Award of Performance Units (as determined by the Administrator in its sole discretion) (the “</w:t>
      </w:r>
      <w:r>
        <w:rPr>
          <w:rFonts w:ascii="Arial" w:cs="Arial" w:eastAsia="Arial" w:hAnsi="Arial"/>
          <w:sz w:val="21"/>
          <w:szCs w:val="21"/>
          <w:u w:val="single" w:color="auto"/>
          <w:color w:val="auto"/>
        </w:rPr>
        <w:t>Country Addendum</w:t>
      </w:r>
      <w:r>
        <w:rPr>
          <w:rFonts w:ascii="Arial" w:cs="Arial" w:eastAsia="Arial" w:hAnsi="Arial"/>
          <w:sz w:val="21"/>
          <w:szCs w:val="21"/>
          <w:color w:val="auto"/>
        </w:rPr>
        <w:t>”). Moreover, if Participant relocates to one of the countries included in the Country Addendum, the special terms and conditions for such country will apply to Participant, to the extent the Company determines that the application of such terms and conditions is necessary or advisable for legal, tax or administrative reasons. The Country Addendum constitutes part of this Award Agreement.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w:t>
      </w:r>
      <w:r>
        <w:rPr>
          <w:rFonts w:ascii="Arial" w:cs="Arial" w:eastAsia="Arial" w:hAnsi="Arial"/>
          <w:sz w:val="21"/>
          <w:szCs w:val="21"/>
          <w:color w:val="auto"/>
        </w:rPr>
        <w:t>10</w:t>
      </w: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A-</w:t>
      </w:r>
      <w:r>
        <w:rPr>
          <w:rFonts w:ascii="Arial" w:cs="Arial" w:eastAsia="Arial" w:hAnsi="Arial"/>
          <w:sz w:val="21"/>
          <w:szCs w:val="21"/>
          <w:color w:val="auto"/>
        </w:rPr>
        <w:t>11</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0580"/>
          </w:cols>
          <w:pgMar w:left="980" w:top="348"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40"/>
        <w:spacing w:after="0"/>
        <w:rPr>
          <w:sz w:val="20"/>
          <w:szCs w:val="20"/>
          <w:color w:val="auto"/>
        </w:rPr>
      </w:pPr>
      <w:r>
        <w:rPr>
          <w:rFonts w:ascii="Arial" w:cs="Arial" w:eastAsia="Arial" w:hAnsi="Arial"/>
          <w:sz w:val="22"/>
          <w:szCs w:val="22"/>
          <w:b w:val="1"/>
          <w:bCs w:val="1"/>
          <w:u w:val="single" w:color="auto"/>
          <w:color w:val="auto"/>
        </w:rPr>
        <w:t>EXHIBIT B</w:t>
      </w:r>
    </w:p>
    <w:p>
      <w:pPr>
        <w:spacing w:after="0" w:line="220" w:lineRule="exact"/>
        <w:rPr>
          <w:sz w:val="20"/>
          <w:szCs w:val="20"/>
          <w:color w:val="auto"/>
        </w:rPr>
      </w:pPr>
    </w:p>
    <w:p>
      <w:pPr>
        <w:jc w:val="center"/>
        <w:ind w:right="640"/>
        <w:spacing w:after="0"/>
        <w:rPr>
          <w:sz w:val="20"/>
          <w:szCs w:val="20"/>
          <w:color w:val="auto"/>
        </w:rPr>
      </w:pPr>
      <w:r>
        <w:rPr>
          <w:rFonts w:ascii="Arial" w:cs="Arial" w:eastAsia="Arial" w:hAnsi="Arial"/>
          <w:sz w:val="22"/>
          <w:szCs w:val="22"/>
          <w:b w:val="1"/>
          <w:bCs w:val="1"/>
          <w:u w:val="single" w:color="auto"/>
          <w:color w:val="auto"/>
        </w:rPr>
        <w:t>PERFORMANCE GOAL</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B-1</w:t>
      </w: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0580"/>
          </w:cols>
          <w:pgMar w:left="980" w:top="348"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2019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UNIT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 ADDENDUM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This Country Addendum includes additional terms and conditions that govern the Award of Performance Units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Award of Performance Units, the Company will, in its discretion, determine the extent to which the terms and conditions contained herein will be applicable to Participant.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Certain capitalized terms used but not defined in this Country Addendum shall have the meanings set forth in the Plan, and/or the Global Performance Unit Agreement to which this Country Addendum is attached.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This Country Addendum also includes notifications relating to exchange control and other issues of which Participant should be aware with respect to his or her participation in the Plan. The information is based on the exchange control, securities and other laws in effect in the countries listed in this Country Addendum, as of [●].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vests in the Performance Units and acquires Shares, or when Participant subsequently sell Shares acquired under the Plan.</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addition, the notifications are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w:t>
      </w:r>
    </w:p>
    <w:p>
      <w:pPr>
        <w:spacing w:after="0" w:line="167"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Finally, if Participant is a citizen or resident of a country other than the one in which Participant is currently working (or is considered as such for local law purposes) or if Participant moves to another country after receiving the Award of Performance Units, the information contained herein may not be applicable to Participant.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AUSTRALIA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Tax Information</w:t>
      </w:r>
      <w:r>
        <w:rPr>
          <w:rFonts w:ascii="Arial" w:cs="Arial" w:eastAsia="Arial" w:hAnsi="Arial"/>
          <w:sz w:val="22"/>
          <w:szCs w:val="22"/>
          <w:color w:val="auto"/>
        </w:rPr>
        <w:t>. The Plan is a plan to which Subdivision 83A-C of the Income Tax Assessment Act 1997 (Cth) applies (subject to the conditions in the Act).</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xml:space="preserve">. There are legal consequences associated with participating in the Plan. Participant should ensure that Participant understands these consequences before participating in the Plan. Any information given by or on behalf of the Company is general information only. </w:t>
      </w:r>
      <w:r>
        <w:rPr>
          <w:rFonts w:ascii="Arial" w:cs="Arial" w:eastAsia="Arial" w:hAnsi="Arial"/>
          <w:sz w:val="22"/>
          <w:szCs w:val="22"/>
          <w:i w:val="1"/>
          <w:iCs w:val="1"/>
          <w:color w:val="auto"/>
        </w:rPr>
        <w:t>Participant should obtain his or her own financial product advice from an independent</w:t>
      </w:r>
      <w:r>
        <w:rPr>
          <w:rFonts w:ascii="Arial" w:cs="Arial" w:eastAsia="Arial" w:hAnsi="Arial"/>
          <w:sz w:val="22"/>
          <w:szCs w:val="22"/>
          <w:color w:val="auto"/>
        </w:rPr>
        <w:t xml:space="preserve"> </w:t>
      </w:r>
      <w:r>
        <w:rPr>
          <w:rFonts w:ascii="Arial" w:cs="Arial" w:eastAsia="Arial" w:hAnsi="Arial"/>
          <w:sz w:val="22"/>
          <w:szCs w:val="22"/>
          <w:i w:val="1"/>
          <w:iCs w:val="1"/>
          <w:color w:val="auto"/>
        </w:rPr>
        <w:t>person who is licensed by the Australian Securities and Investments Commission (“</w:t>
      </w:r>
      <w:r>
        <w:rPr>
          <w:rFonts w:ascii="Arial" w:cs="Arial" w:eastAsia="Arial" w:hAnsi="Arial"/>
          <w:sz w:val="22"/>
          <w:szCs w:val="22"/>
          <w:i w:val="1"/>
          <w:iCs w:val="1"/>
          <w:u w:val="single" w:color="auto"/>
          <w:color w:val="auto"/>
        </w:rPr>
        <w:t>ASIC</w:t>
      </w:r>
      <w:r>
        <w:rPr>
          <w:rFonts w:ascii="Arial" w:cs="Arial" w:eastAsia="Arial" w:hAnsi="Arial"/>
          <w:sz w:val="22"/>
          <w:szCs w:val="22"/>
          <w:i w:val="1"/>
          <w:iCs w:val="1"/>
          <w:color w:val="auto"/>
        </w:rPr>
        <w:t>”) to give advice about participating in the Plan.</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The grant of Performance Units under the terms of the Plan and the Award Agreement does not require disclosure under </w:t>
      </w:r>
      <w:r>
        <w:rPr>
          <w:rFonts w:ascii="Arial" w:cs="Arial" w:eastAsia="Arial" w:hAnsi="Arial"/>
          <w:sz w:val="22"/>
          <w:szCs w:val="22"/>
          <w:i w:val="1"/>
          <w:iCs w:val="1"/>
          <w:color w:val="auto"/>
        </w:rPr>
        <w:t xml:space="preserve">Corporations Act 2001 </w:t>
      </w:r>
      <w:r>
        <w:rPr>
          <w:rFonts w:ascii="Arial" w:cs="Arial" w:eastAsia="Arial" w:hAnsi="Arial"/>
          <w:sz w:val="22"/>
          <w:szCs w:val="22"/>
          <w:color w:val="auto"/>
        </w:rPr>
        <w:t>(Cth) (the “</w:t>
      </w:r>
      <w:r>
        <w:rPr>
          <w:rFonts w:ascii="Arial" w:cs="Arial" w:eastAsia="Arial" w:hAnsi="Arial"/>
          <w:sz w:val="22"/>
          <w:szCs w:val="22"/>
          <w:u w:val="single" w:color="auto"/>
          <w:color w:val="auto"/>
        </w:rPr>
        <w:t>Corporations Act</w:t>
      </w:r>
      <w:r>
        <w:rPr>
          <w:rFonts w:ascii="Arial" w:cs="Arial" w:eastAsia="Arial" w:hAnsi="Arial"/>
          <w:sz w:val="22"/>
          <w:szCs w:val="22"/>
          <w:color w:val="auto"/>
        </w:rPr>
        <w:t>”). No document provided to Participant in connection with his or her</w:t>
      </w:r>
      <w:r>
        <w:rPr>
          <w:rFonts w:ascii="Arial" w:cs="Arial" w:eastAsia="Arial" w:hAnsi="Arial"/>
          <w:sz w:val="22"/>
          <w:szCs w:val="22"/>
          <w:i w:val="1"/>
          <w:iCs w:val="1"/>
          <w:color w:val="auto"/>
        </w:rPr>
        <w:t xml:space="preserve"> </w:t>
      </w:r>
      <w:r>
        <w:rPr>
          <w:rFonts w:ascii="Arial" w:cs="Arial" w:eastAsia="Arial" w:hAnsi="Arial"/>
          <w:sz w:val="22"/>
          <w:szCs w:val="22"/>
          <w:color w:val="auto"/>
        </w:rPr>
        <w:t>participation in the Plan (including the Award Agreement and this Country Addendum):</w:t>
      </w:r>
    </w:p>
    <w:p>
      <w:pPr>
        <w:spacing w:after="0" w:line="185"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is a prospectus for purposes of the Corporations Act; or</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has been filed or reviewed by a regulatory in Australia (including ASIC).</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Participant should not rely on any oral statements made in connection with his or her participation in the Plan. Participant should rely only upon the statements contained in the Award Agreement, including this Country Addendum, when considering whether to participate in the Plan.</w:t>
      </w:r>
    </w:p>
    <w:p>
      <w:pPr>
        <w:spacing w:after="0" w:line="185"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In the event that Shares are issued to Participant under the Plan, the value of any Shares will be affected by the Australian / United States Dollar exchange rate, in addition to fluctuations in values caused by the fortunes of the Company.</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If Participants offers any Shares for sale to any person or entity resident in Australia, the offer may be subject to disclosure requirements under Australian law. </w:t>
      </w:r>
      <w:r>
        <w:rPr>
          <w:rFonts w:ascii="Arial" w:cs="Arial" w:eastAsia="Arial" w:hAnsi="Arial"/>
          <w:sz w:val="22"/>
          <w:szCs w:val="22"/>
          <w:i w:val="1"/>
          <w:iCs w:val="1"/>
          <w:color w:val="auto"/>
        </w:rPr>
        <w:t>Participant should consult with his or her personal legal advisor prior to making any such</w:t>
      </w:r>
      <w:r>
        <w:rPr>
          <w:rFonts w:ascii="Arial" w:cs="Arial" w:eastAsia="Arial" w:hAnsi="Arial"/>
          <w:sz w:val="22"/>
          <w:szCs w:val="22"/>
          <w:color w:val="auto"/>
        </w:rPr>
        <w:t xml:space="preserve"> </w:t>
      </w:r>
      <w:r>
        <w:rPr>
          <w:rFonts w:ascii="Arial" w:cs="Arial" w:eastAsia="Arial" w:hAnsi="Arial"/>
          <w:sz w:val="22"/>
          <w:szCs w:val="22"/>
          <w:i w:val="1"/>
          <w:iCs w:val="1"/>
          <w:color w:val="auto"/>
        </w:rPr>
        <w:t>offer to ensure compliance with the applicable requirements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The following provision supplements Section 2 and 4 of the Award Agreement: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Notwithstanding any discretion contained in the Plan and the Award Agreement, the Performance Units will not be settled in cash or a combination of cash and Shares. The Performance Units will be settled only in Shares.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Nature of Grant</w:t>
      </w:r>
      <w:r>
        <w:rPr>
          <w:rFonts w:ascii="Arial" w:cs="Arial" w:eastAsia="Arial" w:hAnsi="Arial"/>
          <w:sz w:val="22"/>
          <w:szCs w:val="22"/>
          <w:color w:val="auto"/>
        </w:rPr>
        <w:t>. The following provision replaces Section 11(e) of the Award Agreement: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96" w:name="page97"/>
    <w:bookmarkEnd w:id="96"/>
    <w:p>
      <w:pPr>
        <w:ind w:left="10180"/>
        <w:spacing w:after="0"/>
        <w:rPr>
          <w:sz w:val="20"/>
          <w:szCs w:val="20"/>
          <w:color w:val="auto"/>
        </w:rPr>
      </w:pPr>
      <w:r>
        <w:rPr>
          <w:rFonts w:ascii="Arial" w:cs="Arial" w:eastAsia="Arial" w:hAnsi="Arial"/>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For purposes of the Performance Units, Participant’s status as a Service Provider will be considered terminated as of the date that is the earlier of (i) the date of Participant’s termination, (ii) the date Participant receives notice of termination, or (iii) the date Participant is no longer actively providing services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active service would not include any contractual notice period or any period of “garden leave” or similar period mandated under Canadian laws or the terms of Participant’s employment or service agreement, if any), regardless of the reason for such termination and whether or not later found to be invalid or in breach of employment laws in the jurisdiction where Participant is employed or providing services or the terms of his or her employment or service agreement, if any; unless otherwise expressly provided in this Award Agreement or determined by the Company, Participant’s right to vest in the Performance Units under the Plan, if any, will terminate as of such date; in the event that the date the Participant is no longer actively providing services cannot be reasonably determined under the terms of this Award Agreement and the Plan, the Administrator shall have the exclusive discretion to determine when Participant is no longer actively providing services for purposes of his or her Performance Unit Award (including whether Participant may still be considered to be providing services while on a leave of absence).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following provisions apply to residents of Quebec:</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Language Consent</w:t>
      </w:r>
      <w:r>
        <w:rPr>
          <w:rFonts w:ascii="Arial" w:cs="Arial" w:eastAsia="Arial" w:hAnsi="Arial"/>
          <w:sz w:val="22"/>
          <w:szCs w:val="22"/>
          <w:color w:val="auto"/>
        </w:rPr>
        <w:t>. The parties acknowledge that it is their express wish that the Award Agreement, as well as all documents, notices and legal proceedings entered into, given or instituted pursuant hereto or relating directly or indirectly hereto, be drawn up in English.</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u w:val="single" w:color="auto"/>
          <w:color w:val="auto"/>
        </w:rPr>
        <w:t>Consentement à la Langue Utilisée</w:t>
      </w:r>
      <w:r>
        <w:rPr>
          <w:rFonts w:ascii="Arial" w:cs="Arial" w:eastAsia="Arial" w:hAnsi="Arial"/>
          <w:sz w:val="22"/>
          <w:szCs w:val="22"/>
          <w:i w:val="1"/>
          <w:iCs w:val="1"/>
          <w:color w:val="auto"/>
        </w:rPr>
        <w:t>. Les parties reconnaissent avoir expressément souhaité que la convention, ainsi que tous les documents, avis et procédures judiciaires, exécutés, donnés ou intentés en vertu de, ou liés, directement ou indirectement à la présente convention, soient rédigés en langue anglaise.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r>
        <w:rPr>
          <w:rFonts w:ascii="Arial" w:cs="Arial" w:eastAsia="Arial" w:hAnsi="Arial"/>
          <w:sz w:val="22"/>
          <w:szCs w:val="22"/>
          <w:color w:val="auto"/>
        </w:rPr>
        <w:t>. The following provision supplements Section 13 of the Award Agreement:</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b w:val="1"/>
          <w:bCs w:val="1"/>
          <w:i w:val="1"/>
          <w:iCs w:val="1"/>
          <w:color w:val="auto"/>
        </w:rPr>
        <w:t>Participant authorizes the Company and the Company’s representatives to discuss with and obtain all relevant information from all personnel, professional or non-professional, involved with the administration of the Plan. Participant further authorizes the Company, any Parent or Subsidiary of the Company, the Employer, the Stock Plan Administrator or any other stock plan service provider as may be selected by the Company from time to time to assist with the Plan, to disclose and discuss the Plan with their advisors. Participant also authorizes the Company and the Service Recipient to record such information and to keep such information in Participant’s employee file.</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sale of Shares acquired under the Plan may not take place in Canada.</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Foreign Asset and Account Reporting Information</w:t>
      </w:r>
      <w:r>
        <w:rPr>
          <w:rFonts w:ascii="Arial" w:cs="Arial" w:eastAsia="Arial" w:hAnsi="Arial"/>
          <w:sz w:val="22"/>
          <w:szCs w:val="22"/>
          <w:color w:val="auto"/>
        </w:rPr>
        <w:t>. Canadian residents are required to report their foreign specified property (</w:t>
      </w:r>
      <w:r>
        <w:rPr>
          <w:rFonts w:ascii="Arial" w:cs="Arial" w:eastAsia="Arial" w:hAnsi="Arial"/>
          <w:sz w:val="22"/>
          <w:szCs w:val="22"/>
          <w:i w:val="1"/>
          <w:iCs w:val="1"/>
          <w:color w:val="auto"/>
        </w:rPr>
        <w:t>e.g.</w:t>
      </w:r>
      <w:r>
        <w:rPr>
          <w:rFonts w:ascii="Arial" w:cs="Arial" w:eastAsia="Arial" w:hAnsi="Arial"/>
          <w:sz w:val="22"/>
          <w:szCs w:val="22"/>
          <w:color w:val="auto"/>
        </w:rPr>
        <w:t>, Shares) on form T1135 (Foreign Income Verification Statement) if the total cost of the foreign specified property exceeds C$100,000 at any time in the year. The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Performance Units must be reported—generally at a nil cost—if the C$100,000 threshold is exceeded because of other foreign specific property held by Participant. The Shares acquired under the Plan must be reported and their cost generally is the adjusted cost base (“</w:t>
      </w:r>
      <w:r>
        <w:rPr>
          <w:rFonts w:ascii="Arial" w:cs="Arial" w:eastAsia="Arial" w:hAnsi="Arial"/>
          <w:sz w:val="21"/>
          <w:szCs w:val="21"/>
          <w:u w:val="single" w:color="auto"/>
          <w:color w:val="auto"/>
        </w:rPr>
        <w:t>ACB</w:t>
      </w:r>
      <w:r>
        <w:rPr>
          <w:rFonts w:ascii="Arial" w:cs="Arial" w:eastAsia="Arial" w:hAnsi="Arial"/>
          <w:sz w:val="21"/>
          <w:szCs w:val="21"/>
          <w:color w:val="auto"/>
        </w:rPr>
        <w:t>”) of the Shares. The ACB ordinarily would equal the fair market value of the Shares at the time of acquisition, but if such Canadian resident owns other Shares, this ACB may have to be averaged with the ACB of the other shares. The form T1135 generally must be filed by April 30 of the following year. Canadian residents should consult with a personal advisor to ensure compliance with the applicable reporting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FRANCE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Language Consent</w:t>
      </w:r>
      <w:r>
        <w:rPr>
          <w:rFonts w:ascii="Arial" w:cs="Arial" w:eastAsia="Arial" w:hAnsi="Arial"/>
          <w:sz w:val="22"/>
          <w:szCs w:val="22"/>
          <w:color w:val="auto"/>
        </w:rPr>
        <w:t>. By accepting the Performance Units, Participant confirms having read and understood the Plan and Award Agreement, including all terms and conditions included therein, which were provided in the English language. Participant accepts the terms of those documents accordingly.</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u w:val="single" w:color="auto"/>
          <w:color w:val="auto"/>
        </w:rPr>
        <w:t>Consentement à la Langue Utilisée</w:t>
      </w:r>
      <w:r>
        <w:rPr>
          <w:rFonts w:ascii="Arial" w:cs="Arial" w:eastAsia="Arial" w:hAnsi="Arial"/>
          <w:sz w:val="22"/>
          <w:szCs w:val="22"/>
          <w:i w:val="1"/>
          <w:iCs w:val="1"/>
          <w:color w:val="auto"/>
        </w:rPr>
        <w:t>. En acceptant l’ attribution, le Participant confirme avoir lu et compris le Plan et le Contrat y relatifs, inclutant tous leurs termes et conditions, qui ont été transmis en langue anglaise. Le Participant accepte les termes de ces documents en conséquence.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Non-Tax-Qualified Performance Units</w:t>
      </w:r>
      <w:r>
        <w:rPr>
          <w:rFonts w:ascii="Arial" w:cs="Arial" w:eastAsia="Arial" w:hAnsi="Arial"/>
          <w:sz w:val="22"/>
          <w:szCs w:val="22"/>
          <w:color w:val="auto"/>
        </w:rPr>
        <w:t>. The Performance Units granted under the Award Agreement are not intended to be French tax-qualified Performance Units.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Foreign Asset and Account Reporting Information</w:t>
      </w:r>
      <w:r>
        <w:rPr>
          <w:rFonts w:ascii="Arial" w:cs="Arial" w:eastAsia="Arial" w:hAnsi="Arial"/>
          <w:sz w:val="22"/>
          <w:szCs w:val="22"/>
          <w:color w:val="auto"/>
        </w:rPr>
        <w:t>. French residents are required to report all foreign accounts (whether open, current or closed) to the French tax authorities when filing their annual tax returns. Participant should consult his or her personal tax advisor to ensure compliance with applicable reporting obligations.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GERMANY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color w:val="auto"/>
        </w:rPr>
        <w:t>. German residents must report cross-border payments in excess of €12,500 on a monthly basis to the German Federal Bank (</w:t>
      </w:r>
      <w:r>
        <w:rPr>
          <w:rFonts w:ascii="Arial" w:cs="Arial" w:eastAsia="Arial" w:hAnsi="Arial"/>
          <w:sz w:val="21"/>
          <w:szCs w:val="21"/>
          <w:i w:val="1"/>
          <w:iCs w:val="1"/>
          <w:color w:val="auto"/>
        </w:rPr>
        <w:t>Bundesbank</w:t>
      </w:r>
      <w:r>
        <w:rPr>
          <w:rFonts w:ascii="Arial" w:cs="Arial" w:eastAsia="Arial" w:hAnsi="Arial"/>
          <w:sz w:val="21"/>
          <w:szCs w:val="21"/>
          <w:color w:val="auto"/>
        </w:rPr>
        <w:t>). In case of payments in connection with securities (including proceeds realized upon the sale of Shares), the report must be filed electronically by the fifth (5</w:t>
      </w:r>
      <w:r>
        <w:rPr>
          <w:rFonts w:ascii="Arial" w:cs="Arial" w:eastAsia="Arial" w:hAnsi="Arial"/>
          <w:sz w:val="27"/>
          <w:szCs w:val="27"/>
          <w:color w:val="auto"/>
          <w:vertAlign w:val="superscript"/>
        </w:rPr>
        <w:t>th</w:t>
      </w:r>
      <w:r>
        <w:rPr>
          <w:rFonts w:ascii="Arial" w:cs="Arial" w:eastAsia="Arial" w:hAnsi="Arial"/>
          <w:sz w:val="21"/>
          <w:szCs w:val="21"/>
          <w:color w:val="auto"/>
        </w:rPr>
        <w:t>) day of the month following the month in which the payment was received. The form of report (“</w:t>
      </w:r>
      <w:r>
        <w:rPr>
          <w:rFonts w:ascii="Arial" w:cs="Arial" w:eastAsia="Arial" w:hAnsi="Arial"/>
          <w:sz w:val="21"/>
          <w:szCs w:val="21"/>
          <w:i w:val="1"/>
          <w:iCs w:val="1"/>
          <w:color w:val="auto"/>
        </w:rPr>
        <w:t>Allgemeine Meldeportal Statistik</w:t>
      </w:r>
      <w:r>
        <w:rPr>
          <w:rFonts w:ascii="Arial" w:cs="Arial" w:eastAsia="Arial" w:hAnsi="Arial"/>
          <w:sz w:val="21"/>
          <w:szCs w:val="21"/>
          <w:color w:val="auto"/>
        </w:rPr>
        <w:t>”) can be accessed via the Bundesbank’s website (</w:t>
      </w:r>
      <w:r>
        <w:rPr>
          <w:rFonts w:ascii="Arial" w:cs="Arial" w:eastAsia="Arial" w:hAnsi="Arial"/>
          <w:sz w:val="21"/>
          <w:szCs w:val="21"/>
          <w:u w:val="single" w:color="auto"/>
          <w:color w:val="0000FF"/>
        </w:rPr>
        <w:t>www.bundesbank.de</w:t>
      </w:r>
      <w:r>
        <w:rPr>
          <w:rFonts w:ascii="Arial" w:cs="Arial" w:eastAsia="Arial" w:hAnsi="Arial"/>
          <w:sz w:val="21"/>
          <w:szCs w:val="21"/>
          <w:color w:val="auto"/>
        </w:rPr>
        <w:t>) and is available in both German and English.</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u w:val="single" w:color="auto"/>
          <w:color w:val="auto"/>
        </w:rPr>
        <w:t>Foreign Asset and Account Reporting Information</w:t>
      </w:r>
      <w:r>
        <w:rPr>
          <w:rFonts w:ascii="Arial" w:cs="Arial" w:eastAsia="Arial" w:hAnsi="Arial"/>
          <w:sz w:val="19"/>
          <w:szCs w:val="19"/>
          <w:color w:val="auto"/>
        </w:rPr>
        <w:t>. German residents holding Shares must notify their local tax office of the acquisition of Shares when they file their tax returns for the relevant year if the aggregate value of all Shares acquired exceeds €150,000, or in the unlikely event that the resident holds Shares exceeding 10% of the Company’s total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Indian residents are required to repatriate any funds realized under the Plan to India within prescribed periods (</w:t>
      </w:r>
      <w:r>
        <w:rPr>
          <w:rFonts w:ascii="Arial" w:cs="Arial" w:eastAsia="Arial" w:hAnsi="Arial"/>
          <w:sz w:val="22"/>
          <w:szCs w:val="22"/>
          <w:i w:val="1"/>
          <w:iCs w:val="1"/>
          <w:color w:val="auto"/>
        </w:rPr>
        <w:t>e.g.</w:t>
      </w:r>
      <w:r>
        <w:rPr>
          <w:rFonts w:ascii="Arial" w:cs="Arial" w:eastAsia="Arial" w:hAnsi="Arial"/>
          <w:sz w:val="22"/>
          <w:szCs w:val="22"/>
          <w:color w:val="auto"/>
        </w:rPr>
        <w:t>, within ninety (90) days of the receipt of proceeds from the sale of Shares, or such other period as may apply under applicable exchange control laws as may be amended from time to time). Participant should maintain any foreign inward remittance certificate (received from the bank where the foreign currency is deposited) in the event that the Reserve Bank of India or the Employer requests proof of repatriation.</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Foreign Asset and Account Reporting Information</w:t>
      </w:r>
      <w:r>
        <w:rPr>
          <w:rFonts w:ascii="Arial" w:cs="Arial" w:eastAsia="Arial" w:hAnsi="Arial"/>
          <w:sz w:val="22"/>
          <w:szCs w:val="22"/>
          <w:color w:val="auto"/>
        </w:rPr>
        <w:t>. Foreign bank accounts and any foreign financial assets (including Shares held outside India) must be declared by Indian residents in their annual tax return. Participant is responsible for complying with this reporting obligation to the extent it applies to Participant and should confer with Participant’s personal legal advisor in this regard.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u w:val="single" w:color="auto"/>
          <w:color w:val="auto"/>
        </w:rPr>
        <w:t>Director Notification Requirement</w:t>
      </w:r>
      <w:r>
        <w:rPr>
          <w:rFonts w:ascii="Arial" w:cs="Arial" w:eastAsia="Arial" w:hAnsi="Arial"/>
          <w:sz w:val="22"/>
          <w:szCs w:val="22"/>
          <w:color w:val="auto"/>
        </w:rPr>
        <w:t>. If Participant is a director, shadow director or secretary of an Irish Subsidiary and has a 1% or more shareholding interest in the Company, he or she must notify the Irish Subsidiary in writing upon receiving or disposing of an interest in the Company (</w:t>
      </w:r>
      <w:r>
        <w:rPr>
          <w:rFonts w:ascii="Arial" w:cs="Arial" w:eastAsia="Arial" w:hAnsi="Arial"/>
          <w:sz w:val="22"/>
          <w:szCs w:val="22"/>
          <w:i w:val="1"/>
          <w:iCs w:val="1"/>
          <w:color w:val="auto"/>
        </w:rPr>
        <w:t>e.g.</w:t>
      </w:r>
      <w:r>
        <w:rPr>
          <w:rFonts w:ascii="Arial" w:cs="Arial" w:eastAsia="Arial" w:hAnsi="Arial"/>
          <w:sz w:val="22"/>
          <w:szCs w:val="22"/>
          <w:color w:val="auto"/>
        </w:rPr>
        <w:t>, Performance Units, Shares) or upon becoming aware of the event giving rise to the notification requirement, or upon becoming a director, shadow director or secretary if such an interest exists at that time. This notification requirement also applies with respect to the interests of a spouse or minor child (whose interests will be attributed to the director, shadow director or secretary).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ISRAEL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Settlement</w:t>
      </w:r>
      <w:r>
        <w:rPr>
          <w:rFonts w:ascii="Arial" w:cs="Arial" w:eastAsia="Arial" w:hAnsi="Arial"/>
          <w:sz w:val="22"/>
          <w:szCs w:val="22"/>
          <w:color w:val="auto"/>
        </w:rPr>
        <w:t>. The following provision supplements Section 2 and 4 of the Award Agreement:</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At the discretion of the Company, Participant may be subject to an immediate forced sale restriction, pursuant to which all Shares acquired at vesting will be immediately sold and Participant will receive the sale proceeds less Tax Obligations and applicable broker fees and commissions. In this case, Participant will not be entitled to hold any Shares issued at vesting of the Performance Units.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An exemption from the requirement to file a prospectus with respect to the Plan has been granted to the Company by the Israeli Securities Authority. Copies of the Plan and Form S-8 registration statement for the Plan filed with the U.S. Securities and Exchange Commission are available free of charge upon request from Participant’s local human resources department.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ITALY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u w:val="single" w:color="auto"/>
          <w:color w:val="auto"/>
        </w:rPr>
        <w:t>Plan Document Acknowledgment</w:t>
      </w:r>
      <w:r>
        <w:rPr>
          <w:rFonts w:ascii="Arial" w:cs="Arial" w:eastAsia="Arial" w:hAnsi="Arial"/>
          <w:sz w:val="22"/>
          <w:szCs w:val="22"/>
          <w:color w:val="auto"/>
        </w:rPr>
        <w:t>. By accepting the Performance Units, Participant acknowledges that he or she has received a copy of the Plan, the Award Agreement and this Country Addendum and has reviewed the Plan, the Award Agreement and this Country Addendum in their entirety and fully accepts all provisions thereof. Participant further acknowledges that he or she has read and specifically and expressly approves the following provisions of the Award Agreement: (i) Tax Obligations; (ii) Grant is Not Transferable; (iii) Nature of Grant; (iv) Data Privacy; (v) Language; (vi) Imposition of Other Requirements; (vii) Governing Law and Venue; and (viii) Entire Agreement.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u w:val="single" w:color="auto"/>
          <w:color w:val="auto"/>
        </w:rPr>
        <w:t>Foreign Asset and Account Reporting Information</w:t>
      </w:r>
      <w:r>
        <w:rPr>
          <w:rFonts w:ascii="Arial" w:cs="Arial" w:eastAsia="Arial" w:hAnsi="Arial"/>
          <w:sz w:val="22"/>
          <w:szCs w:val="22"/>
          <w:color w:val="auto"/>
        </w:rPr>
        <w:t>. Italian residents who, at any time during the fiscal year, hold foreign financial assets (</w:t>
      </w:r>
      <w:r>
        <w:rPr>
          <w:rFonts w:ascii="Arial" w:cs="Arial" w:eastAsia="Arial" w:hAnsi="Arial"/>
          <w:sz w:val="22"/>
          <w:szCs w:val="22"/>
          <w:i w:val="1"/>
          <w:iCs w:val="1"/>
          <w:color w:val="auto"/>
        </w:rPr>
        <w:t>e.g.</w:t>
      </w:r>
      <w:r>
        <w:rPr>
          <w:rFonts w:ascii="Arial" w:cs="Arial" w:eastAsia="Arial" w:hAnsi="Arial"/>
          <w:sz w:val="22"/>
          <w:szCs w:val="22"/>
          <w:color w:val="auto"/>
        </w:rPr>
        <w:t>, cash, Shares or Performance Units) which may generate income taxable in Italy are required to report such assets on their annual tax returns or on a special form if no tax return is due. The same reporting duties apply to Italian residents who are beneficial owners of the foreign financial assets pursuant to Italian money laundering provisions, even if they do not directly hold the foreign asset abroad. Participant should consult his or her personal legal advisor to ensure compliance with applicable reporting requirements.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Foreign Asset Tax Information</w:t>
      </w:r>
      <w:r>
        <w:rPr>
          <w:rFonts w:ascii="Arial" w:cs="Arial" w:eastAsia="Arial" w:hAnsi="Arial"/>
          <w:sz w:val="22"/>
          <w:szCs w:val="22"/>
          <w:color w:val="auto"/>
        </w:rPr>
        <w:t>. The value of financial assets held outside of Italy (including Shares acquired under the Plan) by Italian residents is subject to a foreign asset tax. The taxable amount will be the fair market value of the financial assets assessed at the end of the calendar year.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Japan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u w:val="single" w:color="auto"/>
          <w:color w:val="auto"/>
        </w:rPr>
        <w:t>Foreign Asset and Account Reporting Information</w:t>
      </w:r>
      <w:r>
        <w:rPr>
          <w:rFonts w:ascii="Arial" w:cs="Arial" w:eastAsia="Arial" w:hAnsi="Arial"/>
          <w:sz w:val="19"/>
          <w:szCs w:val="19"/>
          <w:color w:val="auto"/>
        </w:rPr>
        <w:t>. Details of any assets held outside Japan on an annual basis as of December 31 (including Shares acquired under the Plan) must be reported to the tax authorities, to the extent such assets have a total net fair market value exceeding ¥50,000,000. Such report is due by March 15 each year. Participant should consult with his or her personal tax advisor to determine if the reporting obligation applies to Participant and whether Participant will be required to include details of Participant’s outstanding Performance Units, as well as Shares, in the report.</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MALAYSIA</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i w:val="1"/>
          <w:iCs w:val="1"/>
          <w:color w:val="auto"/>
        </w:rPr>
        <w:t>Notifications</w:t>
      </w:r>
      <w:r>
        <w:rPr>
          <w:rFonts w:ascii="Arial" w:cs="Arial" w:eastAsia="Arial" w:hAnsi="Arial"/>
          <w:sz w:val="22"/>
          <w:szCs w:val="22"/>
          <w:u w:val="single" w:color="auto"/>
          <w:color w:val="auto"/>
        </w:rPr>
        <w:t>Director Notification Obligation</w:t>
      </w:r>
      <w:r>
        <w:rPr>
          <w:rFonts w:ascii="Arial" w:cs="Arial" w:eastAsia="Arial" w:hAnsi="Arial"/>
          <w:sz w:val="22"/>
          <w:szCs w:val="22"/>
          <w:color w:val="auto"/>
        </w:rPr>
        <w:t>. If Participant is a director of a Malaysian Subsidiary, Participant is subject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certain notification requirements under the Malaysian Companies Act. Among these requirements is an obligation to notify the Malaysian Parent or Subsidiary in writing when Participant receives or disposes of an interest (</w:t>
      </w:r>
      <w:r>
        <w:rPr>
          <w:rFonts w:ascii="Arial" w:cs="Arial" w:eastAsia="Arial" w:hAnsi="Arial"/>
          <w:sz w:val="22"/>
          <w:szCs w:val="22"/>
          <w:i w:val="1"/>
          <w:iCs w:val="1"/>
          <w:color w:val="auto"/>
        </w:rPr>
        <w:t>e.g.</w:t>
      </w:r>
      <w:r>
        <w:rPr>
          <w:rFonts w:ascii="Arial" w:cs="Arial" w:eastAsia="Arial" w:hAnsi="Arial"/>
          <w:sz w:val="22"/>
          <w:szCs w:val="22"/>
          <w:color w:val="auto"/>
        </w:rPr>
        <w:t>, Performance Units or Shares) in the Company or any related company. Such notifications must be made within 14 days of receiving or disposing of any interest in the Company or any related company.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NETHERLANDS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NEW ZEALAND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xml:space="preserve">. </w:t>
      </w:r>
      <w:r>
        <w:rPr>
          <w:rFonts w:ascii="Arial" w:cs="Arial" w:eastAsia="Arial" w:hAnsi="Arial"/>
          <w:sz w:val="19"/>
          <w:szCs w:val="19"/>
          <w:i w:val="1"/>
          <w:iCs w:val="1"/>
          <w:color w:val="auto"/>
        </w:rPr>
        <w:t>Warning: Participant is being offered Performance Units, which, upon vesting and settlement,</w:t>
      </w:r>
      <w:r>
        <w:rPr>
          <w:rFonts w:ascii="Arial" w:cs="Arial" w:eastAsia="Arial" w:hAnsi="Arial"/>
          <w:sz w:val="19"/>
          <w:szCs w:val="19"/>
          <w:color w:val="auto"/>
        </w:rPr>
        <w:t xml:space="preserve"> </w:t>
      </w:r>
      <w:r>
        <w:rPr>
          <w:rFonts w:ascii="Arial" w:cs="Arial" w:eastAsia="Arial" w:hAnsi="Arial"/>
          <w:sz w:val="19"/>
          <w:szCs w:val="19"/>
          <w:i w:val="1"/>
          <w:iCs w:val="1"/>
          <w:color w:val="auto"/>
        </w:rPr>
        <w:t>allows him or her to acquire Shares in accordance with the terms of the Plan and the Award Agreement. The Shares, if acquired, give Participant a stake in the ownership of the Company. Participant may receive a return if dividends are paid.</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color w:val="auto"/>
        </w:rPr>
        <w:t>If the Company runs into financial difficulties and is wound up, Participant will be paid only after all creditors have been paid. New Zealand law normally requires people who offer financial products to give information to investors before they invest. This information is designed to help investors make an informed decision.</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i w:val="1"/>
          <w:iCs w:val="1"/>
          <w:color w:val="auto"/>
        </w:rPr>
        <w:t>The usual rules do not apply to this offer because it is a small offer. As a result, Participant may not be given all the information usually required. Participant will also have fewer legal protections for this investment.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i w:val="1"/>
          <w:iCs w:val="1"/>
          <w:color w:val="auto"/>
        </w:rPr>
        <w:t>Participant should ask questions, read all documents carefully and seek independent financial advice before making any decisions with respect to the Plan.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ROMANIA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u w:val="single" w:color="auto"/>
          <w:color w:val="auto"/>
        </w:rPr>
        <w:t>Language Consent</w:t>
      </w:r>
      <w:r>
        <w:rPr>
          <w:rFonts w:ascii="Arial" w:cs="Arial" w:eastAsia="Arial" w:hAnsi="Arial"/>
          <w:sz w:val="19"/>
          <w:szCs w:val="19"/>
          <w:color w:val="auto"/>
        </w:rPr>
        <w:t>. By accepting the grant of Performance Units, Participant acknowledges that he or she is proficient in reading and understanding English and fully understands the terms of the documents related to the grant (the Award Agreement and the Plan), which were provided in the English language. Participant accepts the terms of those documents accordingly.</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u w:val="single" w:color="auto"/>
          <w:color w:val="auto"/>
        </w:rPr>
        <w:t>Consimtamant cu Privire la Limba</w:t>
      </w:r>
      <w:r>
        <w:rPr>
          <w:rFonts w:ascii="Arial" w:cs="Arial" w:eastAsia="Arial" w:hAnsi="Arial"/>
          <w:sz w:val="22"/>
          <w:szCs w:val="22"/>
          <w:i w:val="1"/>
          <w:iCs w:val="1"/>
          <w:color w:val="auto"/>
        </w:rPr>
        <w:t>. Prin acceptarea acordarii de Performance Unit-uri, Participantul confirma ca acesta sau aceasta are un nivel adecvat de cunoastere in ce priveste cititirea si intelegerea limbii engleze, a citit si confirma ca a inteles pe deplin termenii documentelor</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i w:val="1"/>
          <w:iCs w:val="1"/>
          <w:color w:val="auto"/>
        </w:rPr>
        <w:t>referitoare la acordare (Acordul si Planul), care au fost furnizate in limba engleza. Participantul accepta termenii acestor documente in consecinta.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xml:space="preserve">. If Participant deposits the proceeds from the sale of Shares acquired under the Plan in a bank account in Romania, Participant may be required to provide the Romanian bank with appropriate documentation explaining the source of the funds. </w:t>
      </w:r>
      <w:r>
        <w:rPr>
          <w:rFonts w:ascii="Arial" w:cs="Arial" w:eastAsia="Arial" w:hAnsi="Arial"/>
          <w:sz w:val="22"/>
          <w:szCs w:val="22"/>
          <w:i w:val="1"/>
          <w:iCs w:val="1"/>
          <w:color w:val="auto"/>
        </w:rPr>
        <w:t>Participant should consult with his or her personal legal advisor to ensure compliance with applicable</w:t>
      </w:r>
      <w:r>
        <w:rPr>
          <w:rFonts w:ascii="Arial" w:cs="Arial" w:eastAsia="Arial" w:hAnsi="Arial"/>
          <w:sz w:val="22"/>
          <w:szCs w:val="22"/>
          <w:color w:val="auto"/>
        </w:rPr>
        <w:t xml:space="preserve"> </w:t>
      </w:r>
      <w:r>
        <w:rPr>
          <w:rFonts w:ascii="Arial" w:cs="Arial" w:eastAsia="Arial" w:hAnsi="Arial"/>
          <w:sz w:val="22"/>
          <w:szCs w:val="22"/>
          <w:i w:val="1"/>
          <w:iCs w:val="1"/>
          <w:color w:val="auto"/>
        </w:rPr>
        <w:t>requirements.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Singapore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Restriction on Sale and Transferability</w:t>
      </w:r>
      <w:r>
        <w:rPr>
          <w:rFonts w:ascii="Arial" w:cs="Arial" w:eastAsia="Arial" w:hAnsi="Arial"/>
          <w:sz w:val="22"/>
          <w:szCs w:val="22"/>
          <w:color w:val="auto"/>
        </w:rPr>
        <w:t>. Participant hereby agrees that any Shares acquired under the Plan will not be offered for sale in Singapore prior to the six-month anniversary of the Date of Grant, unless such sale or offer is made pursuant to one or more exemptions under Part XIII Division (1) Subdivision (4) (other than section 280) of the Securities and Futures Act (Chapter 289, 2006 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21"/>
          <w:szCs w:val="21"/>
          <w:u w:val="single" w:color="auto"/>
          <w:color w:val="auto"/>
        </w:rPr>
        <w:t>Securities Law Information</w:t>
      </w:r>
      <w:r>
        <w:rPr>
          <w:rFonts w:ascii="Arial" w:cs="Arial" w:eastAsia="Arial" w:hAnsi="Arial"/>
          <w:sz w:val="21"/>
          <w:szCs w:val="21"/>
          <w:color w:val="auto"/>
        </w:rPr>
        <w:t>. The grant of Performance Units under the Plan is being made pursuant to the “Qualifying Person” exemption under section 273(1)(f) of the SFA, on which basis it is exempt from the prospectus and registration requirements and is not made with a view to the underlying Shares being subsequently offered for sale to any other party. The Plan has not been lodged or registered as a prospectus with the Monetary Authority of Singapore.</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auto"/>
        </w:rPr>
        <w:t>Chief Executive Officer and Director Notification Requirement</w:t>
      </w:r>
      <w:r>
        <w:rPr>
          <w:rFonts w:ascii="Arial" w:cs="Arial" w:eastAsia="Arial" w:hAnsi="Arial"/>
          <w:sz w:val="22"/>
          <w:szCs w:val="22"/>
          <w:color w:val="auto"/>
        </w:rPr>
        <w:t>. If Participant is the Chief Executive Officer (“</w:t>
      </w:r>
      <w:r>
        <w:rPr>
          <w:rFonts w:ascii="Arial" w:cs="Arial" w:eastAsia="Arial" w:hAnsi="Arial"/>
          <w:sz w:val="22"/>
          <w:szCs w:val="22"/>
          <w:u w:val="single" w:color="auto"/>
          <w:color w:val="auto"/>
        </w:rPr>
        <w:t>CEO</w:t>
      </w:r>
      <w:r>
        <w:rPr>
          <w:rFonts w:ascii="Arial" w:cs="Arial" w:eastAsia="Arial" w:hAnsi="Arial"/>
          <w:sz w:val="22"/>
          <w:szCs w:val="22"/>
          <w:color w:val="auto"/>
        </w:rPr>
        <w:t>”) or a director (including an alternate, substitute or shadow director) of a Singapore Subsidiary, Participant must notify the Singapore Subsidiary in writing of an interest (</w:t>
      </w:r>
      <w:r>
        <w:rPr>
          <w:rFonts w:ascii="Arial" w:cs="Arial" w:eastAsia="Arial" w:hAnsi="Arial"/>
          <w:sz w:val="22"/>
          <w:szCs w:val="22"/>
          <w:i w:val="1"/>
          <w:iCs w:val="1"/>
          <w:color w:val="auto"/>
        </w:rPr>
        <w:t>e.g.</w:t>
      </w:r>
      <w:r>
        <w:rPr>
          <w:rFonts w:ascii="Arial" w:cs="Arial" w:eastAsia="Arial" w:hAnsi="Arial"/>
          <w:sz w:val="22"/>
          <w:szCs w:val="22"/>
          <w:color w:val="auto"/>
        </w:rPr>
        <w:t>, Performance Units, Shares, etc.) in the Company or any Subsidiary within two business days of (i) acquiring or disposing of such interest, (ii) any change in a previously disclosed interest (</w:t>
      </w:r>
      <w:r>
        <w:rPr>
          <w:rFonts w:ascii="Arial" w:cs="Arial" w:eastAsia="Arial" w:hAnsi="Arial"/>
          <w:sz w:val="22"/>
          <w:szCs w:val="22"/>
          <w:i w:val="1"/>
          <w:iCs w:val="1"/>
          <w:color w:val="auto"/>
        </w:rPr>
        <w:t>e.g.</w:t>
      </w:r>
      <w:r>
        <w:rPr>
          <w:rFonts w:ascii="Arial" w:cs="Arial" w:eastAsia="Arial" w:hAnsi="Arial"/>
          <w:sz w:val="22"/>
          <w:szCs w:val="22"/>
          <w:color w:val="auto"/>
        </w:rPr>
        <w:t>, sale of Shares), or (iii) becoming the CEO or a director.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spain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Nature of Grant</w:t>
      </w:r>
      <w:r>
        <w:rPr>
          <w:rFonts w:ascii="Arial" w:cs="Arial" w:eastAsia="Arial" w:hAnsi="Arial"/>
          <w:sz w:val="22"/>
          <w:szCs w:val="22"/>
          <w:color w:val="auto"/>
        </w:rPr>
        <w:t>. The following provision supplements Section 11 of the Award Agreement:</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By accepting the Performance Units, Participant consents to participation in the Plan and acknowledges that he or she has received a copy of the Plan. Participant understands that the Company has unilaterally, gratuitously and discretionally decided to grant Performance Units under the Plan to individuals who may be employees of the Company or of a Parent or Subsidiary throughout the world. This decision is a limited decision that is entered into upon the express assumption and condition that any grant will not bind the Company or any Parent or Subsidiary other than as expressly set forth in the Award Agreement. Consequently, Participant understands that the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348"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0"/>
          <w:szCs w:val="10"/>
          <w:color w:val="auto"/>
        </w:rPr>
        <w:t>#93246645v2</w:t>
      </w:r>
    </w:p>
    <w:p>
      <w:pPr>
        <w:sectPr>
          <w:pgSz w:w="11900" w:h="16838" w:orient="portrait"/>
          <w:cols w:equalWidth="0" w:num="1">
            <w:col w:w="11240"/>
          </w:cols>
          <w:pgMar w:left="320" w:top="348" w:right="339" w:bottom="1440" w:gutter="0" w:footer="0" w:header="0"/>
          <w:type w:val="continuous"/>
        </w:sectPr>
      </w:pPr>
    </w:p>
    <w:bookmarkStart w:id="102" w:name="page103"/>
    <w:bookmarkEnd w:id="102"/>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Performance Units are granted on the assumption and condition that the Performance Units and any Shares acquired under the Plan are not part of any employment or service contract (either with the Company or with any Parent or Subsidiary) and shall not be considered a mandatory benefit or salary for any purpose (including severance compensation) or any other right whatsoever. Further, Participant understands and agrees that, unless otherwise expressly provided for by the Company or set forth in the Plan or the Award Agreement, the Performance Units will be cancelled without entitlement to any Shares underlying the Performance Units if Participant’s status as a Service Provider is terminated for any reason, including, but not limited to: resignation, retirement, disciplinary dismissal adjudged to be with cause, disciplinary dismissal adjudged or recognized to be without good cause (</w:t>
      </w:r>
      <w:r>
        <w:rPr>
          <w:rFonts w:ascii="Arial" w:cs="Arial" w:eastAsia="Arial" w:hAnsi="Arial"/>
          <w:sz w:val="19"/>
          <w:szCs w:val="19"/>
          <w:i w:val="1"/>
          <w:iCs w:val="1"/>
          <w:color w:val="auto"/>
        </w:rPr>
        <w:t>i.e.,</w:t>
      </w:r>
      <w:r>
        <w:rPr>
          <w:rFonts w:ascii="Arial" w:cs="Arial" w:eastAsia="Arial" w:hAnsi="Arial"/>
          <w:sz w:val="19"/>
          <w:szCs w:val="19"/>
          <w:color w:val="auto"/>
        </w:rPr>
        <w:t xml:space="preserve">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material modification of the terms of employment under Article 41 of the Workers’ Statute, relocation under Article 40 of the Workers’ Statute, Article 50 of the Workers’ Statute, or under Article 10.3 of Royal Decree 1382/1985.</w:t>
      </w:r>
    </w:p>
    <w:p>
      <w:pPr>
        <w:spacing w:after="0" w:line="200" w:lineRule="exact"/>
        <w:rPr>
          <w:sz w:val="20"/>
          <w:szCs w:val="20"/>
          <w:color w:val="auto"/>
        </w:rPr>
      </w:pP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Participant understands that this grant would not be made to Participant but for the assumptions and conditions referred to above; thus, Participant acknowledges and freely accepts that, should any or all of the assumptions be mistaken or should any of the conditions not be met for any reason, then any grant of, or right to, the Performance Units shall be null and void.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xml:space="preserve">. The grant of Performance Units described in the Award Agreement does not qualify under Spanish regulations as a security. No “offer of securities to the public,” as defined under Spanish law, has taken place or will take place in the Spanish territory in connection with the grant of the Performance Units. The Award Agreement has not been, nor will it be, registered with the </w:t>
      </w:r>
      <w:r>
        <w:rPr>
          <w:rFonts w:ascii="Arial" w:cs="Arial" w:eastAsia="Arial" w:hAnsi="Arial"/>
          <w:sz w:val="19"/>
          <w:szCs w:val="19"/>
          <w:i w:val="1"/>
          <w:iCs w:val="1"/>
          <w:color w:val="auto"/>
        </w:rPr>
        <w:t>Comisión Nacional del Mercado de Valores</w:t>
      </w:r>
      <w:r>
        <w:rPr>
          <w:rFonts w:ascii="Arial" w:cs="Arial" w:eastAsia="Arial" w:hAnsi="Arial"/>
          <w:sz w:val="19"/>
          <w:szCs w:val="19"/>
          <w:color w:val="auto"/>
        </w:rPr>
        <w:t>, and does not constitute a public offering or prospectus.</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color w:val="auto"/>
        </w:rPr>
        <w:t xml:space="preserve">. Participant must declare the acquisition, ownership and disposition of Shares to the </w:t>
      </w:r>
      <w:r>
        <w:rPr>
          <w:rFonts w:ascii="Arial" w:cs="Arial" w:eastAsia="Arial" w:hAnsi="Arial"/>
          <w:sz w:val="21"/>
          <w:szCs w:val="21"/>
          <w:i w:val="1"/>
          <w:iCs w:val="1"/>
          <w:color w:val="auto"/>
        </w:rPr>
        <w:t>Dirección</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General de Comercio e Inversiones </w:t>
      </w:r>
      <w:r>
        <w:rPr>
          <w:rFonts w:ascii="Arial" w:cs="Arial" w:eastAsia="Arial" w:hAnsi="Arial"/>
          <w:sz w:val="21"/>
          <w:szCs w:val="21"/>
          <w:color w:val="auto"/>
        </w:rPr>
        <w:t>of the Ministry of Economy and Competitiveness (the “</w:t>
      </w:r>
      <w:r>
        <w:rPr>
          <w:rFonts w:ascii="Arial" w:cs="Arial" w:eastAsia="Arial" w:hAnsi="Arial"/>
          <w:sz w:val="21"/>
          <w:szCs w:val="21"/>
          <w:u w:val="single" w:color="auto"/>
          <w:color w:val="auto"/>
        </w:rPr>
        <w:t>DGCI</w:t>
      </w:r>
      <w:r>
        <w:rPr>
          <w:rFonts w:ascii="Arial" w:cs="Arial" w:eastAsia="Arial" w:hAnsi="Arial"/>
          <w:sz w:val="21"/>
          <w:szCs w:val="21"/>
          <w:color w:val="auto"/>
        </w:rPr>
        <w:t>”) on a Form D-6. Generally,</w:t>
      </w:r>
      <w:r>
        <w:rPr>
          <w:rFonts w:ascii="Arial" w:cs="Arial" w:eastAsia="Arial" w:hAnsi="Arial"/>
          <w:sz w:val="21"/>
          <w:szCs w:val="21"/>
          <w:i w:val="1"/>
          <w:iCs w:val="1"/>
          <w:color w:val="auto"/>
        </w:rPr>
        <w:t xml:space="preserve"> </w:t>
      </w:r>
      <w:r>
        <w:rPr>
          <w:rFonts w:ascii="Arial" w:cs="Arial" w:eastAsia="Arial" w:hAnsi="Arial"/>
          <w:sz w:val="21"/>
          <w:szCs w:val="21"/>
          <w:color w:val="auto"/>
        </w:rPr>
        <w:t>the declaration must be made in January for Shares owned as of December 31 of the prior year and/or Shares acquired or disposed of during the prior year; however, if the value of the Shares acquired or disposed of or the amount of the sale proceeds exceeds €1,502,530 (or if Participant holds 10% or more of the share capital of the Company), the declaration must be filed within one month of the acquisition or disposition, as applicable.</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addition, Participant may be required to electronically declare to the Bank of Spain any foreign accounts (including brokerage accounts held abroad), any foreign instruments (including Shares acquired under the Plan), and any transactions with non-Spanish residents (including any payments of Shares made pursuant to the Plan), depending on the balances in such accounts together with the value of such instruments as of December 31 of the relevant year, or the volume of transactions with non-Spanish residents during the relevant year.</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Foreign Asset and Account Reporting Information</w:t>
      </w:r>
      <w:r>
        <w:rPr>
          <w:rFonts w:ascii="Arial" w:cs="Arial" w:eastAsia="Arial" w:hAnsi="Arial"/>
          <w:sz w:val="22"/>
          <w:szCs w:val="22"/>
          <w:color w:val="auto"/>
        </w:rPr>
        <w:t>. To the extent that Participant holds rights or assets (</w:t>
      </w:r>
      <w:r>
        <w:rPr>
          <w:rFonts w:ascii="Arial" w:cs="Arial" w:eastAsia="Arial" w:hAnsi="Arial"/>
          <w:sz w:val="22"/>
          <w:szCs w:val="22"/>
          <w:i w:val="1"/>
          <w:iCs w:val="1"/>
          <w:color w:val="auto"/>
        </w:rPr>
        <w:t>e.g.,</w:t>
      </w:r>
      <w:r>
        <w:rPr>
          <w:rFonts w:ascii="Arial" w:cs="Arial" w:eastAsia="Arial" w:hAnsi="Arial"/>
          <w:sz w:val="22"/>
          <w:szCs w:val="22"/>
          <w:color w:val="auto"/>
        </w:rPr>
        <w:t xml:space="preserve"> cash or Shares held in a bank or brokerage account) outside of Spain with a value in excess of €50,000 per type of right or asset as of December 31 each year (or at any time during the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year in which Participant sells or disposes of such rights or assets), Participant is required to report information on such rights and assets on his or her tax return for such year. After such rights or assets are initially reported, the reporting obligation will only apply for subsequent years if the value of any previously reported rights or assets increases by more than €20,000. </w:t>
      </w:r>
      <w:r>
        <w:rPr>
          <w:rFonts w:ascii="Arial" w:cs="Arial" w:eastAsia="Arial" w:hAnsi="Arial"/>
          <w:sz w:val="19"/>
          <w:szCs w:val="19"/>
          <w:i w:val="1"/>
          <w:iCs w:val="1"/>
          <w:color w:val="auto"/>
        </w:rPr>
        <w:t>Participant</w:t>
      </w:r>
      <w:r>
        <w:rPr>
          <w:rFonts w:ascii="Arial" w:cs="Arial" w:eastAsia="Arial" w:hAnsi="Arial"/>
          <w:sz w:val="19"/>
          <w:szCs w:val="19"/>
          <w:color w:val="auto"/>
        </w:rPr>
        <w:t xml:space="preserve"> </w:t>
      </w:r>
      <w:r>
        <w:rPr>
          <w:rFonts w:ascii="Arial" w:cs="Arial" w:eastAsia="Arial" w:hAnsi="Arial"/>
          <w:sz w:val="19"/>
          <w:szCs w:val="19"/>
          <w:i w:val="1"/>
          <w:iCs w:val="1"/>
          <w:color w:val="auto"/>
        </w:rPr>
        <w:t>should consult with his or her personal tax advisor to ensure compliance with applicable reporting requirements.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SWEDEN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taiwan</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Notifications</w:t>
      </w: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offer of participation in the Plan is available only for Service Providers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 and any Parent or Subsidiary. The offer of participation in the Plan is not a public offer of securities by a Taiwanese company.</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color w:val="auto"/>
        </w:rPr>
        <w:t xml:space="preserve">. The acquisition or conversion of foreign currency and the remittance of such amounts (including proceeds from the sale of Shares) to Taiwan may trigger certain annual or periodic exchange control reporting. If the transaction amount is TWD500,000 or more in a single transaction, Participant may be required to submit a Foreign Exchange Transaction Form and provide supporting documentation to the satisfaction of the remitting bank. </w:t>
      </w:r>
      <w:r>
        <w:rPr>
          <w:rFonts w:ascii="Arial" w:cs="Arial" w:eastAsia="Arial" w:hAnsi="Arial"/>
          <w:sz w:val="21"/>
          <w:szCs w:val="21"/>
          <w:i w:val="1"/>
          <w:iCs w:val="1"/>
          <w:color w:val="auto"/>
        </w:rPr>
        <w:t>Participant should consult his or her</w:t>
      </w:r>
      <w:r>
        <w:rPr>
          <w:rFonts w:ascii="Arial" w:cs="Arial" w:eastAsia="Arial" w:hAnsi="Arial"/>
          <w:sz w:val="21"/>
          <w:szCs w:val="21"/>
          <w:color w:val="auto"/>
        </w:rPr>
        <w:t xml:space="preserve"> </w:t>
      </w:r>
      <w:r>
        <w:rPr>
          <w:rFonts w:ascii="Arial" w:cs="Arial" w:eastAsia="Arial" w:hAnsi="Arial"/>
          <w:sz w:val="21"/>
          <w:szCs w:val="21"/>
          <w:i w:val="1"/>
          <w:iCs w:val="1"/>
          <w:color w:val="auto"/>
        </w:rPr>
        <w:t>personal legal advisor to ensure compliance with applicable exchange control laws in Taiwan.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ARAB EMIRATES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 w:lineRule="exact"/>
        <w:rPr>
          <w:sz w:val="20"/>
          <w:szCs w:val="20"/>
          <w:color w:val="auto"/>
        </w:rPr>
      </w:pPr>
    </w:p>
    <w:p>
      <w:pPr>
        <w:jc w:val="both"/>
        <w:spacing w:after="0" w:line="244"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offer of Performance Units is available only for select employees of the Company and its Subsidiaries and is in the nature of providing employee incentives in the United Arab Emirates. The Plan and the Award Agreement are intended for distribution only to such employees and must not be delivered to, or relied on by any other person. Prospective purchasers of securities should conduct their own due diligence.</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Emirates Securities and Commodities Authority has no responsibility for reviewing or verifying any documents in connection with this statement, including the Plan and the Award Agreement, or any other incidental communication materials distributions in connection with the Performance Units. Further, neither the Ministry of Economy nor the Dubai Department of Economic Development has approved this statement nor taken steps to verify the information set out in it, and has no responsibility for it. Residents of the United Arab Emirates who have questions regarding the contents of the Plan and the Award Agreement should obtain independent professional advice.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104" w:name="page105"/>
    <w:bookmarkEnd w:id="104"/>
    <w:p>
      <w:pPr>
        <w:ind w:left="10180"/>
        <w:spacing w:after="0"/>
        <w:rPr>
          <w:sz w:val="20"/>
          <w:szCs w:val="20"/>
          <w:color w:val="auto"/>
        </w:rPr>
      </w:pPr>
      <w:r>
        <w:rPr>
          <w:rFonts w:ascii="Arial" w:cs="Arial" w:eastAsia="Arial" w:hAnsi="Arial"/>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The following provision supplements Section 2 and 4 of the Award Agreement: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Notwithstanding any discretion contained in the Plan or the Award Agreement, the Performance Units will not be settled in cash or a combination of cash and Shares. The Performance Units will be settled only in Shares.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Responsibility for Taxes</w:t>
      </w:r>
      <w:r>
        <w:rPr>
          <w:rFonts w:ascii="Arial" w:cs="Arial" w:eastAsia="Arial" w:hAnsi="Arial"/>
          <w:sz w:val="22"/>
          <w:szCs w:val="22"/>
          <w:color w:val="auto"/>
        </w:rPr>
        <w:t>. The following provision supplements Section 8 of the Award Agreement:</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Without limitation to this Section 8, Participant hereby agrees that he or she is liable for any Tax Obligation related to his or her participation in the Plan and hereby covenants to pay such Tax Obligation, as and when requested by the Company or (if different) the Service Recipient or by Her Majesty’s Revenue &amp; Customs (“</w:t>
      </w:r>
      <w:r>
        <w:rPr>
          <w:rFonts w:ascii="Arial" w:cs="Arial" w:eastAsia="Arial" w:hAnsi="Arial"/>
          <w:sz w:val="21"/>
          <w:szCs w:val="21"/>
          <w:u w:val="single" w:color="auto"/>
          <w:color w:val="auto"/>
        </w:rPr>
        <w:t>HMRC</w:t>
      </w:r>
      <w:r>
        <w:rPr>
          <w:rFonts w:ascii="Arial" w:cs="Arial" w:eastAsia="Arial" w:hAnsi="Arial"/>
          <w:sz w:val="21"/>
          <w:szCs w:val="21"/>
          <w:color w:val="auto"/>
        </w:rPr>
        <w:t>”) (or any other tax authority or any other relevant authority). Participant also hereby agrees to indemnify and keep indemnified the Company and (if different) the Service Recipient against any Tax-Related Items that they are required to pay or withhold or have paid or will pay to HMRC (or any other tax authority or any other relevant authority) on Participant’s behalf.</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Notwithstanding the foregoing, if Participant is a director or executive officer of the Company (within the meaning of Section 13(k) of the Exchange Act), Participant understands that the foregoing provision will not apply. Instead, any Tax Obligation not collected or paid may constitute a benefit to Participant on which additional income tax and National Insurance Contributions (“</w:t>
      </w:r>
      <w:r>
        <w:rPr>
          <w:rFonts w:ascii="Arial" w:cs="Arial" w:eastAsia="Arial" w:hAnsi="Arial"/>
          <w:sz w:val="21"/>
          <w:szCs w:val="21"/>
          <w:u w:val="single" w:color="auto"/>
          <w:color w:val="auto"/>
        </w:rPr>
        <w:t>NICs</w:t>
      </w:r>
      <w:r>
        <w:rPr>
          <w:rFonts w:ascii="Arial" w:cs="Arial" w:eastAsia="Arial" w:hAnsi="Arial"/>
          <w:sz w:val="21"/>
          <w:szCs w:val="21"/>
          <w:color w:val="auto"/>
        </w:rPr>
        <w:t>”) may be payable. Participant understands that he or she will be responsible for reporting and paying any income tax due on this additional benefit directly to HMRC under the self-assessment regime and for paying to the Company and/or the Service Recipient (as appropriate) the amount of any employee NICs due on this additional benefit, which can be recovered by any means set out in the Award Agreement.</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9"/>
          <w:szCs w:val="19"/>
          <w:u w:val="single" w:color="auto"/>
          <w:color w:val="auto"/>
        </w:rPr>
        <w:t>National Insurance Contribution Joint Election</w:t>
      </w:r>
      <w:r>
        <w:rPr>
          <w:rFonts w:ascii="Arial" w:cs="Arial" w:eastAsia="Arial" w:hAnsi="Arial"/>
          <w:sz w:val="19"/>
          <w:szCs w:val="19"/>
          <w:color w:val="auto"/>
        </w:rPr>
        <w:t>. If Participant is a tax resident in the United Kingdom, the grant of the Performance Units is conditional upon Participant’s agreement to accept liability for any secondary Class 1 national insurance contributions, which may be payable by the Employer in connection with any event giving rise to tax liability in relation to the Performance Units (“</w:t>
      </w:r>
      <w:r>
        <w:rPr>
          <w:rFonts w:ascii="Arial" w:cs="Arial" w:eastAsia="Arial" w:hAnsi="Arial"/>
          <w:sz w:val="19"/>
          <w:szCs w:val="19"/>
          <w:u w:val="single" w:color="auto"/>
          <w:color w:val="auto"/>
        </w:rPr>
        <w:t>Employer NICs</w:t>
      </w:r>
      <w:r>
        <w:rPr>
          <w:rFonts w:ascii="Arial" w:cs="Arial" w:eastAsia="Arial" w:hAnsi="Arial"/>
          <w:sz w:val="19"/>
          <w:szCs w:val="19"/>
          <w:color w:val="auto"/>
        </w:rPr>
        <w:t>”). The Employer NICs may be collected by the Company or the Employer using any of the methods described in the Award Agreement. Without prejudice to the foregoing, Participant agrees to execute a joint election with the Company or the Employer (a “</w:t>
      </w:r>
      <w:r>
        <w:rPr>
          <w:rFonts w:ascii="Arial" w:cs="Arial" w:eastAsia="Arial" w:hAnsi="Arial"/>
          <w:sz w:val="19"/>
          <w:szCs w:val="19"/>
          <w:u w:val="single" w:color="auto"/>
          <w:color w:val="auto"/>
        </w:rPr>
        <w:t>NICs Joint Election</w:t>
      </w:r>
      <w:r>
        <w:rPr>
          <w:rFonts w:ascii="Arial" w:cs="Arial" w:eastAsia="Arial" w:hAnsi="Arial"/>
          <w:sz w:val="19"/>
          <w:szCs w:val="19"/>
          <w:color w:val="auto"/>
        </w:rPr>
        <w:t>”), the form of such NICs Joint Election being formally approved by HMRC, and any other consent or elections required to accomplish the transfer of the Employer NICs to Participant. Participant further agrees to execute such other elections as may be required by any successor to the Company and/or the Employer for the purpose of continuing the effectiveness of Participant’s NICs Joint Election. If Participant does not complete the Joint Election prior to the Performance Units vesting, or if approval of the NICs Joint Election is withdrawn by HMRC and a new NICs Joint Election is not entered into, Participant’s Performance Units shall become null and void and may not be settled, without any liability to the Company or its Subsidiaries. Participant must enter into the NICs Joint Election attached to the Award Agreement as Exhibit B concurrent with the execution of the Award Agreement or at such subsequent time as may be designated by the Company.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12</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0580"/>
          </w:cols>
          <w:pgMar w:left="980" w:top="348"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060"/>
        <w:spacing w:after="0"/>
        <w:rPr>
          <w:sz w:val="20"/>
          <w:szCs w:val="20"/>
          <w:color w:val="auto"/>
        </w:rPr>
      </w:pPr>
      <w:r>
        <w:rPr>
          <w:rFonts w:ascii="Arial" w:cs="Arial" w:eastAsia="Arial" w:hAnsi="Arial"/>
          <w:sz w:val="22"/>
          <w:szCs w:val="22"/>
          <w:b w:val="1"/>
          <w:bCs w:val="1"/>
          <w:u w:val="single" w:color="auto"/>
          <w:color w:val="auto"/>
        </w:rPr>
        <w:t>EXHIBIT B</w:t>
      </w:r>
    </w:p>
    <w:p>
      <w:pPr>
        <w:spacing w:after="0" w:line="220"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NICs JOINT ELECTION FOR U.K. PARTICIPANTS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Important Note on the Election to Transfer Employer NICs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you are liable for National Insurance contributions (“</w:t>
      </w:r>
      <w:r>
        <w:rPr>
          <w:rFonts w:ascii="Arial" w:cs="Arial" w:eastAsia="Arial" w:hAnsi="Arial"/>
          <w:sz w:val="22"/>
          <w:szCs w:val="22"/>
          <w:u w:val="single" w:color="auto"/>
          <w:color w:val="auto"/>
        </w:rPr>
        <w:t>NICs</w:t>
      </w:r>
      <w:r>
        <w:rPr>
          <w:rFonts w:ascii="Arial" w:cs="Arial" w:eastAsia="Arial" w:hAnsi="Arial"/>
          <w:sz w:val="22"/>
          <w:szCs w:val="22"/>
          <w:color w:val="auto"/>
        </w:rPr>
        <w:t>”) in the UK in connection with your participation in the CrowdStrike Holdings, Inc. 2019 Equity Incentive Plan, you are required to enter into an Election to transfer to you any liability for employer’s NICs that may arise in connection with your participation in the Plan.</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Clicking on the “ACCEPT” box indicates your acceptance of the Election to Transfer Employer NICs. You should read this important note and the Election in their entirety before accepting the Election. Please print and keep a copy of the Election for your records.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By entering into the Election:</w:t>
      </w:r>
    </w:p>
    <w:p>
      <w:pPr>
        <w:spacing w:after="0" w:line="220" w:lineRule="exact"/>
        <w:rPr>
          <w:sz w:val="20"/>
          <w:szCs w:val="20"/>
          <w:color w:val="auto"/>
        </w:rPr>
      </w:pPr>
    </w:p>
    <w:p>
      <w:pPr>
        <w:ind w:left="660" w:hanging="328"/>
        <w:spacing w:after="0" w:line="263" w:lineRule="auto"/>
        <w:tabs>
          <w:tab w:leader="none" w:pos="655" w:val="left"/>
        </w:tabs>
        <w:numPr>
          <w:ilvl w:val="0"/>
          <w:numId w:val="52"/>
        </w:numPr>
        <w:rPr>
          <w:rFonts w:ascii="Arial" w:cs="Arial" w:eastAsia="Arial" w:hAnsi="Arial"/>
          <w:sz w:val="22"/>
          <w:szCs w:val="22"/>
          <w:color w:val="auto"/>
        </w:rPr>
      </w:pPr>
      <w:r>
        <w:rPr>
          <w:rFonts w:ascii="Arial" w:cs="Arial" w:eastAsia="Arial" w:hAnsi="Arial"/>
          <w:sz w:val="22"/>
          <w:szCs w:val="22"/>
          <w:color w:val="auto"/>
        </w:rPr>
        <w:t>you agree that any employer’s NICs liability that may arise in connection with your participation in the Plan will be transferred to you;</w:t>
      </w:r>
    </w:p>
    <w:p>
      <w:pPr>
        <w:spacing w:after="0" w:line="174" w:lineRule="exact"/>
        <w:rPr>
          <w:rFonts w:ascii="Arial" w:cs="Arial" w:eastAsia="Arial" w:hAnsi="Arial"/>
          <w:sz w:val="22"/>
          <w:szCs w:val="22"/>
          <w:color w:val="auto"/>
        </w:rPr>
      </w:pPr>
    </w:p>
    <w:p>
      <w:pPr>
        <w:jc w:val="both"/>
        <w:ind w:left="660" w:hanging="328"/>
        <w:spacing w:after="0" w:line="253" w:lineRule="auto"/>
        <w:tabs>
          <w:tab w:leader="none" w:pos="655" w:val="left"/>
        </w:tabs>
        <w:numPr>
          <w:ilvl w:val="0"/>
          <w:numId w:val="52"/>
        </w:numPr>
        <w:rPr>
          <w:rFonts w:ascii="Arial" w:cs="Arial" w:eastAsia="Arial" w:hAnsi="Arial"/>
          <w:sz w:val="22"/>
          <w:szCs w:val="22"/>
          <w:color w:val="auto"/>
        </w:rPr>
      </w:pPr>
      <w:r>
        <w:rPr>
          <w:rFonts w:ascii="Arial" w:cs="Arial" w:eastAsia="Arial" w:hAnsi="Arial"/>
          <w:sz w:val="22"/>
          <w:szCs w:val="22"/>
          <w:color w:val="auto"/>
        </w:rPr>
        <w:t>you authorise your employer to recover an amount sufficient to cover this liability by such methods including, but not limited to, deductions from your salary or other payments due or the sale of sufficient shares acquired pursuant to your awards; and</w:t>
      </w:r>
    </w:p>
    <w:p>
      <w:pPr>
        <w:spacing w:after="0" w:line="185" w:lineRule="exact"/>
        <w:rPr>
          <w:rFonts w:ascii="Arial" w:cs="Arial" w:eastAsia="Arial" w:hAnsi="Arial"/>
          <w:sz w:val="22"/>
          <w:szCs w:val="22"/>
          <w:color w:val="auto"/>
        </w:rPr>
      </w:pPr>
    </w:p>
    <w:p>
      <w:pPr>
        <w:ind w:left="660" w:right="20" w:hanging="328"/>
        <w:spacing w:after="0" w:line="263" w:lineRule="auto"/>
        <w:tabs>
          <w:tab w:leader="none" w:pos="655" w:val="left"/>
        </w:tabs>
        <w:numPr>
          <w:ilvl w:val="0"/>
          <w:numId w:val="52"/>
        </w:numPr>
        <w:rPr>
          <w:rFonts w:ascii="Arial" w:cs="Arial" w:eastAsia="Arial" w:hAnsi="Arial"/>
          <w:sz w:val="22"/>
          <w:szCs w:val="22"/>
          <w:color w:val="auto"/>
        </w:rPr>
      </w:pPr>
      <w:r>
        <w:rPr>
          <w:rFonts w:ascii="Arial" w:cs="Arial" w:eastAsia="Arial" w:hAnsi="Arial"/>
          <w:sz w:val="22"/>
          <w:szCs w:val="22"/>
          <w:color w:val="auto"/>
        </w:rPr>
        <w:t>you acknowledge that the Company or your employer may require you to sign a paper copy of this Election (or a substantially similar form) if the Company determines such is necessary to give effect to the Election.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CrowdStrike Holdings, Inc.</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2019 EQUITY Incentive Plan</w:t>
      </w:r>
    </w:p>
    <w:p>
      <w:pPr>
        <w:spacing w:after="0" w:line="220" w:lineRule="exact"/>
        <w:rPr>
          <w:sz w:val="20"/>
          <w:szCs w:val="20"/>
          <w:color w:val="auto"/>
        </w:rPr>
      </w:pPr>
    </w:p>
    <w:p>
      <w:pPr>
        <w:ind w:left="1860"/>
        <w:spacing w:after="0"/>
        <w:rPr>
          <w:sz w:val="20"/>
          <w:szCs w:val="20"/>
          <w:color w:val="auto"/>
        </w:rPr>
      </w:pPr>
      <w:r>
        <w:rPr>
          <w:rFonts w:ascii="Arial" w:cs="Arial" w:eastAsia="Arial" w:hAnsi="Arial"/>
          <w:sz w:val="22"/>
          <w:szCs w:val="22"/>
          <w:b w:val="1"/>
          <w:bCs w:val="1"/>
          <w:u w:val="single" w:color="auto"/>
          <w:color w:val="auto"/>
        </w:rPr>
        <w:t>Election to Transfer the Employer’s National Insurance Liability to the Employee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This Election is between: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The individual who has obtained authorised access to this Election (the “</w:t>
      </w:r>
      <w:r>
        <w:rPr>
          <w:rFonts w:ascii="Arial" w:cs="Arial" w:eastAsia="Arial" w:hAnsi="Arial"/>
          <w:sz w:val="22"/>
          <w:szCs w:val="22"/>
          <w:u w:val="single" w:color="auto"/>
          <w:color w:val="auto"/>
        </w:rPr>
        <w:t>Employee</w:t>
      </w:r>
      <w:r>
        <w:rPr>
          <w:rFonts w:ascii="Arial" w:cs="Arial" w:eastAsia="Arial" w:hAnsi="Arial"/>
          <w:sz w:val="22"/>
          <w:szCs w:val="22"/>
          <w:color w:val="auto"/>
        </w:rPr>
        <w:t>”), and</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B. CrowdStrike Holdings, Inc., 150 Mathilda Place, Suite 300, Sunnyvale, California 94086, United States of America (the “</w:t>
      </w:r>
      <w:r>
        <w:rPr>
          <w:rFonts w:ascii="Arial" w:cs="Arial" w:eastAsia="Arial" w:hAnsi="Arial"/>
          <w:sz w:val="22"/>
          <w:szCs w:val="22"/>
          <w:u w:val="single" w:color="auto"/>
          <w:color w:val="auto"/>
        </w:rPr>
        <w:t>Company</w:t>
      </w:r>
      <w:r>
        <w:rPr>
          <w:rFonts w:ascii="Arial" w:cs="Arial" w:eastAsia="Arial" w:hAnsi="Arial"/>
          <w:sz w:val="22"/>
          <w:szCs w:val="22"/>
          <w:color w:val="auto"/>
        </w:rPr>
        <w:t>”), which may grant Performance Units (“</w:t>
      </w:r>
      <w:r>
        <w:rPr>
          <w:rFonts w:ascii="Arial" w:cs="Arial" w:eastAsia="Arial" w:hAnsi="Arial"/>
          <w:sz w:val="22"/>
          <w:szCs w:val="22"/>
          <w:u w:val="single" w:color="auto"/>
          <w:color w:val="auto"/>
        </w:rPr>
        <w:t>Awards</w:t>
      </w:r>
      <w:r>
        <w:rPr>
          <w:rFonts w:ascii="Arial" w:cs="Arial" w:eastAsia="Arial" w:hAnsi="Arial"/>
          <w:sz w:val="22"/>
          <w:szCs w:val="22"/>
          <w:color w:val="auto"/>
        </w:rPr>
        <w:t>”) under the CrowdStrike Holdings, Inc. 2019 Equity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and is entering into this Election on behalf of one of the employer companies listed in the attached schedule (the “</w:t>
      </w:r>
      <w:r>
        <w:rPr>
          <w:rFonts w:ascii="Arial" w:cs="Arial" w:eastAsia="Arial" w:hAnsi="Arial"/>
          <w:sz w:val="22"/>
          <w:szCs w:val="22"/>
          <w:u w:val="single" w:color="auto"/>
          <w:color w:val="auto"/>
        </w:rPr>
        <w:t>Employer</w:t>
      </w:r>
      <w:r>
        <w:rPr>
          <w:rFonts w:ascii="Arial" w:cs="Arial" w:eastAsia="Arial" w:hAnsi="Arial"/>
          <w:sz w:val="22"/>
          <w:szCs w:val="22"/>
          <w:color w:val="auto"/>
        </w:rPr>
        <w:t>”).</w:t>
      </w:r>
    </w:p>
    <w:p>
      <w:pPr>
        <w:spacing w:after="0" w:line="182"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226" w:lineRule="exact"/>
        <w:rPr>
          <w:sz w:val="20"/>
          <w:szCs w:val="20"/>
          <w:color w:val="auto"/>
        </w:rPr>
      </w:pPr>
    </w:p>
    <w:p>
      <w:pPr>
        <w:ind w:left="660" w:hanging="652"/>
        <w:spacing w:after="0" w:line="263" w:lineRule="auto"/>
        <w:tabs>
          <w:tab w:leader="none" w:pos="561"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This Election relates to all Awards granted to the Employee under the Plan from the date it is entered up to the termination date of the Plan.</w:t>
      </w:r>
    </w:p>
    <w:p>
      <w:pPr>
        <w:spacing w:after="0" w:line="174" w:lineRule="exact"/>
        <w:rPr>
          <w:rFonts w:ascii="Arial" w:cs="Arial" w:eastAsia="Arial" w:hAnsi="Arial"/>
          <w:sz w:val="22"/>
          <w:szCs w:val="22"/>
          <w:color w:val="auto"/>
        </w:rPr>
      </w:pPr>
    </w:p>
    <w:p>
      <w:pPr>
        <w:ind w:left="560" w:hanging="552"/>
        <w:spacing w:after="0"/>
        <w:tabs>
          <w:tab w:leader="none" w:pos="5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In this Election, the following words and phrases have the following meanings:</w:t>
      </w:r>
    </w:p>
    <w:p>
      <w:pPr>
        <w:spacing w:after="0" w:line="219" w:lineRule="exact"/>
        <w:rPr>
          <w:rFonts w:ascii="Arial" w:cs="Arial" w:eastAsia="Arial" w:hAnsi="Arial"/>
          <w:sz w:val="22"/>
          <w:szCs w:val="22"/>
          <w:color w:val="auto"/>
        </w:rPr>
      </w:pPr>
    </w:p>
    <w:p>
      <w:pPr>
        <w:ind w:left="1360" w:hanging="908"/>
        <w:spacing w:after="0"/>
        <w:tabs>
          <w:tab w:leader="none" w:pos="1360" w:val="left"/>
        </w:tabs>
        <w:numPr>
          <w:ilvl w:val="1"/>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ITEPA</w:t>
      </w:r>
      <w:r>
        <w:rPr>
          <w:rFonts w:ascii="Arial" w:cs="Arial" w:eastAsia="Arial" w:hAnsi="Arial"/>
          <w:sz w:val="22"/>
          <w:szCs w:val="22"/>
          <w:color w:val="auto"/>
        </w:rPr>
        <w:t>” means the Income Tax (Earnings and Pensions) Act 2003.</w:t>
      </w:r>
    </w:p>
    <w:p>
      <w:pPr>
        <w:spacing w:after="0" w:line="219" w:lineRule="exact"/>
        <w:rPr>
          <w:rFonts w:ascii="Arial" w:cs="Arial" w:eastAsia="Arial" w:hAnsi="Arial"/>
          <w:sz w:val="22"/>
          <w:szCs w:val="22"/>
          <w:color w:val="auto"/>
        </w:rPr>
      </w:pPr>
    </w:p>
    <w:p>
      <w:pPr>
        <w:ind w:left="1300" w:right="20" w:hanging="907"/>
        <w:spacing w:after="0" w:line="263" w:lineRule="auto"/>
        <w:tabs>
          <w:tab w:leader="none" w:pos="1300" w:val="left"/>
        </w:tabs>
        <w:numPr>
          <w:ilvl w:val="1"/>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Employment Income</w:t>
      </w:r>
      <w:r>
        <w:rPr>
          <w:rFonts w:ascii="Arial" w:cs="Arial" w:eastAsia="Arial" w:hAnsi="Arial"/>
          <w:sz w:val="22"/>
          <w:szCs w:val="22"/>
          <w:color w:val="auto"/>
        </w:rPr>
        <w:t>” from Awards on which employer’s National Insurance Contributions become due is defined as:</w:t>
      </w:r>
    </w:p>
    <w:p>
      <w:pPr>
        <w:spacing w:after="0" w:line="174" w:lineRule="exact"/>
        <w:rPr>
          <w:rFonts w:ascii="Arial" w:cs="Arial" w:eastAsia="Arial" w:hAnsi="Arial"/>
          <w:sz w:val="22"/>
          <w:szCs w:val="22"/>
          <w:color w:val="auto"/>
        </w:rPr>
      </w:pPr>
    </w:p>
    <w:p>
      <w:pPr>
        <w:ind w:left="1960" w:right="20" w:hanging="656"/>
        <w:spacing w:after="0" w:line="263" w:lineRule="auto"/>
        <w:tabs>
          <w:tab w:leader="none" w:pos="1955" w:val="left"/>
        </w:tabs>
        <w:numPr>
          <w:ilvl w:val="2"/>
          <w:numId w:val="54"/>
        </w:numPr>
        <w:rPr>
          <w:rFonts w:ascii="Arial" w:cs="Arial" w:eastAsia="Arial" w:hAnsi="Arial"/>
          <w:sz w:val="22"/>
          <w:szCs w:val="22"/>
          <w:color w:val="auto"/>
        </w:rPr>
      </w:pPr>
      <w:r>
        <w:rPr>
          <w:rFonts w:ascii="Arial" w:cs="Arial" w:eastAsia="Arial" w:hAnsi="Arial"/>
          <w:sz w:val="22"/>
          <w:szCs w:val="22"/>
          <w:color w:val="auto"/>
        </w:rPr>
        <w:t>an amount that counts as employment income of the earner under section 426 ITEPA (restricted securities: charge on certain post-acquisition events);</w:t>
      </w:r>
    </w:p>
    <w:p>
      <w:pPr>
        <w:spacing w:after="0" w:line="174" w:lineRule="exact"/>
        <w:rPr>
          <w:rFonts w:ascii="Arial" w:cs="Arial" w:eastAsia="Arial" w:hAnsi="Arial"/>
          <w:sz w:val="22"/>
          <w:szCs w:val="22"/>
          <w:color w:val="auto"/>
        </w:rPr>
      </w:pPr>
    </w:p>
    <w:p>
      <w:pPr>
        <w:ind w:left="1960" w:hanging="656"/>
        <w:spacing w:after="0" w:line="263" w:lineRule="auto"/>
        <w:tabs>
          <w:tab w:leader="none" w:pos="1955" w:val="left"/>
        </w:tabs>
        <w:numPr>
          <w:ilvl w:val="2"/>
          <w:numId w:val="54"/>
        </w:numPr>
        <w:rPr>
          <w:rFonts w:ascii="Arial" w:cs="Arial" w:eastAsia="Arial" w:hAnsi="Arial"/>
          <w:sz w:val="22"/>
          <w:szCs w:val="22"/>
          <w:color w:val="auto"/>
        </w:rPr>
      </w:pPr>
      <w:r>
        <w:rPr>
          <w:rFonts w:ascii="Arial" w:cs="Arial" w:eastAsia="Arial" w:hAnsi="Arial"/>
          <w:sz w:val="22"/>
          <w:szCs w:val="22"/>
          <w:color w:val="auto"/>
        </w:rPr>
        <w:t>an amount that counts as employment income of the earner under section 438 of ITEPA (convertible securities: charge on certain post-acquisition events); or</w:t>
      </w:r>
    </w:p>
    <w:p>
      <w:pPr>
        <w:spacing w:after="0" w:line="174" w:lineRule="exact"/>
        <w:rPr>
          <w:rFonts w:ascii="Arial" w:cs="Arial" w:eastAsia="Arial" w:hAnsi="Arial"/>
          <w:sz w:val="22"/>
          <w:szCs w:val="22"/>
          <w:color w:val="auto"/>
        </w:rPr>
      </w:pPr>
    </w:p>
    <w:p>
      <w:pPr>
        <w:ind w:left="1960" w:hanging="656"/>
        <w:spacing w:after="0" w:line="263" w:lineRule="auto"/>
        <w:tabs>
          <w:tab w:leader="none" w:pos="1955" w:val="left"/>
        </w:tabs>
        <w:numPr>
          <w:ilvl w:val="2"/>
          <w:numId w:val="54"/>
        </w:numPr>
        <w:rPr>
          <w:rFonts w:ascii="Arial" w:cs="Arial" w:eastAsia="Arial" w:hAnsi="Arial"/>
          <w:sz w:val="22"/>
          <w:szCs w:val="22"/>
          <w:color w:val="auto"/>
        </w:rPr>
      </w:pPr>
      <w:r>
        <w:rPr>
          <w:rFonts w:ascii="Arial" w:cs="Arial" w:eastAsia="Arial" w:hAnsi="Arial"/>
          <w:sz w:val="22"/>
          <w:szCs w:val="22"/>
          <w:color w:val="auto"/>
        </w:rPr>
        <w:t>any gain that is treated as remuneration derived from the earner’s employment by virtue of section 4(4)(a) SSCBA, including without limitation:</w:t>
      </w:r>
    </w:p>
    <w:p>
      <w:pPr>
        <w:spacing w:after="0" w:line="174" w:lineRule="exact"/>
        <w:rPr>
          <w:rFonts w:ascii="Arial" w:cs="Arial" w:eastAsia="Arial" w:hAnsi="Arial"/>
          <w:sz w:val="22"/>
          <w:szCs w:val="22"/>
          <w:color w:val="auto"/>
        </w:rPr>
      </w:pPr>
    </w:p>
    <w:p>
      <w:pPr>
        <w:ind w:left="2600" w:hanging="648"/>
        <w:spacing w:after="0"/>
        <w:tabs>
          <w:tab w:leader="none" w:pos="2600" w:val="left"/>
        </w:tabs>
        <w:numPr>
          <w:ilvl w:val="3"/>
          <w:numId w:val="54"/>
        </w:numPr>
        <w:rPr>
          <w:rFonts w:ascii="Arial" w:cs="Arial" w:eastAsia="Arial" w:hAnsi="Arial"/>
          <w:sz w:val="22"/>
          <w:szCs w:val="22"/>
          <w:color w:val="auto"/>
        </w:rPr>
      </w:pPr>
      <w:r>
        <w:rPr>
          <w:rFonts w:ascii="Arial" w:cs="Arial" w:eastAsia="Arial" w:hAnsi="Arial"/>
          <w:sz w:val="22"/>
          <w:szCs w:val="22"/>
          <w:color w:val="auto"/>
        </w:rPr>
        <w:t>the acquisition of securities pursuant to Awards (within section 477(3)(a) of ITEPA);</w:t>
      </w:r>
    </w:p>
    <w:p>
      <w:pPr>
        <w:spacing w:after="0" w:line="219" w:lineRule="exact"/>
        <w:rPr>
          <w:rFonts w:ascii="Arial" w:cs="Arial" w:eastAsia="Arial" w:hAnsi="Arial"/>
          <w:sz w:val="22"/>
          <w:szCs w:val="22"/>
          <w:color w:val="auto"/>
        </w:rPr>
      </w:pPr>
    </w:p>
    <w:p>
      <w:pPr>
        <w:ind w:left="2600" w:hanging="648"/>
        <w:spacing w:after="0" w:line="263" w:lineRule="auto"/>
        <w:tabs>
          <w:tab w:leader="none" w:pos="2595" w:val="left"/>
        </w:tabs>
        <w:numPr>
          <w:ilvl w:val="3"/>
          <w:numId w:val="54"/>
        </w:numPr>
        <w:rPr>
          <w:rFonts w:ascii="Arial" w:cs="Arial" w:eastAsia="Arial" w:hAnsi="Arial"/>
          <w:sz w:val="22"/>
          <w:szCs w:val="22"/>
          <w:color w:val="auto"/>
        </w:rPr>
      </w:pPr>
      <w:r>
        <w:rPr>
          <w:rFonts w:ascii="Arial" w:cs="Arial" w:eastAsia="Arial" w:hAnsi="Arial"/>
          <w:sz w:val="22"/>
          <w:szCs w:val="22"/>
          <w:color w:val="auto"/>
        </w:rPr>
        <w:t>the assignment or release of the Awards in return for consideration (within section 477(3)(b) of ITEPA);</w:t>
      </w:r>
    </w:p>
    <w:p>
      <w:pPr>
        <w:spacing w:after="0" w:line="174" w:lineRule="exact"/>
        <w:rPr>
          <w:rFonts w:ascii="Arial" w:cs="Arial" w:eastAsia="Arial" w:hAnsi="Arial"/>
          <w:sz w:val="22"/>
          <w:szCs w:val="22"/>
          <w:color w:val="auto"/>
        </w:rPr>
      </w:pPr>
    </w:p>
    <w:p>
      <w:pPr>
        <w:ind w:left="2600" w:hanging="648"/>
        <w:spacing w:after="0" w:line="263" w:lineRule="auto"/>
        <w:tabs>
          <w:tab w:leader="none" w:pos="2597" w:val="left"/>
        </w:tabs>
        <w:numPr>
          <w:ilvl w:val="3"/>
          <w:numId w:val="54"/>
        </w:numPr>
        <w:rPr>
          <w:rFonts w:ascii="Arial" w:cs="Arial" w:eastAsia="Arial" w:hAnsi="Arial"/>
          <w:sz w:val="22"/>
          <w:szCs w:val="22"/>
          <w:color w:val="auto"/>
        </w:rPr>
      </w:pPr>
      <w:r>
        <w:rPr>
          <w:rFonts w:ascii="Arial" w:cs="Arial" w:eastAsia="Arial" w:hAnsi="Arial"/>
          <w:sz w:val="22"/>
          <w:szCs w:val="22"/>
          <w:color w:val="auto"/>
        </w:rPr>
        <w:t>the receipt of a benefit in connection with the Awards other than a benefit within (A) or (B) above (within section 477(3)(c) of ITEPA).</w:t>
      </w:r>
    </w:p>
    <w:p>
      <w:pPr>
        <w:spacing w:after="0" w:line="174" w:lineRule="exact"/>
        <w:rPr>
          <w:rFonts w:ascii="Arial" w:cs="Arial" w:eastAsia="Arial" w:hAnsi="Arial"/>
          <w:sz w:val="22"/>
          <w:szCs w:val="22"/>
          <w:color w:val="auto"/>
        </w:rPr>
      </w:pPr>
    </w:p>
    <w:p>
      <w:pPr>
        <w:ind w:left="1300" w:hanging="967"/>
        <w:spacing w:after="0"/>
        <w:tabs>
          <w:tab w:leader="none" w:pos="1300" w:val="left"/>
        </w:tabs>
        <w:numPr>
          <w:ilvl w:val="1"/>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SSCBA</w:t>
      </w:r>
      <w:r>
        <w:rPr>
          <w:rFonts w:ascii="Arial" w:cs="Arial" w:eastAsia="Arial" w:hAnsi="Arial"/>
          <w:sz w:val="22"/>
          <w:szCs w:val="22"/>
          <w:color w:val="auto"/>
        </w:rPr>
        <w:t>” means the Social Security Contributions and Benefits Act 1992.</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240"/>
          </w:cols>
          <w:pgMar w:left="320" w:top="348"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0"/>
          <w:szCs w:val="10"/>
          <w:color w:val="auto"/>
        </w:rPr>
        <w:t>#93246645v2</w:t>
      </w:r>
    </w:p>
    <w:p>
      <w:pPr>
        <w:sectPr>
          <w:pgSz w:w="11900" w:h="16838" w:orient="portrait"/>
          <w:cols w:equalWidth="0" w:num="1">
            <w:col w:w="11240"/>
          </w:cols>
          <w:pgMar w:left="320" w:top="348" w:right="33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300" w:hanging="956"/>
        <w:spacing w:after="0"/>
        <w:tabs>
          <w:tab w:leader="none" w:pos="1300" w:val="left"/>
        </w:tabs>
        <w:numPr>
          <w:ilvl w:val="1"/>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Taxable Event</w:t>
      </w:r>
      <w:r>
        <w:rPr>
          <w:rFonts w:ascii="Arial" w:cs="Arial" w:eastAsia="Arial" w:hAnsi="Arial"/>
          <w:sz w:val="22"/>
          <w:szCs w:val="22"/>
          <w:color w:val="auto"/>
        </w:rPr>
        <w:t>” means any event giving rise to Relevant Employment Income.</w:t>
      </w:r>
    </w:p>
    <w:p>
      <w:pPr>
        <w:spacing w:after="0" w:line="219" w:lineRule="exact"/>
        <w:rPr>
          <w:rFonts w:ascii="Arial" w:cs="Arial" w:eastAsia="Arial" w:hAnsi="Arial"/>
          <w:sz w:val="22"/>
          <w:szCs w:val="22"/>
          <w:color w:val="auto"/>
        </w:rPr>
      </w:pPr>
    </w:p>
    <w:p>
      <w:pPr>
        <w:ind w:left="660" w:hanging="652"/>
        <w:spacing w:after="0" w:line="253" w:lineRule="auto"/>
        <w:tabs>
          <w:tab w:leader="none" w:pos="561"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This Election relates to the employer’s secondary Class 1 National Insurance Contributions (the “</w:t>
      </w:r>
      <w:r>
        <w:rPr>
          <w:rFonts w:ascii="Arial" w:cs="Arial" w:eastAsia="Arial" w:hAnsi="Arial"/>
          <w:sz w:val="22"/>
          <w:szCs w:val="22"/>
          <w:u w:val="single" w:color="auto"/>
          <w:color w:val="auto"/>
        </w:rPr>
        <w:t>Employer’s Liability</w:t>
      </w:r>
      <w:r>
        <w:rPr>
          <w:rFonts w:ascii="Arial" w:cs="Arial" w:eastAsia="Arial" w:hAnsi="Arial"/>
          <w:sz w:val="22"/>
          <w:szCs w:val="22"/>
          <w:color w:val="auto"/>
        </w:rPr>
        <w:t>”) which may arise in respect of Relevant Employment Income in respect of the Awards pursuant to section 4(4)(a) and/or paragraph 3B(1A) of Schedule 1 of the SSCBA.</w:t>
      </w:r>
    </w:p>
    <w:p>
      <w:pPr>
        <w:spacing w:after="0" w:line="185" w:lineRule="exact"/>
        <w:rPr>
          <w:rFonts w:ascii="Arial" w:cs="Arial" w:eastAsia="Arial" w:hAnsi="Arial"/>
          <w:sz w:val="22"/>
          <w:szCs w:val="22"/>
          <w:color w:val="auto"/>
        </w:rPr>
      </w:pPr>
    </w:p>
    <w:p>
      <w:pPr>
        <w:ind w:left="660" w:hanging="652"/>
        <w:spacing w:after="0" w:line="253" w:lineRule="auto"/>
        <w:tabs>
          <w:tab w:leader="none" w:pos="574"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85" w:lineRule="exact"/>
        <w:rPr>
          <w:rFonts w:ascii="Arial" w:cs="Arial" w:eastAsia="Arial" w:hAnsi="Arial"/>
          <w:sz w:val="22"/>
          <w:szCs w:val="22"/>
          <w:color w:val="auto"/>
        </w:rPr>
      </w:pPr>
    </w:p>
    <w:p>
      <w:pPr>
        <w:ind w:left="660" w:hanging="652"/>
        <w:spacing w:after="0" w:line="253" w:lineRule="auto"/>
        <w:tabs>
          <w:tab w:leader="none" w:pos="561"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79"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The Election</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the Award or by separately signing or electronically accepting this Election, as applicable, he or she will become personally liable for the Employer’s Liability covered by this Election. This Election is made in accordance with paragraph 3B(1) of Schedule 1 to the SSCBA.</w:t>
      </w:r>
    </w:p>
    <w:p>
      <w:pPr>
        <w:spacing w:after="0" w:line="186"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the Employer’s Liability</w:t>
      </w:r>
    </w:p>
    <w:p>
      <w:pPr>
        <w:spacing w:after="0" w:line="226" w:lineRule="exact"/>
        <w:rPr>
          <w:sz w:val="20"/>
          <w:szCs w:val="20"/>
          <w:color w:val="auto"/>
        </w:rPr>
      </w:pPr>
    </w:p>
    <w:p>
      <w:pPr>
        <w:ind w:left="660" w:hanging="652"/>
        <w:spacing w:after="0" w:line="263" w:lineRule="auto"/>
        <w:tabs>
          <w:tab w:leader="none" w:pos="561"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Employee hereby authorises the Company and/or the Employer to collect the Employer’s Liability in respect of any Relevant Employment Income from the Employee at any time after the Taxable Event:</w:t>
      </w:r>
    </w:p>
    <w:p>
      <w:pPr>
        <w:spacing w:after="0" w:line="174" w:lineRule="exact"/>
        <w:rPr>
          <w:rFonts w:ascii="Arial" w:cs="Arial" w:eastAsia="Arial" w:hAnsi="Arial"/>
          <w:sz w:val="22"/>
          <w:szCs w:val="22"/>
          <w:color w:val="auto"/>
        </w:rPr>
      </w:pPr>
    </w:p>
    <w:p>
      <w:pPr>
        <w:ind w:firstLine="656"/>
        <w:spacing w:after="0" w:line="263" w:lineRule="auto"/>
        <w:tabs>
          <w:tab w:leader="none" w:pos="909" w:val="left"/>
        </w:tabs>
        <w:numPr>
          <w:ilvl w:val="1"/>
          <w:numId w:val="59"/>
        </w:numPr>
        <w:rPr>
          <w:rFonts w:ascii="Arial" w:cs="Arial" w:eastAsia="Arial" w:hAnsi="Arial"/>
          <w:sz w:val="22"/>
          <w:szCs w:val="22"/>
          <w:color w:val="auto"/>
        </w:rPr>
      </w:pPr>
      <w:r>
        <w:rPr>
          <w:rFonts w:ascii="Arial" w:cs="Arial" w:eastAsia="Arial" w:hAnsi="Arial"/>
          <w:sz w:val="22"/>
          <w:szCs w:val="22"/>
          <w:color w:val="auto"/>
        </w:rPr>
        <w:t>by deduction from salary or any other payment payable to the Employee at any time on or after the date of the Taxable Event; and/or</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1"/>
          <w:numId w:val="59"/>
        </w:numPr>
        <w:rPr>
          <w:rFonts w:ascii="Arial" w:cs="Arial" w:eastAsia="Arial" w:hAnsi="Arial"/>
          <w:sz w:val="22"/>
          <w:szCs w:val="22"/>
          <w:color w:val="auto"/>
        </w:rPr>
      </w:pPr>
      <w:r>
        <w:rPr>
          <w:rFonts w:ascii="Arial" w:cs="Arial" w:eastAsia="Arial" w:hAnsi="Arial"/>
          <w:sz w:val="22"/>
          <w:szCs w:val="22"/>
          <w:color w:val="auto"/>
        </w:rPr>
        <w:t>directly from the Employee by payment in cash or cleared funds; and/or</w:t>
      </w:r>
    </w:p>
    <w:p>
      <w:pPr>
        <w:spacing w:after="0" w:line="219" w:lineRule="exact"/>
        <w:rPr>
          <w:rFonts w:ascii="Arial" w:cs="Arial" w:eastAsia="Arial" w:hAnsi="Arial"/>
          <w:sz w:val="22"/>
          <w:szCs w:val="22"/>
          <w:color w:val="auto"/>
        </w:rPr>
      </w:pPr>
    </w:p>
    <w:p>
      <w:pPr>
        <w:ind w:right="20" w:firstLine="656"/>
        <w:spacing w:after="0" w:line="263" w:lineRule="auto"/>
        <w:tabs>
          <w:tab w:leader="none" w:pos="1050" w:val="left"/>
        </w:tabs>
        <w:numPr>
          <w:ilvl w:val="1"/>
          <w:numId w:val="59"/>
        </w:numPr>
        <w:rPr>
          <w:rFonts w:ascii="Arial" w:cs="Arial" w:eastAsia="Arial" w:hAnsi="Arial"/>
          <w:sz w:val="22"/>
          <w:szCs w:val="22"/>
          <w:color w:val="auto"/>
        </w:rPr>
      </w:pPr>
      <w:r>
        <w:rPr>
          <w:rFonts w:ascii="Arial" w:cs="Arial" w:eastAsia="Arial" w:hAnsi="Arial"/>
          <w:sz w:val="22"/>
          <w:szCs w:val="22"/>
          <w:color w:val="auto"/>
        </w:rPr>
        <w:t>by arranging, on behalf of the Employee, for the sale of some of the securities which the Employee is entitled to receive in respect of the Awards; and/or</w:t>
      </w:r>
    </w:p>
    <w:p>
      <w:pPr>
        <w:spacing w:after="0" w:line="174" w:lineRule="exact"/>
        <w:rPr>
          <w:rFonts w:ascii="Arial" w:cs="Arial" w:eastAsia="Arial" w:hAnsi="Arial"/>
          <w:sz w:val="22"/>
          <w:szCs w:val="22"/>
          <w:color w:val="auto"/>
        </w:rPr>
      </w:pPr>
    </w:p>
    <w:p>
      <w:pPr>
        <w:ind w:left="1020" w:hanging="364"/>
        <w:spacing w:after="0"/>
        <w:tabs>
          <w:tab w:leader="none" w:pos="1020" w:val="left"/>
        </w:tabs>
        <w:numPr>
          <w:ilvl w:val="1"/>
          <w:numId w:val="59"/>
        </w:numPr>
        <w:rPr>
          <w:rFonts w:ascii="Arial" w:cs="Arial" w:eastAsia="Arial" w:hAnsi="Arial"/>
          <w:sz w:val="22"/>
          <w:szCs w:val="22"/>
          <w:color w:val="auto"/>
        </w:rPr>
      </w:pPr>
      <w:r>
        <w:rPr>
          <w:rFonts w:ascii="Arial" w:cs="Arial" w:eastAsia="Arial" w:hAnsi="Arial"/>
          <w:sz w:val="22"/>
          <w:szCs w:val="22"/>
          <w:color w:val="auto"/>
        </w:rPr>
        <w:t>by any other means specified in the applicable award agreement.</w:t>
      </w:r>
    </w:p>
    <w:p>
      <w:pPr>
        <w:spacing w:after="0" w:line="219" w:lineRule="exact"/>
        <w:rPr>
          <w:rFonts w:ascii="Arial" w:cs="Arial" w:eastAsia="Arial" w:hAnsi="Arial"/>
          <w:sz w:val="22"/>
          <w:szCs w:val="22"/>
          <w:color w:val="auto"/>
        </w:rPr>
      </w:pPr>
    </w:p>
    <w:p>
      <w:pPr>
        <w:ind w:left="660" w:hanging="652"/>
        <w:spacing w:after="0" w:line="263" w:lineRule="auto"/>
        <w:tabs>
          <w:tab w:leader="none" w:pos="574"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Company hereby reserves for itself and the Employer the right to withhold the transfer of any securities to the Employee in respect of the Awards until full payment of the Employer’s Liability is received.</w:t>
      </w:r>
    </w:p>
    <w:p>
      <w:pPr>
        <w:spacing w:after="0" w:line="174" w:lineRule="exact"/>
        <w:rPr>
          <w:rFonts w:ascii="Arial" w:cs="Arial" w:eastAsia="Arial" w:hAnsi="Arial"/>
          <w:sz w:val="22"/>
          <w:szCs w:val="22"/>
          <w:color w:val="auto"/>
        </w:rPr>
      </w:pPr>
    </w:p>
    <w:p>
      <w:pPr>
        <w:ind w:left="660" w:hanging="652"/>
        <w:spacing w:after="0" w:line="263" w:lineRule="auto"/>
        <w:tabs>
          <w:tab w:leader="none" w:pos="561"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Company agrees to procure the remittance by the Employer of the Employer’s Liability to HM Revenue &amp; Customs on behalf of the Employee within 14 days after the end of the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UK tax month during which the Taxable Event occurs (or within 17 days after the end of the UK tax month during which the Taxable Event occurs, if payments are made electronically).</w:t>
      </w:r>
    </w:p>
    <w:p>
      <w:pPr>
        <w:spacing w:after="0" w:line="169"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Duration of Election</w:t>
      </w:r>
    </w:p>
    <w:p>
      <w:pPr>
        <w:spacing w:after="0" w:line="226" w:lineRule="exact"/>
        <w:rPr>
          <w:sz w:val="20"/>
          <w:szCs w:val="20"/>
          <w:color w:val="auto"/>
        </w:rPr>
      </w:pPr>
    </w:p>
    <w:p>
      <w:pPr>
        <w:ind w:left="660" w:right="20" w:hanging="652"/>
        <w:spacing w:after="0" w:line="343" w:lineRule="auto"/>
        <w:tabs>
          <w:tab w:leader="none" w:pos="561"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04" w:lineRule="exact"/>
        <w:rPr>
          <w:rFonts w:ascii="Arial" w:cs="Arial" w:eastAsia="Arial" w:hAnsi="Arial"/>
          <w:sz w:val="19"/>
          <w:szCs w:val="19"/>
          <w:color w:val="auto"/>
        </w:rPr>
      </w:pPr>
    </w:p>
    <w:p>
      <w:pPr>
        <w:ind w:left="660" w:hanging="652"/>
        <w:spacing w:after="0" w:line="271" w:lineRule="auto"/>
        <w:tabs>
          <w:tab w:leader="none" w:pos="574" w:val="left"/>
        </w:tabs>
        <w:numPr>
          <w:ilvl w:val="0"/>
          <w:numId w:val="61"/>
        </w:numPr>
        <w:rPr>
          <w:rFonts w:ascii="Arial" w:cs="Arial" w:eastAsia="Arial" w:hAnsi="Arial"/>
          <w:sz w:val="21"/>
          <w:szCs w:val="21"/>
          <w:color w:val="auto"/>
        </w:rPr>
      </w:pPr>
      <w:r>
        <w:rPr>
          <w:rFonts w:ascii="Arial" w:cs="Arial" w:eastAsia="Arial" w:hAnsi="Arial"/>
          <w:sz w:val="21"/>
          <w:szCs w:val="21"/>
          <w:color w:val="auto"/>
        </w:rPr>
        <w:t>Any reference to the Company and/or the Employer shall include that entity’s successors in title and assigns as permitted in accordance with the terms of the Plan and relevant award agreement. This Election will continue in effect in respect of any awards which replace the Awards in circumstances where section 483 of ITEPA applies.</w:t>
      </w:r>
    </w:p>
    <w:p>
      <w:pPr>
        <w:spacing w:after="0" w:line="167" w:lineRule="exact"/>
        <w:rPr>
          <w:rFonts w:ascii="Arial" w:cs="Arial" w:eastAsia="Arial" w:hAnsi="Arial"/>
          <w:sz w:val="21"/>
          <w:szCs w:val="21"/>
          <w:color w:val="auto"/>
        </w:rPr>
      </w:pPr>
    </w:p>
    <w:p>
      <w:pPr>
        <w:ind w:left="560" w:hanging="552"/>
        <w:spacing w:after="0"/>
        <w:tabs>
          <w:tab w:leader="none" w:pos="5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This Election will continue in effect until the earliest of the following:</w:t>
      </w:r>
    </w:p>
    <w:p>
      <w:pPr>
        <w:spacing w:after="0" w:line="219" w:lineRule="exact"/>
        <w:rPr>
          <w:rFonts w:ascii="Arial" w:cs="Arial" w:eastAsia="Arial" w:hAnsi="Arial"/>
          <w:sz w:val="22"/>
          <w:szCs w:val="22"/>
          <w:color w:val="auto"/>
        </w:rPr>
      </w:pPr>
    </w:p>
    <w:p>
      <w:pPr>
        <w:ind w:left="960" w:hanging="304"/>
        <w:spacing w:after="0"/>
        <w:tabs>
          <w:tab w:leader="none" w:pos="960"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Employee and the Company agree in writing that it should cease to have effect;</w:t>
      </w:r>
    </w:p>
    <w:p>
      <w:pPr>
        <w:spacing w:after="0" w:line="219" w:lineRule="exact"/>
        <w:rPr>
          <w:rFonts w:ascii="Arial" w:cs="Arial" w:eastAsia="Arial" w:hAnsi="Arial"/>
          <w:sz w:val="22"/>
          <w:szCs w:val="22"/>
          <w:color w:val="auto"/>
        </w:rPr>
      </w:pPr>
    </w:p>
    <w:p>
      <w:pPr>
        <w:ind w:left="1020" w:hanging="364"/>
        <w:spacing w:after="0"/>
        <w:tabs>
          <w:tab w:leader="none" w:pos="1020" w:val="left"/>
        </w:tabs>
        <w:numPr>
          <w:ilvl w:val="1"/>
          <w:numId w:val="61"/>
        </w:numPr>
        <w:rPr>
          <w:rFonts w:ascii="Arial" w:cs="Arial" w:eastAsia="Arial" w:hAnsi="Arial"/>
          <w:sz w:val="22"/>
          <w:szCs w:val="22"/>
          <w:color w:val="auto"/>
        </w:rPr>
      </w:pPr>
      <w:r>
        <w:rPr>
          <w:rFonts w:ascii="Arial" w:cs="Arial" w:eastAsia="Arial" w:hAnsi="Arial"/>
          <w:sz w:val="22"/>
          <w:szCs w:val="22"/>
          <w:color w:val="auto"/>
        </w:rPr>
        <w:t>on the date the Company serves written notice on the Employee terminating its effect;</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1"/>
          <w:numId w:val="61"/>
        </w:numPr>
        <w:rPr>
          <w:rFonts w:ascii="Arial" w:cs="Arial" w:eastAsia="Arial" w:hAnsi="Arial"/>
          <w:sz w:val="22"/>
          <w:szCs w:val="22"/>
          <w:color w:val="auto"/>
        </w:rPr>
      </w:pPr>
      <w:r>
        <w:rPr>
          <w:rFonts w:ascii="Arial" w:cs="Arial" w:eastAsia="Arial" w:hAnsi="Arial"/>
          <w:sz w:val="22"/>
          <w:szCs w:val="22"/>
          <w:color w:val="auto"/>
        </w:rPr>
        <w:t>on the date HM Revenue &amp; Customs withdraws approval of this Election; or</w:t>
      </w:r>
    </w:p>
    <w:p>
      <w:pPr>
        <w:spacing w:after="0" w:line="219" w:lineRule="exact"/>
        <w:rPr>
          <w:rFonts w:ascii="Arial" w:cs="Arial" w:eastAsia="Arial" w:hAnsi="Arial"/>
          <w:sz w:val="22"/>
          <w:szCs w:val="22"/>
          <w:color w:val="auto"/>
        </w:rPr>
      </w:pPr>
    </w:p>
    <w:p>
      <w:pPr>
        <w:ind w:firstLine="656"/>
        <w:spacing w:after="0" w:line="263" w:lineRule="auto"/>
        <w:tabs>
          <w:tab w:leader="none" w:pos="1088" w:val="left"/>
        </w:tabs>
        <w:numPr>
          <w:ilvl w:val="1"/>
          <w:numId w:val="61"/>
        </w:numPr>
        <w:rPr>
          <w:rFonts w:ascii="Arial" w:cs="Arial" w:eastAsia="Arial" w:hAnsi="Arial"/>
          <w:sz w:val="22"/>
          <w:szCs w:val="22"/>
          <w:color w:val="auto"/>
        </w:rPr>
      </w:pPr>
      <w:r>
        <w:rPr>
          <w:rFonts w:ascii="Arial" w:cs="Arial" w:eastAsia="Arial" w:hAnsi="Arial"/>
          <w:sz w:val="22"/>
          <w:szCs w:val="22"/>
          <w:color w:val="auto"/>
        </w:rPr>
        <w:t>after due payment of the Employer’s Liability in respect of the entirety of the Awards to which this Election relates or could relate, such that the Election ceases to have effect in accordance with its terms.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4.4 This Election will continue in force regardless of whether the Employee ceases to be an employee of the Employer.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[Electronic Acceptance/Signature page follows]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Acceptance by the Employee</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The Employee acknowledges that, by signing this Election (including by electronic signature process) or by accepting the Awards (including by electronic signature process if made available by the Company), the Employee agrees to be bound by the terms of this Election.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Signature (Employee) Date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Acceptance by the Company</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The Company acknowledges that, by signing this Election (including by electronic signature process) or arranging for the scanned signature of an authorised representative to appear on this Election, the Company agrees to be bound by the terms of this Election.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Signature for and onbehalf of the Company 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Position 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____________________</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SCHEDULE OF EMPLOYER COMPANIES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B-5</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are employer companies to which this Election may apply:</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3580" w:type="dxa"/>
            <w:vAlign w:val="bottom"/>
            <w:tcBorders>
              <w:top w:val="single" w:sz="8" w:color="auto"/>
              <w:left w:val="single" w:sz="8" w:color="auto"/>
              <w:bottom w:val="single" w:sz="8" w:color="auto"/>
              <w:right w:val="single" w:sz="8" w:color="auto"/>
            </w:tcBorders>
            <w:shd w:val="clear" w:color="auto" w:fill="E6E6E6"/>
          </w:tcPr>
          <w:p>
            <w:pPr>
              <w:ind w:left="40"/>
              <w:spacing w:after="0"/>
              <w:rPr>
                <w:sz w:val="20"/>
                <w:szCs w:val="20"/>
                <w:color w:val="auto"/>
              </w:rPr>
            </w:pPr>
            <w:r>
              <w:rPr>
                <w:rFonts w:ascii="Arial" w:cs="Arial" w:eastAsia="Arial" w:hAnsi="Arial"/>
                <w:sz w:val="22"/>
                <w:szCs w:val="22"/>
                <w:color w:val="auto"/>
              </w:rPr>
              <w:t>Name of Company:</w:t>
            </w:r>
          </w:p>
        </w:tc>
        <w:tc>
          <w:tcPr>
            <w:tcW w:w="65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90"/>
        </w:trPr>
        <w:tc>
          <w:tcPr>
            <w:tcW w:w="3580" w:type="dxa"/>
            <w:vAlign w:val="bottom"/>
            <w:tcBorders>
              <w:left w:val="single" w:sz="8" w:color="auto"/>
              <w:bottom w:val="single" w:sz="8" w:color="auto"/>
              <w:right w:val="single" w:sz="8" w:color="auto"/>
            </w:tcBorders>
            <w:shd w:val="clear" w:color="auto" w:fill="E6E6E6"/>
          </w:tcPr>
          <w:p>
            <w:pPr>
              <w:ind w:left="40"/>
              <w:spacing w:after="0"/>
              <w:rPr>
                <w:sz w:val="20"/>
                <w:szCs w:val="20"/>
                <w:color w:val="auto"/>
              </w:rPr>
            </w:pPr>
            <w:r>
              <w:rPr>
                <w:rFonts w:ascii="Arial" w:cs="Arial" w:eastAsia="Arial" w:hAnsi="Arial"/>
                <w:sz w:val="22"/>
                <w:szCs w:val="22"/>
                <w:color w:val="auto"/>
              </w:rPr>
              <w:t>Registered Office:</w:t>
            </w:r>
          </w:p>
        </w:tc>
        <w:tc>
          <w:tcPr>
            <w:tcW w:w="6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3580" w:type="dxa"/>
            <w:vAlign w:val="bottom"/>
            <w:tcBorders>
              <w:left w:val="single" w:sz="8" w:color="auto"/>
              <w:bottom w:val="single" w:sz="8" w:color="auto"/>
              <w:right w:val="single" w:sz="8" w:color="auto"/>
            </w:tcBorders>
            <w:shd w:val="clear" w:color="auto" w:fill="E6E6E6"/>
          </w:tcPr>
          <w:p>
            <w:pPr>
              <w:ind w:left="40"/>
              <w:spacing w:after="0"/>
              <w:rPr>
                <w:sz w:val="20"/>
                <w:szCs w:val="20"/>
                <w:color w:val="auto"/>
              </w:rPr>
            </w:pPr>
            <w:r>
              <w:rPr>
                <w:rFonts w:ascii="Arial" w:cs="Arial" w:eastAsia="Arial" w:hAnsi="Arial"/>
                <w:sz w:val="22"/>
                <w:szCs w:val="22"/>
                <w:color w:val="auto"/>
              </w:rPr>
              <w:t>Company Registration Number:</w:t>
            </w:r>
          </w:p>
        </w:tc>
        <w:tc>
          <w:tcPr>
            <w:tcW w:w="6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90"/>
        </w:trPr>
        <w:tc>
          <w:tcPr>
            <w:tcW w:w="3580" w:type="dxa"/>
            <w:vAlign w:val="bottom"/>
            <w:tcBorders>
              <w:left w:val="single" w:sz="8" w:color="auto"/>
              <w:bottom w:val="single" w:sz="8" w:color="auto"/>
              <w:right w:val="single" w:sz="8" w:color="auto"/>
            </w:tcBorders>
            <w:shd w:val="clear" w:color="auto" w:fill="E6E6E6"/>
          </w:tcPr>
          <w:p>
            <w:pPr>
              <w:ind w:left="40"/>
              <w:spacing w:after="0"/>
              <w:rPr>
                <w:sz w:val="20"/>
                <w:szCs w:val="20"/>
                <w:color w:val="auto"/>
              </w:rPr>
            </w:pPr>
            <w:r>
              <w:rPr>
                <w:rFonts w:ascii="Arial" w:cs="Arial" w:eastAsia="Arial" w:hAnsi="Arial"/>
                <w:sz w:val="22"/>
                <w:szCs w:val="22"/>
                <w:color w:val="auto"/>
              </w:rPr>
              <w:t>Corporation Tax District:</w:t>
            </w:r>
          </w:p>
        </w:tc>
        <w:tc>
          <w:tcPr>
            <w:tcW w:w="6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3580" w:type="dxa"/>
            <w:vAlign w:val="bottom"/>
            <w:tcBorders>
              <w:left w:val="single" w:sz="8" w:color="auto"/>
              <w:bottom w:val="single" w:sz="8" w:color="auto"/>
              <w:right w:val="single" w:sz="8" w:color="auto"/>
            </w:tcBorders>
            <w:shd w:val="clear" w:color="auto" w:fill="E6E6E6"/>
          </w:tcPr>
          <w:p>
            <w:pPr>
              <w:ind w:left="40"/>
              <w:spacing w:after="0"/>
              <w:rPr>
                <w:sz w:val="20"/>
                <w:szCs w:val="20"/>
                <w:color w:val="auto"/>
              </w:rPr>
            </w:pPr>
            <w:r>
              <w:rPr>
                <w:rFonts w:ascii="Arial" w:cs="Arial" w:eastAsia="Arial" w:hAnsi="Arial"/>
                <w:sz w:val="22"/>
                <w:szCs w:val="22"/>
                <w:color w:val="auto"/>
              </w:rPr>
              <w:t>Corporation Tax Reference:</w:t>
            </w:r>
          </w:p>
        </w:tc>
        <w:tc>
          <w:tcPr>
            <w:tcW w:w="6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91"/>
        </w:trPr>
        <w:tc>
          <w:tcPr>
            <w:tcW w:w="3580" w:type="dxa"/>
            <w:vAlign w:val="bottom"/>
            <w:tcBorders>
              <w:left w:val="single" w:sz="8" w:color="auto"/>
              <w:bottom w:val="single" w:sz="8" w:color="auto"/>
              <w:right w:val="single" w:sz="8" w:color="auto"/>
            </w:tcBorders>
            <w:shd w:val="clear" w:color="auto" w:fill="E6E6E6"/>
          </w:tcPr>
          <w:p>
            <w:pPr>
              <w:ind w:left="40"/>
              <w:spacing w:after="0"/>
              <w:rPr>
                <w:sz w:val="20"/>
                <w:szCs w:val="20"/>
                <w:color w:val="auto"/>
              </w:rPr>
            </w:pPr>
            <w:r>
              <w:rPr>
                <w:rFonts w:ascii="Arial" w:cs="Arial" w:eastAsia="Arial" w:hAnsi="Arial"/>
                <w:sz w:val="22"/>
                <w:szCs w:val="22"/>
                <w:color w:val="auto"/>
              </w:rPr>
              <w:t>PAYE Reference:</w:t>
            </w:r>
          </w:p>
        </w:tc>
        <w:tc>
          <w:tcPr>
            <w:tcW w:w="6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B-6</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#93246645v2</w:t>
      </w:r>
    </w:p>
    <w:p>
      <w:pPr>
        <w:sectPr>
          <w:pgSz w:w="11900" w:h="16838" w:orient="portrait"/>
          <w:cols w:equalWidth="0" w:num="1">
            <w:col w:w="11240"/>
          </w:cols>
          <w:pgMar w:left="320" w:top="348"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George Kurtz, certify that:</w:t>
      </w:r>
    </w:p>
    <w:p>
      <w:pPr>
        <w:spacing w:after="0" w:line="225" w:lineRule="exact"/>
        <w:rPr>
          <w:sz w:val="20"/>
          <w:szCs w:val="20"/>
          <w:color w:val="auto"/>
        </w:rPr>
      </w:pPr>
    </w:p>
    <w:p>
      <w:pPr>
        <w:ind w:left="520" w:hanging="188"/>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CrowdStrike Holdings, Inc.;</w:t>
      </w:r>
    </w:p>
    <w:p>
      <w:pPr>
        <w:spacing w:after="0" w:line="225" w:lineRule="exact"/>
        <w:rPr>
          <w:rFonts w:ascii="Arial" w:cs="Arial" w:eastAsia="Arial" w:hAnsi="Arial"/>
          <w:sz w:val="18"/>
          <w:szCs w:val="18"/>
          <w:color w:val="auto"/>
        </w:rPr>
      </w:pPr>
    </w:p>
    <w:p>
      <w:pPr>
        <w:ind w:left="660" w:right="140" w:hanging="328"/>
        <w:spacing w:after="0" w:line="263" w:lineRule="auto"/>
        <w:tabs>
          <w:tab w:leader="none" w:pos="516"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20" w:hanging="328"/>
        <w:spacing w:after="0" w:line="308" w:lineRule="auto"/>
        <w:tabs>
          <w:tab w:leader="none" w:pos="516"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51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right="540" w:hanging="324"/>
        <w:spacing w:after="0" w:line="342" w:lineRule="auto"/>
        <w:tabs>
          <w:tab w:leader="none" w:pos="974"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80" w:hanging="324"/>
        <w:spacing w:after="0" w:line="263" w:lineRule="auto"/>
        <w:tabs>
          <w:tab w:leader="none" w:pos="977"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40" w:hanging="328"/>
        <w:spacing w:after="0" w:line="342" w:lineRule="auto"/>
        <w:tabs>
          <w:tab w:leader="none" w:pos="513"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3, 2020</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CROWDSTRIKE HOLDINGS, INC.</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10360" w:type="dxa"/>
            <w:vAlign w:val="bottom"/>
          </w:tcPr>
          <w:p>
            <w:pPr>
              <w:ind w:left="20"/>
              <w:spacing w:after="0"/>
              <w:rPr>
                <w:sz w:val="20"/>
                <w:szCs w:val="20"/>
                <w:color w:val="auto"/>
              </w:rPr>
            </w:pPr>
            <w:r>
              <w:rPr>
                <w:rFonts w:ascii="Arial" w:cs="Arial" w:eastAsia="Arial" w:hAnsi="Arial"/>
                <w:sz w:val="18"/>
                <w:szCs w:val="18"/>
                <w:color w:val="auto"/>
              </w:rPr>
              <w:t>/s/ George Kurtz</w:t>
            </w:r>
          </w:p>
        </w:tc>
        <w:tc>
          <w:tcPr>
            <w:tcW w:w="0" w:type="dxa"/>
            <w:vAlign w:val="bottom"/>
          </w:tcPr>
          <w:p>
            <w:pPr>
              <w:spacing w:after="0"/>
              <w:rPr>
                <w:sz w:val="1"/>
                <w:szCs w:val="1"/>
                <w:color w:val="auto"/>
              </w:rPr>
            </w:pPr>
          </w:p>
        </w:tc>
      </w:tr>
      <w:tr>
        <w:trPr>
          <w:trHeight w:val="27"/>
        </w:trPr>
        <w:tc>
          <w:tcPr>
            <w:tcW w:w="8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10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60" w:type="dxa"/>
            <w:vAlign w:val="bottom"/>
            <w:vMerge w:val="continue"/>
          </w:tcPr>
          <w:p>
            <w:pPr>
              <w:spacing w:after="0"/>
              <w:rPr>
                <w:sz w:val="20"/>
                <w:szCs w:val="20"/>
                <w:color w:val="auto"/>
              </w:rPr>
            </w:pPr>
          </w:p>
        </w:tc>
        <w:tc>
          <w:tcPr>
            <w:tcW w:w="10360" w:type="dxa"/>
            <w:vAlign w:val="bottom"/>
          </w:tcPr>
          <w:p>
            <w:pPr>
              <w:ind w:left="20"/>
              <w:spacing w:after="0"/>
              <w:rPr>
                <w:sz w:val="20"/>
                <w:szCs w:val="20"/>
                <w:color w:val="auto"/>
              </w:rPr>
            </w:pPr>
            <w:r>
              <w:rPr>
                <w:rFonts w:ascii="Arial" w:cs="Arial" w:eastAsia="Arial" w:hAnsi="Arial"/>
                <w:sz w:val="18"/>
                <w:szCs w:val="18"/>
                <w:color w:val="auto"/>
              </w:rPr>
              <w:t>George Kurtz</w:t>
            </w:r>
          </w:p>
        </w:tc>
        <w:tc>
          <w:tcPr>
            <w:tcW w:w="0" w:type="dxa"/>
            <w:vAlign w:val="bottom"/>
          </w:tcPr>
          <w:p>
            <w:pPr>
              <w:spacing w:after="0"/>
              <w:rPr>
                <w:sz w:val="1"/>
                <w:szCs w:val="1"/>
                <w:color w:val="auto"/>
              </w:rPr>
            </w:pPr>
          </w:p>
        </w:tc>
      </w:tr>
      <w:tr>
        <w:trPr>
          <w:trHeight w:val="256"/>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1036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3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07"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Burt W. Podbere, certify that:</w:t>
      </w:r>
    </w:p>
    <w:p>
      <w:pPr>
        <w:spacing w:after="0" w:line="225"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CrowdStrike Holdings,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right="540" w:hanging="324"/>
        <w:spacing w:after="0" w:line="342" w:lineRule="auto"/>
        <w:tabs>
          <w:tab w:leader="none" w:pos="974"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80" w:hanging="324"/>
        <w:spacing w:after="0" w:line="263" w:lineRule="auto"/>
        <w:tabs>
          <w:tab w:leader="none" w:pos="977"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3, 2020</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CROWDSTRIKE HOLDINGS, INC.</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10360" w:type="dxa"/>
            <w:vAlign w:val="bottom"/>
          </w:tcPr>
          <w:p>
            <w:pPr>
              <w:ind w:left="20"/>
              <w:spacing w:after="0"/>
              <w:rPr>
                <w:sz w:val="20"/>
                <w:szCs w:val="20"/>
                <w:color w:val="auto"/>
              </w:rPr>
            </w:pPr>
            <w:r>
              <w:rPr>
                <w:rFonts w:ascii="Arial" w:cs="Arial" w:eastAsia="Arial" w:hAnsi="Arial"/>
                <w:sz w:val="18"/>
                <w:szCs w:val="18"/>
                <w:color w:val="auto"/>
              </w:rPr>
              <w:t>/s/ Burt W. Podbere</w:t>
            </w:r>
          </w:p>
        </w:tc>
      </w:tr>
      <w:tr>
        <w:trPr>
          <w:trHeight w:val="27"/>
        </w:trPr>
        <w:tc>
          <w:tcPr>
            <w:tcW w:w="860" w:type="dxa"/>
            <w:vAlign w:val="bottom"/>
          </w:tcPr>
          <w:p>
            <w:pPr>
              <w:spacing w:after="0"/>
              <w:rPr>
                <w:sz w:val="2"/>
                <w:szCs w:val="2"/>
                <w:color w:val="auto"/>
              </w:rPr>
            </w:pPr>
          </w:p>
        </w:tc>
        <w:tc>
          <w:tcPr>
            <w:tcW w:w="1036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10360" w:type="dxa"/>
            <w:vAlign w:val="bottom"/>
          </w:tcPr>
          <w:p>
            <w:pPr>
              <w:ind w:left="20"/>
              <w:spacing w:after="0"/>
              <w:rPr>
                <w:sz w:val="20"/>
                <w:szCs w:val="20"/>
                <w:color w:val="auto"/>
              </w:rPr>
            </w:pPr>
            <w:r>
              <w:rPr>
                <w:rFonts w:ascii="Arial" w:cs="Arial" w:eastAsia="Arial" w:hAnsi="Arial"/>
                <w:sz w:val="18"/>
                <w:szCs w:val="18"/>
                <w:color w:val="auto"/>
              </w:rPr>
              <w:t>Burt W. Podbere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103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bl>
    <w:p>
      <w:pPr>
        <w:sectPr>
          <w:pgSz w:w="11900" w:h="16838" w:orient="portrait"/>
          <w:cols w:equalWidth="0" w:num="1">
            <w:col w:w="11240"/>
          </w:cols>
          <w:pgMar w:left="320" w:top="93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I, George Kurtz, the President and Chief Executive Officer of CrowdStrike Holdings, Inc., certify, pursuant to 18 U.S.C. Section 1350, as adopted pursuant to Section 906 of the Sarbanes-Oxley Act of 2002, that the Quarterly Report on Form 10-Q of CrowdStrike Holdings, Inc. for the fiscal quarter ended April 30, 2020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June 3, 2020</w:t>
      </w:r>
    </w:p>
    <w:p>
      <w:pPr>
        <w:spacing w:after="0" w:line="63"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Pr>
          <w:p>
            <w:pPr>
              <w:ind w:left="20"/>
              <w:spacing w:after="0"/>
              <w:rPr>
                <w:sz w:val="20"/>
                <w:szCs w:val="20"/>
                <w:color w:val="auto"/>
              </w:rPr>
            </w:pPr>
            <w:r>
              <w:rPr>
                <w:rFonts w:ascii="Arial" w:cs="Arial" w:eastAsia="Arial" w:hAnsi="Arial"/>
                <w:sz w:val="18"/>
                <w:szCs w:val="18"/>
                <w:color w:val="auto"/>
              </w:rPr>
              <w:t>/s/ George Kurtz</w:t>
            </w:r>
          </w:p>
        </w:tc>
      </w:tr>
      <w:tr>
        <w:trPr>
          <w:trHeight w:val="27"/>
        </w:trPr>
        <w:tc>
          <w:tcPr>
            <w:tcW w:w="74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720" w:type="dxa"/>
            <w:vAlign w:val="bottom"/>
          </w:tcPr>
          <w:p>
            <w:pPr>
              <w:ind w:left="20"/>
              <w:spacing w:after="0"/>
              <w:rPr>
                <w:sz w:val="20"/>
                <w:szCs w:val="20"/>
                <w:color w:val="auto"/>
              </w:rPr>
            </w:pPr>
            <w:r>
              <w:rPr>
                <w:rFonts w:ascii="Arial" w:cs="Arial" w:eastAsia="Arial" w:hAnsi="Arial"/>
                <w:sz w:val="18"/>
                <w:szCs w:val="18"/>
                <w:color w:val="auto"/>
              </w:rPr>
              <w:t>George Kurtz</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720" w:type="dxa"/>
            <w:vAlign w:val="bottom"/>
          </w:tcPr>
          <w:p>
            <w:pPr>
              <w:ind w:left="20"/>
              <w:spacing w:after="0"/>
              <w:rPr>
                <w:sz w:val="20"/>
                <w:szCs w:val="20"/>
                <w:color w:val="auto"/>
              </w:rPr>
            </w:pPr>
            <w:r>
              <w:rPr>
                <w:rFonts w:ascii="Arial" w:cs="Arial" w:eastAsia="Arial" w:hAnsi="Arial"/>
                <w:sz w:val="18"/>
                <w:szCs w:val="18"/>
                <w:color w:val="auto"/>
                <w:w w:val="97"/>
              </w:rPr>
              <w:t>President, Chief Executive Officer, and Director</w:t>
            </w:r>
          </w:p>
        </w:tc>
      </w:tr>
      <w:tr>
        <w:trPr>
          <w:trHeight w:val="230"/>
        </w:trPr>
        <w:tc>
          <w:tcPr>
            <w:tcW w:w="74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29"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auto"/>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April 30, 2020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June 3, 2020</w:t>
      </w:r>
    </w:p>
    <w:p>
      <w:pPr>
        <w:spacing w:after="0" w:line="63"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Pr>
          <w:p>
            <w:pPr>
              <w:ind w:left="20"/>
              <w:spacing w:after="0"/>
              <w:rPr>
                <w:sz w:val="20"/>
                <w:szCs w:val="20"/>
                <w:color w:val="auto"/>
              </w:rPr>
            </w:pPr>
            <w:r>
              <w:rPr>
                <w:rFonts w:ascii="Arial" w:cs="Arial" w:eastAsia="Arial" w:hAnsi="Arial"/>
                <w:sz w:val="18"/>
                <w:szCs w:val="18"/>
                <w:color w:val="auto"/>
              </w:rPr>
              <w:t>/s/ Burt W. Podbere</w:t>
            </w:r>
          </w:p>
        </w:tc>
      </w:tr>
      <w:tr>
        <w:trPr>
          <w:trHeight w:val="27"/>
        </w:trPr>
        <w:tc>
          <w:tcPr>
            <w:tcW w:w="74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720" w:type="dxa"/>
            <w:vAlign w:val="bottom"/>
          </w:tcPr>
          <w:p>
            <w:pPr>
              <w:ind w:left="20"/>
              <w:spacing w:after="0"/>
              <w:rPr>
                <w:sz w:val="20"/>
                <w:szCs w:val="20"/>
                <w:color w:val="auto"/>
              </w:rPr>
            </w:pPr>
            <w:r>
              <w:rPr>
                <w:rFonts w:ascii="Arial" w:cs="Arial" w:eastAsia="Arial" w:hAnsi="Arial"/>
                <w:sz w:val="18"/>
                <w:szCs w:val="18"/>
                <w:color w:val="auto"/>
              </w:rPr>
              <w:t>Burt W. Podbere</w:t>
            </w:r>
          </w:p>
        </w:tc>
      </w:tr>
      <w:tr>
        <w:trPr>
          <w:trHeight w:val="256"/>
        </w:trPr>
        <w:tc>
          <w:tcPr>
            <w:tcW w:w="740" w:type="dxa"/>
            <w:vAlign w:val="bottom"/>
          </w:tcPr>
          <w:p>
            <w:pPr>
              <w:spacing w:after="0"/>
              <w:rPr>
                <w:sz w:val="22"/>
                <w:szCs w:val="22"/>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7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2"/>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1."/>
      <w:numFmt w:val="lowerLetter"/>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1)"/>
      <w:numFmt w:val="decimal"/>
      <w:start w:val="2"/>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1"/>
      <w:numFmt w:val="decimal"/>
      <w:start w:val="104"/>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1."/>
      <w:numFmt w:val="lowerLetter"/>
      <w:start w:val="1"/>
    </w:lvl>
  </w:abstractNum>
  <w:abstractNum w:abstractNumId="35">
    <w:nsid w:val="579478FE"/>
    <w:multiLevelType w:val="hybridMultilevel"/>
    <w:lvl w:ilvl="0">
      <w:lvlJc w:val="left"/>
      <w:lvlText w:val="%1."/>
      <w:numFmt w:val="lowerLetter"/>
      <w:start w:val="3"/>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1."/>
      <w:numFmt w:val="lowerLetter"/>
      <w:start w:val="1"/>
    </w:lvl>
    <w:lvl w:ilvl="1">
      <w:lvlJc w:val="left"/>
      <w:lvlText w:val="%2."/>
      <w:numFmt w:val="decimal"/>
      <w:start w:val="1"/>
    </w:lvl>
  </w:abstractNum>
  <w:abstractNum w:abstractNumId="39">
    <w:nsid w:val="79A1DEAA"/>
    <w:multiLevelType w:val="hybridMultilevel"/>
    <w:lvl w:ilvl="0">
      <w:lvlJc w:val="left"/>
      <w:lvlText w:val="%1."/>
      <w:numFmt w:val="lowerLetter"/>
      <w:start w:val="6"/>
    </w:lvl>
    <w:lvl w:ilvl="1">
      <w:lvlJc w:val="left"/>
      <w:lvlText w:val="%2."/>
      <w:numFmt w:val="decimal"/>
      <w:start w:val="3"/>
    </w:lvl>
  </w:abstractNum>
  <w:abstractNum w:abstractNumId="40">
    <w:nsid w:val="75C6C33A"/>
    <w:multiLevelType w:val="hybridMultilevel"/>
    <w:lvl w:ilvl="0">
      <w:lvlJc w:val="left"/>
      <w:lvlText w:val="%1"/>
      <w:numFmt w:val="lowerRoman"/>
      <w:start w:val="1"/>
    </w:lvl>
    <w:lvl w:ilvl="1">
      <w:lvlJc w:val="left"/>
      <w:lvlText w:val="%2."/>
      <w:numFmt w:val="decimal"/>
      <w:start w:val="5"/>
    </w:lvl>
  </w:abstractNum>
  <w:abstractNum w:abstractNumId="41">
    <w:nsid w:val="12E685FB"/>
    <w:multiLevelType w:val="hybridMultilevel"/>
    <w:lvl w:ilvl="0">
      <w:lvlJc w:val="left"/>
      <w:lvlText w:val="(%1)"/>
      <w:numFmt w:val="lowerRoman"/>
      <w:start w:val="1"/>
    </w:lvl>
    <w:lvl w:ilvl="1">
      <w:lvlJc w:val="left"/>
      <w:lvlText w:val="%2"/>
      <w:numFmt w:val="decimal"/>
      <w:start w:val="1"/>
    </w:lvl>
  </w:abstractNum>
  <w:abstractNum w:abstractNumId="42">
    <w:nsid w:val="70C6A529"/>
    <w:multiLevelType w:val="hybridMultilevel"/>
    <w:lvl w:ilvl="0">
      <w:lvlJc w:val="left"/>
      <w:lvlText w:val="%1."/>
      <w:numFmt w:val="lowerLetter"/>
      <w:start w:val="9"/>
    </w:lvl>
    <w:lvl w:ilvl="1">
      <w:lvlJc w:val="left"/>
      <w:lvlText w:val="%2."/>
      <w:numFmt w:val="decimal"/>
      <w:start w:val="6"/>
    </w:lvl>
  </w:abstractNum>
  <w:abstractNum w:abstractNumId="43">
    <w:nsid w:val="520EEDD1"/>
    <w:multiLevelType w:val="hybridMultilevel"/>
    <w:lvl w:ilvl="0">
      <w:lvlJc w:val="left"/>
      <w:lvlText w:val="%1."/>
      <w:numFmt w:val="decimal"/>
      <w:start w:val="9"/>
    </w:lvl>
  </w:abstractNum>
  <w:abstractNum w:abstractNumId="44">
    <w:nsid w:val="374A3FE6"/>
    <w:multiLevelType w:val="hybridMultilevel"/>
    <w:lvl w:ilvl="0">
      <w:lvlJc w:val="left"/>
      <w:lvlText w:val="%1."/>
      <w:numFmt w:val="lowerLetter"/>
      <w:start w:val="12"/>
    </w:lvl>
    <w:lvl w:ilvl="1">
      <w:lvlJc w:val="left"/>
      <w:lvlText w:val="%2."/>
      <w:numFmt w:val="decimal"/>
      <w:start w:val="13"/>
    </w:lvl>
  </w:abstractNum>
  <w:abstractNum w:abstractNumId="45">
    <w:nsid w:val="4F4EF005"/>
    <w:multiLevelType w:val="hybridMultilevel"/>
    <w:lvl w:ilvl="0">
      <w:lvlJc w:val="left"/>
      <w:lvlText w:val="%1"/>
      <w:numFmt w:val="lowerLetter"/>
      <w:start w:val="1"/>
    </w:lvl>
    <w:lvl w:ilvl="1">
      <w:lvlJc w:val="left"/>
      <w:lvlText w:val="%2."/>
      <w:numFmt w:val="decimal"/>
      <w:start w:val="15"/>
    </w:lvl>
  </w:abstractNum>
  <w:abstractNum w:abstractNumId="46">
    <w:nsid w:val="23F9C13C"/>
    <w:multiLevelType w:val="hybridMultilevel"/>
    <w:lvl w:ilvl="0">
      <w:lvlJc w:val="left"/>
      <w:lvlText w:val="%1."/>
      <w:numFmt w:val="lowerLetter"/>
      <w:start w:val="14"/>
    </w:lvl>
  </w:abstractNum>
  <w:abstractNum w:abstractNumId="47">
    <w:nsid w:val="649BB77C"/>
    <w:multiLevelType w:val="hybridMultilevel"/>
    <w:lvl w:ilvl="0">
      <w:lvlJc w:val="left"/>
      <w:lvlText w:val="%1."/>
      <w:numFmt w:val="lowerLetter"/>
      <w:start w:val="19"/>
    </w:lvl>
  </w:abstractNum>
  <w:abstractNum w:abstractNumId="48">
    <w:nsid w:val="275AC794"/>
    <w:multiLevelType w:val="hybridMultilevel"/>
    <w:lvl w:ilvl="0">
      <w:lvlJc w:val="left"/>
      <w:lvlText w:val="%1."/>
      <w:numFmt w:val="lowerLetter"/>
      <w:start w:val="25"/>
    </w:lvl>
  </w:abstractNum>
  <w:abstractNum w:abstractNumId="49">
    <w:nsid w:val="39386575"/>
    <w:multiLevelType w:val="hybridMultilevel"/>
    <w:lvl w:ilvl="0">
      <w:lvlJc w:val="left"/>
      <w:lvlText w:val="%1."/>
      <w:numFmt w:val="lowerLetter"/>
      <w:start w:val="27"/>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54">
    <w:nsid w:val="354FE9F9"/>
    <w:multiLevelType w:val="hybridMultilevel"/>
    <w:lvl w:ilvl="0">
      <w:lvlJc w:val="left"/>
      <w:lvlText w:val="%1"/>
      <w:numFmt w:val="lowerLetter"/>
      <w:start w:val="1"/>
    </w:lvl>
    <w:lvl w:ilvl="1">
      <w:lvlJc w:val="left"/>
      <w:lvlText w:val="(%2)"/>
      <w:numFmt w:val="lowerRoman"/>
      <w:start w:val="4"/>
    </w:lvl>
  </w:abstractNum>
  <w:abstractNum w:abstractNumId="55">
    <w:nsid w:val="15B5AF5C"/>
    <w:multiLevelType w:val="hybridMultilevel"/>
    <w:lvl w:ilvl="0">
      <w:lvlJc w:val="left"/>
      <w:lvlText w:val="%1."/>
      <w:numFmt w:val="lowerLetter"/>
      <w:start w:val="3"/>
    </w:lvl>
    <w:lvl w:ilvl="1">
      <w:lvlJc w:val="left"/>
      <w:lvlText w:val="%2"/>
      <w:numFmt w:val="lowerRoman"/>
      <w:start w:val="1"/>
    </w:lvl>
  </w:abstractNum>
  <w:abstractNum w:abstractNumId="56">
    <w:nsid w:val="741226BB"/>
    <w:multiLevelType w:val="hybridMultilevel"/>
    <w:lvl w:ilvl="0">
      <w:lvlJc w:val="left"/>
      <w:lvlText w:val="%1."/>
      <w:numFmt w:val="decimal"/>
      <w:start w:val="2"/>
    </w:lvl>
  </w:abstractNum>
  <w:abstractNum w:abstractNumId="57">
    <w:nsid w:val="D34B6A8"/>
    <w:multiLevelType w:val="hybridMultilevel"/>
    <w:lvl w:ilvl="0">
      <w:lvlJc w:val="left"/>
      <w:lvlText w:val="%1."/>
      <w:numFmt w:val="decimal"/>
      <w:start w:val="3"/>
    </w:lvl>
  </w:abstractNum>
  <w:abstractNum w:abstractNumId="58">
    <w:nsid w:val="10233C99"/>
    <w:multiLevelType w:val="hybridMultilevel"/>
    <w:lvl w:ilvl="0">
      <w:lvlJc w:val="left"/>
      <w:lvlText w:val="%1."/>
      <w:numFmt w:val="lowerLetter"/>
      <w:start w:val="1"/>
    </w:lvl>
    <w:lvl w:ilvl="1">
      <w:lvlJc w:val="left"/>
      <w:lvlText w:val="(%2)"/>
      <w:numFmt w:val="lowerRoman"/>
      <w:start w:val="1"/>
    </w:lvl>
  </w:abstractNum>
  <w:abstractNum w:abstractNumId="59">
    <w:nsid w:val="3F6AB60F"/>
    <w:multiLevelType w:val="hybridMultilevel"/>
    <w:lvl w:ilvl="0">
      <w:lvlJc w:val="left"/>
      <w:lvlText w:val="%1."/>
      <w:numFmt w:val="decimal"/>
      <w:start w:val="4"/>
    </w:lvl>
  </w:abstractNum>
  <w:abstractNum w:abstractNumId="60">
    <w:nsid w:val="61574095"/>
    <w:multiLevelType w:val="hybridMultilevel"/>
    <w:lvl w:ilvl="0">
      <w:lvlJc w:val="left"/>
      <w:lvlText w:val="%1."/>
      <w:numFmt w:val="lowerLetter"/>
      <w:start w:val="1"/>
    </w:lvl>
    <w:lvl w:ilvl="1">
      <w:lvlJc w:val="left"/>
      <w:lvlText w:val="(%2)"/>
      <w:numFmt w:val="lowerRoman"/>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2020-06-03T15:11:05Z</dcterms:created>
  <dcterms:modified xsi:type="dcterms:W3CDTF">2020-06-03T15:11:05Z</dcterms:modified>
</cp:coreProperties>
</file>