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1" w:lineRule="exact"/>
        <w:rPr>
          <w:sz w:val="24"/>
          <w:szCs w:val="24"/>
          <w:color w:val="auto"/>
        </w:rPr>
      </w:pPr>
    </w:p>
    <w:p>
      <w:pPr>
        <w:ind w:left="360" w:hanging="24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57" w:lineRule="exact"/>
        <w:rPr>
          <w:sz w:val="24"/>
          <w:szCs w:val="24"/>
          <w:color w:val="auto"/>
        </w:rPr>
      </w:pPr>
    </w:p>
    <w:p>
      <w:pPr>
        <w:ind w:left="360" w:hanging="26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001-38933</w:t>
      </w:r>
    </w:p>
    <w:p>
      <w:pPr>
        <w:spacing w:after="0" w:line="3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CROWDSTRIKE HOLDINGS, INC.</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35"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b w:val="1"/>
                <w:bCs w:val="1"/>
                <w:color w:val="auto"/>
              </w:rPr>
              <w:t>45-3788918</w:t>
            </w:r>
          </w:p>
        </w:tc>
      </w:tr>
      <w:tr>
        <w:trPr>
          <w:trHeight w:val="249"/>
        </w:trPr>
        <w:tc>
          <w:tcPr>
            <w:tcW w:w="4680" w:type="dxa"/>
            <w:vAlign w:val="bottom"/>
          </w:tcPr>
          <w:p>
            <w:pPr>
              <w:jc w:val="center"/>
              <w:ind w:right="27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220" w:type="dxa"/>
            <w:vAlign w:val="bottom"/>
          </w:tcPr>
          <w:p>
            <w:pPr>
              <w:jc w:val="center"/>
              <w:ind w:left="259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680" w:type="dxa"/>
            <w:vAlign w:val="bottom"/>
          </w:tcPr>
          <w:p>
            <w:pPr>
              <w:jc w:val="center"/>
              <w:ind w:right="2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220" w:type="dxa"/>
            <w:vAlign w:val="bottom"/>
          </w:tcPr>
          <w:p>
            <w:pPr>
              <w:jc w:val="center"/>
              <w:ind w:left="263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1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150 Mathilda Place, Suite 300, Sunnyvale, California 94086</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Title of each class of securities</w:t>
            </w:r>
          </w:p>
        </w:tc>
        <w:tc>
          <w:tcPr>
            <w:tcW w:w="374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620" w:type="dxa"/>
            <w:vAlign w:val="bottom"/>
            <w:tcBorders>
              <w:top w:val="single" w:sz="8" w:color="auto"/>
            </w:tcBorders>
          </w:tcPr>
          <w:p>
            <w:pPr>
              <w:spacing w:after="0"/>
              <w:rPr>
                <w:sz w:val="17"/>
                <w:szCs w:val="17"/>
                <w:color w:val="auto"/>
              </w:rPr>
            </w:pPr>
          </w:p>
        </w:tc>
        <w:tc>
          <w:tcPr>
            <w:tcW w:w="3140" w:type="dxa"/>
            <w:vAlign w:val="bottom"/>
            <w:tcBorders>
              <w:top w:val="single" w:sz="8" w:color="auto"/>
              <w:right w:val="single" w:sz="8" w:color="auto"/>
            </w:tcBorders>
            <w:gridSpan w:val="4"/>
          </w:tcPr>
          <w:p>
            <w:pPr>
              <w:jc w:val="center"/>
              <w:ind w:right="680"/>
              <w:spacing w:after="0"/>
              <w:rPr>
                <w:sz w:val="20"/>
                <w:szCs w:val="20"/>
                <w:color w:val="auto"/>
              </w:rPr>
            </w:pPr>
            <w:r>
              <w:rPr>
                <w:rFonts w:ascii="Times New Roman" w:cs="Times New Roman" w:eastAsia="Times New Roman" w:hAnsi="Times New Roman"/>
                <w:sz w:val="16"/>
                <w:szCs w:val="16"/>
                <w:color w:val="auto"/>
              </w:rPr>
              <w:t>Name of each national exchange and</w:t>
            </w:r>
          </w:p>
        </w:tc>
      </w:tr>
      <w:tr>
        <w:trPr>
          <w:trHeight w:val="20"/>
        </w:trPr>
        <w:tc>
          <w:tcPr>
            <w:tcW w:w="880" w:type="dxa"/>
            <w:vAlign w:val="bottom"/>
            <w:tcBorders>
              <w:left w:val="single" w:sz="8" w:color="auto"/>
            </w:tcBorders>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r>
      <w:tr>
        <w:trPr>
          <w:trHeight w:val="183"/>
        </w:trPr>
        <w:tc>
          <w:tcPr>
            <w:tcW w:w="880" w:type="dxa"/>
            <w:vAlign w:val="bottom"/>
            <w:tcBorders>
              <w:lef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5"/>
          </w:tcPr>
          <w:p>
            <w:pPr>
              <w:jc w:val="center"/>
              <w:ind w:right="20"/>
              <w:spacing w:after="0" w:line="183" w:lineRule="exact"/>
              <w:rPr>
                <w:sz w:val="20"/>
                <w:szCs w:val="20"/>
                <w:color w:val="auto"/>
              </w:rPr>
            </w:pPr>
            <w:r>
              <w:rPr>
                <w:rFonts w:ascii="Times New Roman" w:cs="Times New Roman" w:eastAsia="Times New Roman" w:hAnsi="Times New Roman"/>
                <w:sz w:val="16"/>
                <w:szCs w:val="16"/>
                <w:color w:val="auto"/>
              </w:rPr>
              <w:t>principal U.S. market for the securities</w:t>
            </w:r>
          </w:p>
        </w:tc>
      </w:tr>
      <w:tr>
        <w:trPr>
          <w:trHeight w:val="48"/>
        </w:trPr>
        <w:tc>
          <w:tcPr>
            <w:tcW w:w="880" w:type="dxa"/>
            <w:vAlign w:val="bottom"/>
            <w:tcBorders>
              <w:left w:val="single" w:sz="8" w:color="auto"/>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4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r>
      <w:tr>
        <w:trPr>
          <w:trHeight w:val="217"/>
        </w:trPr>
        <w:tc>
          <w:tcPr>
            <w:tcW w:w="37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$0.0005 per share</w:t>
            </w:r>
          </w:p>
        </w:tc>
        <w:tc>
          <w:tcPr>
            <w:tcW w:w="126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1280"/>
              <w:spacing w:after="0"/>
              <w:rPr>
                <w:sz w:val="20"/>
                <w:szCs w:val="20"/>
                <w:color w:val="auto"/>
              </w:rPr>
            </w:pPr>
            <w:r>
              <w:rPr>
                <w:rFonts w:ascii="Times New Roman" w:cs="Times New Roman" w:eastAsia="Times New Roman" w:hAnsi="Times New Roman"/>
                <w:sz w:val="16"/>
                <w:szCs w:val="16"/>
                <w:color w:val="auto"/>
                <w:w w:val="99"/>
              </w:rPr>
              <w:t>CRWD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Borders>
              <w:right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7"/>
        </w:trPr>
        <w:tc>
          <w:tcPr>
            <w:tcW w:w="880" w:type="dxa"/>
            <w:vAlign w:val="bottom"/>
            <w:tcBorders>
              <w:left w:val="single" w:sz="8" w:color="auto"/>
            </w:tcBorders>
          </w:tcPr>
          <w:p>
            <w:pPr>
              <w:spacing w:after="0"/>
              <w:rPr>
                <w:sz w:val="22"/>
                <w:szCs w:val="22"/>
                <w:color w:val="auto"/>
              </w:rPr>
            </w:pPr>
          </w:p>
        </w:tc>
        <w:tc>
          <w:tcPr>
            <w:tcW w:w="2000" w:type="dxa"/>
            <w:vAlign w:val="bottom"/>
          </w:tcPr>
          <w:p>
            <w:pPr>
              <w:spacing w:after="0"/>
              <w:rPr>
                <w:sz w:val="22"/>
                <w:szCs w:val="22"/>
                <w:color w:val="auto"/>
              </w:rPr>
            </w:pPr>
          </w:p>
        </w:tc>
        <w:tc>
          <w:tcPr>
            <w:tcW w:w="880" w:type="dxa"/>
            <w:vAlign w:val="bottom"/>
            <w:tcBorders>
              <w:right w:val="single" w:sz="8" w:color="auto"/>
            </w:tcBorders>
          </w:tcPr>
          <w:p>
            <w:pPr>
              <w:spacing w:after="0"/>
              <w:rPr>
                <w:sz w:val="22"/>
                <w:szCs w:val="22"/>
                <w:color w:val="auto"/>
              </w:rPr>
            </w:pP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00" w:type="dxa"/>
            <w:vAlign w:val="bottom"/>
            <w:tcBorders>
              <w:right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880" w:type="dxa"/>
            <w:vAlign w:val="bottom"/>
            <w:tcBorders>
              <w:left w:val="single" w:sz="8" w:color="auto"/>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bl>
    <w:p>
      <w:pPr>
        <w:spacing w:after="0" w:line="92"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6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(888) 512-8906 </w:t>
      </w:r>
      <w:r>
        <w:rPr>
          <w:rFonts w:ascii="Times New Roman" w:cs="Times New Roman" w:eastAsia="Times New Roman" w:hAnsi="Times New Roman"/>
          <w:sz w:val="10"/>
          <w:szCs w:val="10"/>
          <w:b w:val="1"/>
          <w:bCs w:val="1"/>
          <w:color w:val="auto"/>
        </w:rPr>
        <w:t>___________________________________________________________________________________________________</w:t>
      </w:r>
    </w:p>
    <w:p>
      <w:pPr>
        <w:spacing w:after="0" w:line="126" w:lineRule="exact"/>
        <w:rPr>
          <w:sz w:val="24"/>
          <w:szCs w:val="24"/>
          <w:color w:val="auto"/>
        </w:rPr>
      </w:pPr>
    </w:p>
    <w:p>
      <w:pPr>
        <w:jc w:val="both"/>
        <w:ind w:right="300" w:firstLine="64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80"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120" w:firstLine="648"/>
        <w:spacing w:after="0" w:line="27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68" w:lineRule="exact"/>
        <w:rPr>
          <w:sz w:val="24"/>
          <w:szCs w:val="24"/>
          <w:color w:val="auto"/>
        </w:rPr>
      </w:pPr>
    </w:p>
    <w:tbl>
      <w:tblPr>
        <w:tblLayout w:type="fixed"/>
        <w:tblInd w:w="1140" w:type="dxa"/>
        <w:tblCellMar>
          <w:top w:w="0" w:type="dxa"/>
          <w:left w:w="0" w:type="dxa"/>
          <w:bottom w:w="0" w:type="dxa"/>
          <w:right w:w="0" w:type="dxa"/>
        </w:tblCellMar>
      </w:tblPr>
      <w:tr>
        <w:trPr>
          <w:trHeight w:val="256"/>
        </w:trPr>
        <w:tc>
          <w:tcPr>
            <w:tcW w:w="358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58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16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8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c>
          <w:tcPr>
            <w:tcW w:w="16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ind w:right="460" w:firstLine="648"/>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660"/>
        <w:spacing w:after="0" w:line="190" w:lineRule="exact"/>
        <w:tabs>
          <w:tab w:leader="none" w:pos="84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No</w:t>
      </w:r>
      <w:r>
        <w:rPr>
          <w:rFonts w:ascii="MS PGothic" w:cs="MS PGothic" w:eastAsia="MS PGothic" w:hAnsi="MS PGothic"/>
          <w:sz w:val="18"/>
          <w:szCs w:val="18"/>
          <w:color w:val="auto"/>
        </w:rPr>
        <w:t xml:space="preserve">  ☑</w:t>
      </w:r>
    </w:p>
    <w:p>
      <w:pPr>
        <w:spacing w:after="0" w:line="154" w:lineRule="exact"/>
        <w:rPr>
          <w:sz w:val="24"/>
          <w:szCs w:val="24"/>
          <w:color w:val="auto"/>
        </w:rPr>
      </w:pPr>
    </w:p>
    <w:p>
      <w:pPr>
        <w:ind w:right="180" w:firstLine="648"/>
        <w:spacing w:after="0" w:line="280" w:lineRule="auto"/>
        <w:rPr>
          <w:sz w:val="20"/>
          <w:szCs w:val="20"/>
          <w:color w:val="auto"/>
        </w:rPr>
      </w:pPr>
      <w:r>
        <w:rPr>
          <w:rFonts w:ascii="Times New Roman" w:cs="Times New Roman" w:eastAsia="Times New Roman" w:hAnsi="Times New Roman"/>
          <w:sz w:val="16"/>
          <w:szCs w:val="16"/>
          <w:color w:val="auto"/>
        </w:rPr>
        <w:t>As of August 31, 2020, the number of shares of the registrant’s Class A common stock outstanding was 184,410,223, and the number of shares of the registrant’s Class B common stock outstanding was 35,038,535.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00" w:type="dxa"/>
            <w:vAlign w:val="bottom"/>
            <w:gridSpan w:val="6"/>
          </w:tcPr>
          <w:p>
            <w:pPr>
              <w:jc w:val="center"/>
              <w:ind w:right="360"/>
              <w:spacing w:after="0"/>
              <w:rPr>
                <w:rFonts w:ascii="Times New Roman" w:cs="Times New Roman" w:eastAsia="Times New Roman" w:hAnsi="Times New Roman"/>
                <w:sz w:val="18"/>
                <w:szCs w:val="18"/>
                <w:u w:val="single" w:color="auto"/>
                <w:color w:val="0000FF"/>
                <w:w w:val="98"/>
              </w:rPr>
            </w:pPr>
            <w:hyperlink w:anchor="page4">
              <w:r>
                <w:rPr>
                  <w:rFonts w:ascii="Times New Roman" w:cs="Times New Roman" w:eastAsia="Times New Roman" w:hAnsi="Times New Roman"/>
                  <w:sz w:val="18"/>
                  <w:szCs w:val="18"/>
                  <w:u w:val="single" w:color="auto"/>
                  <w:color w:val="0000FF"/>
                  <w:w w:val="98"/>
                </w:rPr>
                <w:t>PART I. FINANCIAL INFORMATION</w:t>
              </w:r>
            </w:hyperlink>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Item 1.</w:t>
              </w:r>
            </w:hyperlink>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 (unaudited)</w:t>
              </w:r>
            </w:hyperlink>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260" w:type="dxa"/>
            <w:vAlign w:val="bottom"/>
            <w:gridSpan w:val="7"/>
          </w:tcPr>
          <w:p>
            <w:pPr>
              <w:spacing w:after="0" w:line="189"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Condensed Consolidated Balance Sheets as of July 31, 2020 and January 31,</w:t>
              </w:r>
              <w:r>
                <w:rPr>
                  <w:rFonts w:ascii="Times New Roman" w:cs="Times New Roman" w:eastAsia="Times New Roman" w:hAnsi="Times New Roman"/>
                  <w:sz w:val="18"/>
                  <w:szCs w:val="18"/>
                  <w:color w:val="0000FF"/>
                </w:rPr>
                <w:t xml:space="preserve"> 20</w:t>
              </w:r>
            </w:hyperlink>
            <w:r>
              <w:rPr>
                <w:rFonts w:ascii="Times New Roman" w:cs="Times New Roman" w:eastAsia="Times New Roman" w:hAnsi="Times New Roman"/>
                <w:sz w:val="18"/>
                <w:szCs w:val="18"/>
                <w:color w:val="0000FF"/>
              </w:rPr>
              <w:t>20</w:t>
            </w:r>
          </w:p>
        </w:tc>
        <w:tc>
          <w:tcPr>
            <w:tcW w:w="1000" w:type="dxa"/>
            <w:vAlign w:val="bottom"/>
          </w:tcPr>
          <w:p>
            <w:pPr>
              <w:jc w:val="center"/>
              <w:spacing w:after="0" w:line="189"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shd w:val="clear" w:color="auto" w:fill="CCEEFF"/>
          </w:tcPr>
          <w:p>
            <w:pPr>
              <w:spacing w:after="0"/>
              <w:rPr>
                <w:sz w:val="21"/>
                <w:szCs w:val="21"/>
                <w:color w:val="auto"/>
              </w:rPr>
            </w:pPr>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Operations for the Three and Six Months Ended July 31, 2020 and July 31, 2019</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6</w:t>
              </w:r>
            </w:hyperlink>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260" w:type="dxa"/>
            <w:vAlign w:val="bottom"/>
            <w:gridSpan w:val="7"/>
          </w:tcPr>
          <w:p>
            <w:pPr>
              <w:spacing w:after="0" w:line="189"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Condensed Consolidated Statements of Comprehensive Loss for the Three and Six Months Ended July 31, 2020 and July 31,</w:t>
              </w:r>
            </w:hyperlink>
          </w:p>
        </w:tc>
        <w:tc>
          <w:tcPr>
            <w:tcW w:w="1000" w:type="dxa"/>
            <w:vAlign w:val="bottom"/>
            <w:vMerge w:val="restart"/>
          </w:tcPr>
          <w:p>
            <w:pPr>
              <w:jc w:val="center"/>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2019</w:t>
              </w:r>
            </w:hyperlink>
          </w:p>
        </w:tc>
        <w:tc>
          <w:tcPr>
            <w:tcW w:w="1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spacing w:after="0"/>
              <w:rPr>
                <w:sz w:val="16"/>
                <w:szCs w:val="16"/>
                <w:color w:val="auto"/>
              </w:rPr>
            </w:pPr>
          </w:p>
        </w:tc>
        <w:tc>
          <w:tcPr>
            <w:tcW w:w="926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Condensed Consolidated Statements of Redeemable Convertible Preferred Stock and Stockholders’ Equity (Deficit) for the</w:t>
              </w:r>
            </w:hyperlink>
          </w:p>
        </w:tc>
        <w:tc>
          <w:tcPr>
            <w:tcW w:w="1000" w:type="dxa"/>
            <w:vAlign w:val="bottom"/>
            <w:vMerge w:val="restart"/>
            <w:shd w:val="clear" w:color="auto" w:fill="CCEEFF"/>
          </w:tcPr>
          <w:p>
            <w:pPr>
              <w:jc w:val="cente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190"/>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460" w:type="dxa"/>
            <w:vAlign w:val="bottom"/>
            <w:tcBorders>
              <w:top w:val="single" w:sz="8" w:color="0000FF"/>
              <w:bottom w:val="single" w:sz="8" w:color="0000FF"/>
            </w:tcBorders>
            <w:gridSpan w:val="2"/>
            <w:shd w:val="clear" w:color="auto" w:fill="CCEEFF"/>
          </w:tcPr>
          <w:p>
            <w:pPr>
              <w:spacing w:after="0" w:line="142" w:lineRule="exact"/>
              <w:rPr>
                <w:rFonts w:ascii="Times New Roman" w:cs="Times New Roman" w:eastAsia="Times New Roman" w:hAnsi="Times New Roman"/>
                <w:sz w:val="16"/>
                <w:szCs w:val="16"/>
                <w:color w:val="0000FF"/>
              </w:rPr>
            </w:pPr>
            <w:hyperlink w:anchor="page7">
              <w:r>
                <w:rPr>
                  <w:rFonts w:ascii="Times New Roman" w:cs="Times New Roman" w:eastAsia="Times New Roman" w:hAnsi="Times New Roman"/>
                  <w:sz w:val="16"/>
                  <w:szCs w:val="16"/>
                  <w:color w:val="0000FF"/>
                </w:rPr>
                <w:t>Three and Six Months Ended July 31, 2020 and July 31, 2019</w:t>
              </w:r>
            </w:hyperlink>
          </w:p>
        </w:tc>
        <w:tc>
          <w:tcPr>
            <w:tcW w:w="442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3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Condensed Consolidated Statements of Cash Flows for the Three and Six Months Ended July 31, 2020 and July 31, 2019</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9">
              <w:r>
                <w:rPr>
                  <w:rFonts w:ascii="Times New Roman" w:cs="Times New Roman" w:eastAsia="Times New Roman" w:hAnsi="Times New Roman"/>
                  <w:sz w:val="18"/>
                  <w:szCs w:val="18"/>
                  <w:color w:val="auto"/>
                  <w:w w:val="99"/>
                </w:rPr>
                <w:t>10</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spacing w:after="0"/>
              <w:rPr>
                <w:sz w:val="21"/>
                <w:szCs w:val="21"/>
                <w:color w:val="auto"/>
              </w:rPr>
            </w:pPr>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Notes to Condensed Consolidated Financial Statements</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10">
              <w:r>
                <w:rPr>
                  <w:rFonts w:ascii="Times New Roman" w:cs="Times New Roman" w:eastAsia="Times New Roman" w:hAnsi="Times New Roman"/>
                  <w:sz w:val="18"/>
                  <w:szCs w:val="18"/>
                  <w:color w:val="auto"/>
                  <w:w w:val="99"/>
                </w:rPr>
                <w:t>11</w:t>
              </w:r>
            </w:hyperlink>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Item 2.</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31">
              <w:r>
                <w:rPr>
                  <w:rFonts w:ascii="Times New Roman" w:cs="Times New Roman" w:eastAsia="Times New Roman" w:hAnsi="Times New Roman"/>
                  <w:sz w:val="18"/>
                  <w:szCs w:val="18"/>
                  <w:color w:val="auto"/>
                  <w:w w:val="99"/>
                </w:rPr>
                <w:t>32</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3.</w:t>
              </w:r>
            </w:hyperlink>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2">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4.</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Controls and Procedures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53">
              <w:r>
                <w:rPr>
                  <w:rFonts w:ascii="Times New Roman" w:cs="Times New Roman" w:eastAsia="Times New Roman" w:hAnsi="Times New Roman"/>
                  <w:sz w:val="18"/>
                  <w:szCs w:val="18"/>
                  <w:color w:val="auto"/>
                  <w:w w:val="99"/>
                </w:rPr>
                <w:t>53</w:t>
              </w:r>
            </w:hyperlink>
          </w:p>
        </w:tc>
        <w:tc>
          <w:tcPr>
            <w:tcW w:w="0" w:type="dxa"/>
            <w:vAlign w:val="bottom"/>
          </w:tcPr>
          <w:p>
            <w:pPr>
              <w:spacing w:after="0"/>
              <w:rPr>
                <w:sz w:val="1"/>
                <w:szCs w:val="1"/>
                <w:color w:val="auto"/>
              </w:rPr>
            </w:pPr>
          </w:p>
        </w:tc>
      </w:tr>
      <w:tr>
        <w:trPr>
          <w:trHeight w:val="261"/>
        </w:trPr>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900" w:type="dxa"/>
            <w:vAlign w:val="bottom"/>
            <w:gridSpan w:val="6"/>
          </w:tcPr>
          <w:p>
            <w:pPr>
              <w:jc w:val="center"/>
              <w:ind w:right="360"/>
              <w:spacing w:after="0"/>
              <w:rPr>
                <w:rFonts w:ascii="Times New Roman" w:cs="Times New Roman" w:eastAsia="Times New Roman" w:hAnsi="Times New Roman"/>
                <w:sz w:val="18"/>
                <w:szCs w:val="18"/>
                <w:u w:val="single" w:color="auto"/>
                <w:color w:val="0000FF"/>
                <w:w w:val="98"/>
              </w:rPr>
            </w:pPr>
            <w:hyperlink w:anchor="page54">
              <w:r>
                <w:rPr>
                  <w:rFonts w:ascii="Times New Roman" w:cs="Times New Roman" w:eastAsia="Times New Roman" w:hAnsi="Times New Roman"/>
                  <w:sz w:val="18"/>
                  <w:szCs w:val="18"/>
                  <w:u w:val="single" w:color="auto"/>
                  <w:color w:val="0000FF"/>
                  <w:w w:val="98"/>
                </w:rPr>
                <w:t>PART II. OTHER INFORMATION</w:t>
              </w:r>
            </w:hyperlink>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1.</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Legal Proceedings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55</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Item 1A.</w:t>
              </w:r>
            </w:hyperlink>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Risk Factors</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55">
              <w:r>
                <w:rPr>
                  <w:rFonts w:ascii="Times New Roman" w:cs="Times New Roman" w:eastAsia="Times New Roman" w:hAnsi="Times New Roman"/>
                  <w:sz w:val="18"/>
                  <w:szCs w:val="18"/>
                  <w:color w:val="auto"/>
                  <w:w w:val="99"/>
                </w:rPr>
                <w:t>55</w:t>
              </w:r>
            </w:hyperlink>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Item 2.</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85">
              <w:r>
                <w:rPr>
                  <w:rFonts w:ascii="Times New Roman" w:cs="Times New Roman" w:eastAsia="Times New Roman" w:hAnsi="Times New Roman"/>
                  <w:sz w:val="18"/>
                  <w:szCs w:val="18"/>
                  <w:u w:val="single" w:color="auto"/>
                  <w:color w:val="0000FF"/>
                </w:rPr>
                <w:t>Unregistered Shares of Equity Securities and Use of Proceeds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85">
              <w:r>
                <w:rPr>
                  <w:rFonts w:ascii="Times New Roman" w:cs="Times New Roman" w:eastAsia="Times New Roman" w:hAnsi="Times New Roman"/>
                  <w:sz w:val="18"/>
                  <w:szCs w:val="18"/>
                  <w:color w:val="auto"/>
                  <w:w w:val="99"/>
                </w:rPr>
                <w:t>85</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3.</w:t>
              </w:r>
            </w:hyperlink>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Defaults Upon Senior Securities</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86</w:t>
              </w:r>
            </w:hyperlink>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4.</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Mine Safety Disclosures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86</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ind w:left="2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5.</w:t>
              </w:r>
            </w:hyperlink>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Other Information</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86</w:t>
              </w:r>
            </w:hyperlink>
          </w:p>
        </w:tc>
        <w:tc>
          <w:tcPr>
            <w:tcW w:w="0" w:type="dxa"/>
            <w:vAlign w:val="bottom"/>
          </w:tcPr>
          <w:p>
            <w:pPr>
              <w:spacing w:after="0"/>
              <w:rPr>
                <w:sz w:val="1"/>
                <w:szCs w:val="1"/>
                <w:color w:val="auto"/>
              </w:rPr>
            </w:pPr>
          </w:p>
        </w:tc>
      </w:tr>
      <w:tr>
        <w:trPr>
          <w:trHeight w:val="239"/>
        </w:trPr>
        <w:tc>
          <w:tcPr>
            <w:tcW w:w="980" w:type="dxa"/>
            <w:vAlign w:val="bottom"/>
          </w:tcPr>
          <w:p>
            <w:pPr>
              <w:ind w:left="2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Item 6.</w:t>
              </w:r>
            </w:hyperlink>
          </w:p>
        </w:tc>
        <w:tc>
          <w:tcPr>
            <w:tcW w:w="9260" w:type="dxa"/>
            <w:vAlign w:val="bottom"/>
            <w:gridSpan w:val="7"/>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Exhibits</w:t>
              </w:r>
            </w:hyperlink>
          </w:p>
        </w:tc>
        <w:tc>
          <w:tcPr>
            <w:tcW w:w="1000" w:type="dxa"/>
            <w:vAlign w:val="bottom"/>
          </w:tcPr>
          <w:p>
            <w:pPr>
              <w:jc w:val="center"/>
              <w:spacing w:after="0"/>
              <w:rPr>
                <w:rFonts w:ascii="Times New Roman" w:cs="Times New Roman" w:eastAsia="Times New Roman" w:hAnsi="Times New Roman"/>
                <w:sz w:val="18"/>
                <w:szCs w:val="18"/>
                <w:color w:val="auto"/>
                <w:w w:val="99"/>
              </w:rPr>
            </w:pPr>
            <w:hyperlink w:anchor="page86">
              <w:r>
                <w:rPr>
                  <w:rFonts w:ascii="Times New Roman" w:cs="Times New Roman" w:eastAsia="Times New Roman" w:hAnsi="Times New Roman"/>
                  <w:sz w:val="18"/>
                  <w:szCs w:val="18"/>
                  <w:color w:val="auto"/>
                  <w:w w:val="99"/>
                </w:rPr>
                <w:t>87</w:t>
              </w:r>
            </w:hyperlink>
          </w:p>
        </w:tc>
        <w:tc>
          <w:tcPr>
            <w:tcW w:w="0" w:type="dxa"/>
            <w:vAlign w:val="bottom"/>
          </w:tcPr>
          <w:p>
            <w:pPr>
              <w:spacing w:after="0"/>
              <w:rPr>
                <w:sz w:val="1"/>
                <w:szCs w:val="1"/>
                <w:color w:val="auto"/>
              </w:rPr>
            </w:pPr>
          </w:p>
        </w:tc>
      </w:tr>
      <w:tr>
        <w:trPr>
          <w:trHeight w:val="247"/>
        </w:trPr>
        <w:tc>
          <w:tcPr>
            <w:tcW w:w="980" w:type="dxa"/>
            <w:vAlign w:val="bottom"/>
            <w:shd w:val="clear" w:color="auto" w:fill="CCEEFF"/>
          </w:tcPr>
          <w:p>
            <w:pPr>
              <w:spacing w:after="0"/>
              <w:rPr>
                <w:sz w:val="21"/>
                <w:szCs w:val="21"/>
                <w:color w:val="auto"/>
              </w:rPr>
            </w:pPr>
          </w:p>
        </w:tc>
        <w:tc>
          <w:tcPr>
            <w:tcW w:w="926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Signatures</w:t>
              </w:r>
            </w:hyperlink>
          </w:p>
        </w:tc>
        <w:tc>
          <w:tcPr>
            <w:tcW w:w="100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87">
              <w:r>
                <w:rPr>
                  <w:rFonts w:ascii="Times New Roman" w:cs="Times New Roman" w:eastAsia="Times New Roman" w:hAnsi="Times New Roman"/>
                  <w:sz w:val="18"/>
                  <w:szCs w:val="18"/>
                  <w:color w:val="auto"/>
                  <w:w w:val="99"/>
                </w:rPr>
                <w:t>88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02"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144" w:lineRule="exact"/>
        <w:rPr>
          <w:sz w:val="20"/>
          <w:szCs w:val="20"/>
          <w:color w:val="auto"/>
        </w:rPr>
      </w:pPr>
    </w:p>
    <w:p>
      <w:pPr>
        <w:ind w:left="1300" w:right="200" w:hanging="320"/>
        <w:spacing w:after="0" w:line="250"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 financial results, and liquidity and capital resources, including on customers, sales, expenses, and employees;</w:t>
      </w:r>
    </w:p>
    <w:p>
      <w:pPr>
        <w:spacing w:after="0" w:line="108" w:lineRule="exact"/>
        <w:rPr>
          <w:rFonts w:ascii="Times New Roman" w:cs="Times New Roman" w:eastAsia="Times New Roman" w:hAnsi="Times New Roman"/>
          <w:sz w:val="18"/>
          <w:szCs w:val="18"/>
          <w:color w:val="auto"/>
        </w:rPr>
      </w:pPr>
    </w:p>
    <w:p>
      <w:pPr>
        <w:ind w:left="1300" w:right="100" w:hanging="320"/>
        <w:spacing w:after="0" w:line="236"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1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and bring them to market in a timely manner;</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and objectives for future operations;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 and technology alliance partners;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to meet cash needs for at least the next 12 months;</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4"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2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0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improve our internal control over financial reporting;</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98"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8"/>
          <w:szCs w:val="18"/>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8"/>
          <w:szCs w:val="18"/>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80" w:type="dxa"/>
            <w:vAlign w:val="bottom"/>
          </w:tcPr>
          <w:p>
            <w:pPr>
              <w:spacing w:after="0"/>
              <w:rPr>
                <w:sz w:val="16"/>
                <w:szCs w:val="16"/>
                <w:color w:val="auto"/>
              </w:rPr>
            </w:pPr>
          </w:p>
        </w:tc>
        <w:tc>
          <w:tcPr>
            <w:tcW w:w="11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1,064,734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264,798</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647,266</w:t>
            </w:r>
          </w:p>
        </w:tc>
        <w:tc>
          <w:tcPr>
            <w:tcW w:w="0" w:type="dxa"/>
            <w:vAlign w:val="bottom"/>
          </w:tcPr>
          <w:p>
            <w:pPr>
              <w:spacing w:after="0"/>
              <w:rPr>
                <w:sz w:val="1"/>
                <w:szCs w:val="1"/>
                <w:color w:val="auto"/>
              </w:rPr>
            </w:pPr>
          </w:p>
        </w:tc>
      </w:tr>
      <w:tr>
        <w:trPr>
          <w:trHeight w:val="140"/>
        </w:trPr>
        <w:tc>
          <w:tcPr>
            <w:tcW w:w="8520" w:type="dxa"/>
            <w:vAlign w:val="bottom"/>
            <w:shd w:val="clear" w:color="auto" w:fill="CCEEFF"/>
          </w:tcPr>
          <w:p>
            <w:pPr>
              <w:ind w:left="140"/>
              <w:spacing w:after="0" w:line="140"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$1.3 million and $1.1 million as of July 31, 2020 and January 31, 2020,</w:t>
            </w:r>
          </w:p>
        </w:tc>
        <w:tc>
          <w:tcPr>
            <w:tcW w:w="2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149,236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164,987</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53,837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42,971</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48,174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51,614</w:t>
            </w:r>
          </w:p>
        </w:tc>
        <w:tc>
          <w:tcPr>
            <w:tcW w:w="0" w:type="dxa"/>
            <w:vAlign w:val="bottom"/>
          </w:tcPr>
          <w:p>
            <w:pPr>
              <w:spacing w:after="0"/>
              <w:rPr>
                <w:sz w:val="1"/>
                <w:szCs w:val="1"/>
                <w:color w:val="auto"/>
              </w:rPr>
            </w:pPr>
          </w:p>
        </w:tc>
      </w:tr>
      <w:tr>
        <w:trPr>
          <w:trHeight w:val="19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1,315,981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1,171,636</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Strategic investments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153,303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136,078</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81,186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71,235</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7,722</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15,550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16,708</w:t>
            </w:r>
          </w:p>
        </w:tc>
        <w:tc>
          <w:tcPr>
            <w:tcW w:w="0" w:type="dxa"/>
            <w:vAlign w:val="bottom"/>
          </w:tcPr>
          <w:p>
            <w:pPr>
              <w:spacing w:after="0"/>
              <w:rPr>
                <w:sz w:val="1"/>
                <w:szCs w:val="1"/>
                <w:color w:val="auto"/>
              </w:rPr>
            </w:pPr>
          </w:p>
        </w:tc>
      </w:tr>
      <w:tr>
        <w:trPr>
          <w:trHeight w:val="201"/>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1,616,952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1,404,906</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19,211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30,355</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36,810</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515,081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412,985</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14,140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11,601</w:t>
            </w:r>
          </w:p>
        </w:tc>
        <w:tc>
          <w:tcPr>
            <w:tcW w:w="0" w:type="dxa"/>
            <w:vAlign w:val="bottom"/>
          </w:tcPr>
          <w:p>
            <w:pPr>
              <w:spacing w:after="0"/>
              <w:rPr>
                <w:sz w:val="1"/>
                <w:szCs w:val="1"/>
                <w:color w:val="auto"/>
              </w:rPr>
            </w:pPr>
          </w:p>
        </w:tc>
      </w:tr>
      <w:tr>
        <w:trPr>
          <w:trHeight w:val="201"/>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603,292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493,096</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174,759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158,183</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10,752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11,020</w:t>
            </w:r>
          </w:p>
        </w:tc>
        <w:tc>
          <w:tcPr>
            <w:tcW w:w="0" w:type="dxa"/>
            <w:vAlign w:val="bottom"/>
          </w:tcPr>
          <w:p>
            <w:pPr>
              <w:spacing w:after="0"/>
              <w:rPr>
                <w:sz w:val="1"/>
                <w:szCs w:val="1"/>
                <w:color w:val="auto"/>
              </w:rPr>
            </w:pPr>
          </w:p>
        </w:tc>
      </w:tr>
      <w:tr>
        <w:trPr>
          <w:trHeight w:val="201"/>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824,937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662,299</w:t>
            </w:r>
          </w:p>
        </w:tc>
        <w:tc>
          <w:tcPr>
            <w:tcW w:w="0" w:type="dxa"/>
            <w:vAlign w:val="bottom"/>
          </w:tcPr>
          <w:p>
            <w:pPr>
              <w:spacing w:after="0"/>
              <w:rPr>
                <w:sz w:val="1"/>
                <w:szCs w:val="1"/>
                <w:color w:val="auto"/>
              </w:rPr>
            </w:pPr>
          </w:p>
        </w:tc>
      </w:tr>
      <w:tr>
        <w:trPr>
          <w:trHeight w:val="17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$0.0005 par value; 100,000 shares authorized as of July 31, 2020 and January 31, 2020; no shares issued and outstanding as of</w:t>
            </w:r>
          </w:p>
        </w:tc>
        <w:tc>
          <w:tcPr>
            <w:tcW w:w="240" w:type="dxa"/>
            <w:vAlign w:val="bottom"/>
          </w:tcPr>
          <w:p>
            <w:pPr>
              <w:spacing w:after="0"/>
              <w:rPr>
                <w:sz w:val="11"/>
                <w:szCs w:val="11"/>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31, 2020 and January 31, 2020</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$0.0005 par value; 2,000,000 shares authorized as of July 31, 2020 and January 31, 2020, respectively; 183,609 shares</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and 107,666 shares issued and outstanding as of July 31, 2020 and January 31, 2020, respectively; Class B common stock, $0.0005 par value;</w:t>
            </w:r>
          </w:p>
        </w:tc>
        <w:tc>
          <w:tcPr>
            <w:tcW w:w="2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300,000 shares authorized as of July 31, 2020 and January 31, 2020, respectively; 35,585 shares and 105,282 shares issued and outstanding as of</w:t>
            </w:r>
          </w:p>
        </w:tc>
        <w:tc>
          <w:tcPr>
            <w:tcW w:w="2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31, 2020 and January 31, 2020, respectively</w:t>
            </w:r>
          </w:p>
        </w:tc>
        <w:tc>
          <w:tcPr>
            <w:tcW w:w="2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1,476,323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1,378,479</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(637,487)</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01"/>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CrowdStrike Holdings, Inc. stockholders’ equity</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790,965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742,107</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792,015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742,607</w:t>
            </w:r>
          </w:p>
        </w:tc>
        <w:tc>
          <w:tcPr>
            <w:tcW w:w="0" w:type="dxa"/>
            <w:vAlign w:val="bottom"/>
          </w:tcPr>
          <w:p>
            <w:pPr>
              <w:spacing w:after="0"/>
              <w:rPr>
                <w:sz w:val="1"/>
                <w:szCs w:val="1"/>
                <w:color w:val="auto"/>
              </w:rPr>
            </w:pPr>
          </w:p>
        </w:tc>
      </w:tr>
      <w:tr>
        <w:trPr>
          <w:trHeight w:val="201"/>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1,616,952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1,404,906</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9"/>
                <w:szCs w:val="19"/>
                <w:color w:val="auto"/>
              </w:rPr>
            </w:pPr>
          </w:p>
        </w:tc>
        <w:tc>
          <w:tcPr>
            <w:tcW w:w="2480" w:type="dxa"/>
            <w:vAlign w:val="bottom"/>
            <w:gridSpan w:val="4"/>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Six Months Ended July 31,</w:t>
            </w:r>
          </w:p>
        </w:tc>
        <w:tc>
          <w:tcPr>
            <w:tcW w:w="0" w:type="dxa"/>
            <w:vAlign w:val="bottom"/>
          </w:tcPr>
          <w:p>
            <w:pPr>
              <w:spacing w:after="0"/>
              <w:rPr>
                <w:sz w:val="1"/>
                <w:szCs w:val="1"/>
                <w:color w:val="auto"/>
              </w:rPr>
            </w:pPr>
          </w:p>
        </w:tc>
      </w:tr>
      <w:tr>
        <w:trPr>
          <w:trHeight w:val="29"/>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346,478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183,566</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20,619</w:t>
            </w:r>
          </w:p>
        </w:tc>
        <w:tc>
          <w:tcPr>
            <w:tcW w:w="0" w:type="dxa"/>
            <w:vAlign w:val="bottom"/>
          </w:tcPr>
          <w:p>
            <w:pPr>
              <w:spacing w:after="0"/>
              <w:rPr>
                <w:sz w:val="1"/>
                <w:szCs w:val="1"/>
                <w:color w:val="auto"/>
              </w:rPr>
            </w:pPr>
          </w:p>
        </w:tc>
      </w:tr>
      <w:tr>
        <w:trPr>
          <w:trHeight w:val="237"/>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377,049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204,185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48,637</w:t>
            </w: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12,219</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60,856</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143,329</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122,117</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55,505</w:t>
            </w: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42,122</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328,330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219,744</w:t>
            </w:r>
          </w:p>
        </w:tc>
        <w:tc>
          <w:tcPr>
            <w:tcW w:w="0" w:type="dxa"/>
            <w:vAlign w:val="bottom"/>
          </w:tcPr>
          <w:p>
            <w:pPr>
              <w:spacing w:after="0"/>
              <w:rPr>
                <w:sz w:val="1"/>
                <w:szCs w:val="1"/>
                <w:color w:val="auto"/>
              </w:rPr>
            </w:pPr>
          </w:p>
        </w:tc>
      </w:tr>
      <w:tr>
        <w:trPr>
          <w:trHeight w:val="290"/>
        </w:trPr>
        <w:tc>
          <w:tcPr>
            <w:tcW w:w="55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(76,636)</w:t>
            </w: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Net loss per share attributable to Class A and Class B common stockholders,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Weighted-average shares used in computing net loss per share attributable to</w:t>
            </w:r>
          </w:p>
        </w:tc>
        <w:tc>
          <w:tcPr>
            <w:tcW w:w="2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89,335</w:t>
            </w:r>
          </w:p>
        </w:tc>
        <w:tc>
          <w:tcPr>
            <w:tcW w:w="0" w:type="dxa"/>
            <w:vAlign w:val="bottom"/>
          </w:tcPr>
          <w:p>
            <w:pPr>
              <w:spacing w:after="0"/>
              <w:rPr>
                <w:sz w:val="1"/>
                <w:szCs w:val="1"/>
                <w:color w:val="auto"/>
              </w:rPr>
            </w:pPr>
          </w:p>
        </w:tc>
      </w:tr>
      <w:tr>
        <w:trPr>
          <w:trHeight w:val="25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and Class B common stockholders, basic and diluted</w:t>
            </w: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40" w:type="dxa"/>
            <w:vAlign w:val="bottom"/>
          </w:tcPr>
          <w:p>
            <w:pPr>
              <w:spacing w:after="0"/>
              <w:rPr>
                <w:sz w:val="19"/>
                <w:szCs w:val="19"/>
                <w:color w:val="auto"/>
              </w:rPr>
            </w:pPr>
          </w:p>
        </w:tc>
        <w:tc>
          <w:tcPr>
            <w:tcW w:w="2480" w:type="dxa"/>
            <w:vAlign w:val="bottom"/>
            <w:gridSpan w:val="4"/>
          </w:tcPr>
          <w:p>
            <w:pPr>
              <w:jc w:val="right"/>
              <w:ind w:right="290"/>
              <w:spacing w:after="0"/>
              <w:rPr>
                <w:sz w:val="20"/>
                <w:szCs w:val="20"/>
                <w:color w:val="auto"/>
              </w:rPr>
            </w:pPr>
            <w:r>
              <w:rPr>
                <w:rFonts w:ascii="Times New Roman" w:cs="Times New Roman" w:eastAsia="Times New Roman" w:hAnsi="Times New Roman"/>
                <w:sz w:val="17"/>
                <w:szCs w:val="17"/>
                <w:b w:val="1"/>
                <w:bCs w:val="1"/>
                <w:color w:val="auto"/>
              </w:rPr>
              <w:t>Six Months Ended July 31,</w:t>
            </w:r>
          </w:p>
        </w:tc>
      </w:tr>
      <w:tr>
        <w:trPr>
          <w:trHeight w:val="29"/>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(77,866)</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43"/>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unrealized gain upon sale of debt securities</w:t>
            </w:r>
          </w:p>
        </w:tc>
        <w:tc>
          <w:tcPr>
            <w:tcW w:w="2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Equity (Deficit)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July 31, 2020 and 2019</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143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8"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3"/>
          <w:szCs w:val="13"/>
          <w:b w:val="1"/>
          <w:bCs w:val="1"/>
          <w:color w:val="auto"/>
        </w:rPr>
        <w:t>Redeemable Convertible</w:t>
      </w:r>
    </w:p>
    <w:p>
      <w:pPr>
        <w:spacing w:after="0" w:line="17"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April 30, 2020</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RSU</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release</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2020</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vMerge w:val="restart"/>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4"/>
                <w:szCs w:val="4"/>
                <w:color w:val="auto"/>
              </w:rPr>
            </w:pPr>
          </w:p>
        </w:tc>
        <w:tc>
          <w:tcPr>
            <w:tcW w:w="980" w:type="dxa"/>
            <w:vAlign w:val="bottom"/>
            <w:vMerge w:val="restart"/>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44"/>
        </w:trPr>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215,505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1,409,758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(656,709)</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(1,004)</w:t>
            </w:r>
          </w:p>
        </w:tc>
        <w:tc>
          <w:tcPr>
            <w:tcW w:w="12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1,000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753,153</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2,633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10,208</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17,284</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849</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37,713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37,713</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(29,874)</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210"/>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2,119</w:t>
            </w:r>
          </w:p>
        </w:tc>
        <w:tc>
          <w:tcPr>
            <w:tcW w:w="0" w:type="dxa"/>
            <w:vAlign w:val="bottom"/>
          </w:tcPr>
          <w:p>
            <w:pPr>
              <w:spacing w:after="0"/>
              <w:rPr>
                <w:sz w:val="1"/>
                <w:szCs w:val="1"/>
                <w:color w:val="auto"/>
              </w:rPr>
            </w:pPr>
          </w:p>
        </w:tc>
      </w:tr>
      <w:tr>
        <w:trPr>
          <w:trHeight w:val="196"/>
        </w:trPr>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219,194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1,476,323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(686,583)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1,050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792,015</w:t>
            </w:r>
          </w:p>
        </w:tc>
        <w:tc>
          <w:tcPr>
            <w:tcW w:w="0" w:type="dxa"/>
            <w:vAlign w:val="bottom"/>
          </w:tcPr>
          <w:p>
            <w:pPr>
              <w:spacing w:after="0"/>
              <w:rPr>
                <w:sz w:val="1"/>
                <w:szCs w:val="1"/>
                <w:color w:val="auto"/>
              </w:rPr>
            </w:pPr>
          </w:p>
        </w:tc>
      </w:tr>
      <w:tr>
        <w:trPr>
          <w:trHeight w:val="27"/>
        </w:trPr>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394335</wp:posOffset>
            </wp:positionV>
            <wp:extent cx="7098030" cy="2914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29146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80"/>
            <w:col w:w="736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Redeemable</w:t>
            </w:r>
          </w:p>
        </w:tc>
      </w:tr>
      <w:tr>
        <w:trPr>
          <w:trHeight w:val="148"/>
        </w:trPr>
        <w:tc>
          <w:tcPr>
            <w:tcW w:w="2540" w:type="dxa"/>
            <w:vAlign w:val="bottom"/>
          </w:tcPr>
          <w:p>
            <w:pPr>
              <w:spacing w:after="0"/>
              <w:rPr>
                <w:sz w:val="12"/>
                <w:szCs w:val="12"/>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Convertible</w:t>
            </w:r>
          </w:p>
        </w:tc>
      </w:tr>
      <w:tr>
        <w:trPr>
          <w:trHeight w:val="186"/>
        </w:trPr>
        <w:tc>
          <w:tcPr>
            <w:tcW w:w="2540" w:type="dxa"/>
            <w:vAlign w:val="bottom"/>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Preferred Stock</w:t>
            </w:r>
          </w:p>
        </w:tc>
      </w:tr>
      <w:tr>
        <w:trPr>
          <w:trHeight w:val="196"/>
        </w:trPr>
        <w:tc>
          <w:tcPr>
            <w:tcW w:w="254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9"/>
        </w:trPr>
        <w:tc>
          <w:tcPr>
            <w:tcW w:w="2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April 30, 2019</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131,268</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557,912</w:t>
            </w:r>
          </w:p>
        </w:tc>
      </w:tr>
      <w:tr>
        <w:trPr>
          <w:trHeight w:val="177"/>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initial public</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4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offering, net of underwriting discounts and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redeemable convertible</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48"/>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to common stock upon initial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public offering</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(557,912)</w:t>
            </w:r>
          </w:p>
        </w:tc>
      </w:tr>
      <w:tr>
        <w:trPr>
          <w:trHeight w:val="177"/>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redeemable convertible</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48"/>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 liability to additional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paid-in capital upon initial public offering</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Net exercise of common stock warrants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related to early</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4"/>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exercised options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2"/>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2019</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1"/>
        </w:trPr>
        <w:tc>
          <w:tcPr>
            <w:tcW w:w="2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660" w:type="dxa"/>
            <w:vAlign w:val="bottom"/>
            <w:gridSpan w:val="4"/>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6"/>
        </w:trPr>
        <w:tc>
          <w:tcPr>
            <w:tcW w:w="166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140" w:type="dxa"/>
            <w:vAlign w:val="bottom"/>
          </w:tcPr>
          <w:p>
            <w:pPr>
              <w:spacing w:after="0"/>
              <w:rPr>
                <w:sz w:val="8"/>
                <w:szCs w:val="8"/>
                <w:color w:val="auto"/>
              </w:rPr>
            </w:pPr>
          </w:p>
        </w:tc>
        <w:tc>
          <w:tcPr>
            <w:tcW w:w="108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2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14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97"/>
        </w:trPr>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7"/>
                <w:szCs w:val="17"/>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87"/>
        </w:trPr>
        <w:tc>
          <w:tcPr>
            <w:tcW w:w="7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48,127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24</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36,670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(521,685)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(186)</w:t>
            </w:r>
          </w:p>
        </w:tc>
        <w:tc>
          <w:tcPr>
            <w:tcW w:w="100" w:type="dxa"/>
            <w:vAlign w:val="bottom"/>
          </w:tcPr>
          <w:p>
            <w:pPr>
              <w:spacing w:after="0"/>
              <w:rPr>
                <w:sz w:val="16"/>
                <w:szCs w:val="16"/>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(485,177)</w:t>
            </w:r>
          </w:p>
        </w:tc>
        <w:tc>
          <w:tcPr>
            <w:tcW w:w="0" w:type="dxa"/>
            <w:vAlign w:val="bottom"/>
          </w:tcPr>
          <w:p>
            <w:pPr>
              <w:spacing w:after="0"/>
              <w:rPr>
                <w:sz w:val="1"/>
                <w:szCs w:val="1"/>
                <w:color w:val="auto"/>
              </w:rPr>
            </w:pPr>
          </w:p>
        </w:tc>
      </w:tr>
      <w:tr>
        <w:trPr>
          <w:trHeight w:val="500"/>
        </w:trPr>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20,700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659,207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659,218</w:t>
            </w:r>
          </w:p>
        </w:tc>
        <w:tc>
          <w:tcPr>
            <w:tcW w:w="0" w:type="dxa"/>
            <w:vAlign w:val="bottom"/>
          </w:tcPr>
          <w:p>
            <w:pPr>
              <w:spacing w:after="0"/>
              <w:rPr>
                <w:sz w:val="1"/>
                <w:szCs w:val="1"/>
                <w:color w:val="auto"/>
              </w:rPr>
            </w:pPr>
          </w:p>
        </w:tc>
      </w:tr>
      <w:tr>
        <w:trPr>
          <w:trHeight w:val="499"/>
        </w:trPr>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131,268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557,846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557,912</w:t>
            </w:r>
          </w:p>
        </w:tc>
        <w:tc>
          <w:tcPr>
            <w:tcW w:w="0" w:type="dxa"/>
            <w:vAlign w:val="bottom"/>
          </w:tcPr>
          <w:p>
            <w:pPr>
              <w:spacing w:after="0"/>
              <w:rPr>
                <w:sz w:val="1"/>
                <w:szCs w:val="1"/>
                <w:color w:val="auto"/>
              </w:rPr>
            </w:pPr>
          </w:p>
        </w:tc>
      </w:tr>
      <w:tr>
        <w:trPr>
          <w:trHeight w:val="500"/>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10,559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w:t>
            </w:r>
          </w:p>
        </w:tc>
        <w:tc>
          <w:tcPr>
            <w:tcW w:w="0" w:type="dxa"/>
            <w:vAlign w:val="bottom"/>
          </w:tcPr>
          <w:p>
            <w:pPr>
              <w:spacing w:after="0"/>
              <w:rPr>
                <w:sz w:val="1"/>
                <w:szCs w:val="1"/>
                <w:color w:val="auto"/>
              </w:rPr>
            </w:pPr>
          </w:p>
        </w:tc>
      </w:tr>
      <w:tr>
        <w:trPr>
          <w:trHeight w:val="203"/>
        </w:trPr>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3,739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7,055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7,057</w:t>
            </w:r>
          </w:p>
        </w:tc>
        <w:tc>
          <w:tcPr>
            <w:tcW w:w="0" w:type="dxa"/>
            <w:vAlign w:val="bottom"/>
          </w:tcPr>
          <w:p>
            <w:pPr>
              <w:spacing w:after="0"/>
              <w:rPr>
                <w:sz w:val="1"/>
                <w:szCs w:val="1"/>
                <w:color w:val="auto"/>
              </w:rPr>
            </w:pPr>
          </w:p>
        </w:tc>
      </w:tr>
      <w:tr>
        <w:trPr>
          <w:trHeight w:val="351"/>
        </w:trPr>
        <w:tc>
          <w:tcPr>
            <w:tcW w:w="7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29,859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29,859</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0" w:type="dxa"/>
            <w:vAlign w:val="bottom"/>
          </w:tcPr>
          <w:p>
            <w:pPr>
              <w:spacing w:after="0"/>
              <w:rPr>
                <w:sz w:val="1"/>
                <w:szCs w:val="1"/>
                <w:color w:val="auto"/>
              </w:rPr>
            </w:pPr>
          </w:p>
        </w:tc>
      </w:tr>
      <w:tr>
        <w:trPr>
          <w:trHeight w:val="202"/>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(51,889)</w:t>
            </w: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116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196"/>
        </w:trPr>
        <w:tc>
          <w:tcPr>
            <w:tcW w:w="7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205,193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1,302,098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(573,574)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3"/>
                <w:szCs w:val="13"/>
                <w:b w:val="1"/>
                <w:bCs w:val="1"/>
                <w:color w:val="auto"/>
              </w:rPr>
              <w:t>(530)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728,097</w:t>
            </w:r>
          </w:p>
        </w:tc>
        <w:tc>
          <w:tcPr>
            <w:tcW w:w="0" w:type="dxa"/>
            <w:vAlign w:val="bottom"/>
          </w:tcPr>
          <w:p>
            <w:pPr>
              <w:spacing w:after="0"/>
              <w:rPr>
                <w:sz w:val="1"/>
                <w:szCs w:val="1"/>
                <w:color w:val="auto"/>
              </w:rPr>
            </w:pPr>
          </w:p>
        </w:tc>
      </w:tr>
      <w:tr>
        <w:trPr>
          <w:trHeight w:val="27"/>
        </w:trPr>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360" w:space="220"/>
            <w:col w:w="6660"/>
          </w:cols>
          <w:pgMar w:left="320" w:top="121" w:right="339"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Redeemable Convertible Preferred Stock and Stockholders’ Equity (Deficit)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 Months Ended July 31, 2020 and 2019</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091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88"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3"/>
          <w:szCs w:val="13"/>
          <w:b w:val="1"/>
          <w:bCs w:val="1"/>
          <w:color w:val="auto"/>
        </w:rPr>
        <w:t>Redeemable Convertible</w:t>
      </w:r>
    </w:p>
    <w:p>
      <w:pPr>
        <w:spacing w:after="0" w:line="17"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2020</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RSU</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release</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stock-based compensation</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6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r>
      <w:tr>
        <w:trPr>
          <w:trHeight w:val="223"/>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2020</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bl>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gridSpan w:val="4"/>
            <w:vMerge w:val="restart"/>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5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0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0"/>
                <w:szCs w:val="10"/>
                <w:color w:val="auto"/>
              </w:rPr>
            </w:pPr>
          </w:p>
        </w:tc>
        <w:tc>
          <w:tcPr>
            <w:tcW w:w="980" w:type="dxa"/>
            <w:vAlign w:val="bottom"/>
          </w:tcPr>
          <w:p>
            <w:pPr>
              <w:jc w:val="center"/>
              <w:ind w:right="33"/>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6"/>
        </w:trPr>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6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7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212,948</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106</w:t>
            </w:r>
          </w:p>
        </w:tc>
        <w:tc>
          <w:tcPr>
            <w:tcW w:w="100" w:type="dxa"/>
            <w:vAlign w:val="bottom"/>
          </w:tcPr>
          <w:p>
            <w:pPr>
              <w:spacing w:after="0"/>
              <w:rPr>
                <w:sz w:val="16"/>
                <w:szCs w:val="16"/>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1,378,479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(637,487)</w:t>
            </w:r>
          </w:p>
        </w:tc>
        <w:tc>
          <w:tcPr>
            <w:tcW w:w="1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20" w:type="dxa"/>
            <w:vAlign w:val="bottom"/>
          </w:tcPr>
          <w:p>
            <w:pPr>
              <w:spacing w:after="0"/>
              <w:rPr>
                <w:sz w:val="16"/>
                <w:szCs w:val="16"/>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500</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742,607</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4,689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16,601</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7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17,284</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1,722</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61,351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61,351</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890</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(49,096)</w:t>
            </w:r>
          </w:p>
        </w:tc>
        <w:tc>
          <w:tcPr>
            <w:tcW w:w="0" w:type="dxa"/>
            <w:vAlign w:val="bottom"/>
          </w:tcPr>
          <w:p>
            <w:pPr>
              <w:spacing w:after="0"/>
              <w:rPr>
                <w:sz w:val="1"/>
                <w:szCs w:val="1"/>
                <w:color w:val="auto"/>
              </w:rPr>
            </w:pPr>
          </w:p>
        </w:tc>
      </w:tr>
      <w:tr>
        <w:trPr>
          <w:trHeight w:val="20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210"/>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203"/>
        </w:trPr>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219,194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110</w:t>
            </w:r>
          </w:p>
        </w:tc>
        <w:tc>
          <w:tcPr>
            <w:tcW w:w="10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1,476,323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(686,583)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1,050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792,015</w:t>
            </w:r>
          </w:p>
        </w:tc>
        <w:tc>
          <w:tcPr>
            <w:tcW w:w="0" w:type="dxa"/>
            <w:vAlign w:val="bottom"/>
          </w:tcPr>
          <w:p>
            <w:pPr>
              <w:spacing w:after="0"/>
              <w:rPr>
                <w:sz w:val="1"/>
                <w:szCs w:val="1"/>
                <w:color w:val="auto"/>
              </w:rPr>
            </w:pP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394335</wp:posOffset>
            </wp:positionV>
            <wp:extent cx="7132320" cy="2948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48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180"/>
            <w:col w:w="7360"/>
          </w:cols>
          <w:pgMar w:left="320" w:top="121"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600" w:type="dxa"/>
            <w:vAlign w:val="bottom"/>
          </w:tcPr>
          <w:p>
            <w:pPr>
              <w:spacing w:after="0"/>
              <w:rPr>
                <w:sz w:val="12"/>
                <w:szCs w:val="12"/>
                <w:color w:val="auto"/>
              </w:rPr>
            </w:pPr>
          </w:p>
        </w:tc>
        <w:tc>
          <w:tcPr>
            <w:tcW w:w="1800" w:type="dxa"/>
            <w:vAlign w:val="bottom"/>
            <w:gridSpan w:val="4"/>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Redeemable Convertible</w:t>
            </w:r>
          </w:p>
        </w:tc>
      </w:tr>
      <w:tr>
        <w:trPr>
          <w:trHeight w:val="186"/>
        </w:trPr>
        <w:tc>
          <w:tcPr>
            <w:tcW w:w="2600" w:type="dxa"/>
            <w:vAlign w:val="bottom"/>
          </w:tcPr>
          <w:p>
            <w:pPr>
              <w:spacing w:after="0"/>
              <w:rPr>
                <w:sz w:val="16"/>
                <w:szCs w:val="16"/>
                <w:color w:val="auto"/>
              </w:rPr>
            </w:pPr>
          </w:p>
        </w:tc>
        <w:tc>
          <w:tcPr>
            <w:tcW w:w="18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Preferred Stock</w:t>
            </w:r>
          </w:p>
        </w:tc>
      </w:tr>
      <w:tr>
        <w:trPr>
          <w:trHeight w:val="196"/>
        </w:trPr>
        <w:tc>
          <w:tcPr>
            <w:tcW w:w="260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9"/>
        </w:trPr>
        <w:tc>
          <w:tcPr>
            <w:tcW w:w="2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2019</w:t>
            </w:r>
          </w:p>
        </w:tc>
        <w:tc>
          <w:tcPr>
            <w:tcW w:w="8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131,268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557,912</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Cumulative effect of accounting change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initial public</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8"/>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offering, net of underwriting discounts and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issuance costs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redeemable convertible</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8"/>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to common stock upon initial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public offering</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(557,912)</w:t>
            </w:r>
          </w:p>
        </w:tc>
      </w:tr>
      <w:tr>
        <w:trPr>
          <w:trHeight w:val="17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redeemable convertible</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9"/>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warrant liability to additional</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paid-in capital upon initial public offering</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Net exercise of common stock warrants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options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17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related to early</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exercise options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Vesting of early exercised options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Capitalized stock0based compensation</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r>
      <w:tr>
        <w:trPr>
          <w:trHeight w:val="203"/>
        </w:trPr>
        <w:tc>
          <w:tcPr>
            <w:tcW w:w="2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2019</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2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40" w:type="dxa"/>
            <w:vAlign w:val="bottom"/>
            <w:gridSpan w:val="4"/>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00" w:type="dxa"/>
            <w:vAlign w:val="bottom"/>
          </w:tcPr>
          <w:p>
            <w:pPr>
              <w:spacing w:after="0"/>
              <w:rPr>
                <w:sz w:val="12"/>
                <w:szCs w:val="12"/>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6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04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6"/>
        </w:trPr>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00" w:type="dxa"/>
            <w:vAlign w:val="bottom"/>
          </w:tcPr>
          <w:p>
            <w:pPr>
              <w:spacing w:after="0"/>
              <w:rPr>
                <w:sz w:val="17"/>
                <w:szCs w:val="17"/>
                <w:color w:val="auto"/>
              </w:rPr>
            </w:pP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0" w:type="dxa"/>
            <w:vAlign w:val="bottom"/>
          </w:tcPr>
          <w:p>
            <w:pPr>
              <w:spacing w:after="0"/>
              <w:rPr>
                <w:sz w:val="1"/>
                <w:szCs w:val="1"/>
                <w:color w:val="auto"/>
              </w:rPr>
            </w:pPr>
          </w:p>
        </w:tc>
      </w:tr>
      <w:tr>
        <w:trPr>
          <w:trHeight w:val="189"/>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47,421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w:t>
            </w:r>
          </w:p>
        </w:tc>
        <w:tc>
          <w:tcPr>
            <w:tcW w:w="12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31,211</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(519,126)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(487,793)</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23,418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23,418</w:t>
            </w:r>
          </w:p>
        </w:tc>
        <w:tc>
          <w:tcPr>
            <w:tcW w:w="0" w:type="dxa"/>
            <w:vAlign w:val="bottom"/>
          </w:tcPr>
          <w:p>
            <w:pPr>
              <w:spacing w:after="0"/>
              <w:rPr>
                <w:sz w:val="1"/>
                <w:szCs w:val="1"/>
                <w:color w:val="auto"/>
              </w:rPr>
            </w:pPr>
          </w:p>
        </w:tc>
      </w:tr>
      <w:tr>
        <w:trPr>
          <w:trHeight w:val="499"/>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659,207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659,218</w:t>
            </w:r>
          </w:p>
        </w:tc>
        <w:tc>
          <w:tcPr>
            <w:tcW w:w="0" w:type="dxa"/>
            <w:vAlign w:val="bottom"/>
          </w:tcPr>
          <w:p>
            <w:pPr>
              <w:spacing w:after="0"/>
              <w:rPr>
                <w:sz w:val="1"/>
                <w:szCs w:val="1"/>
                <w:color w:val="auto"/>
              </w:rPr>
            </w:pPr>
          </w:p>
        </w:tc>
      </w:tr>
      <w:tr>
        <w:trPr>
          <w:trHeight w:val="500"/>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557,846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557,912</w:t>
            </w:r>
          </w:p>
        </w:tc>
        <w:tc>
          <w:tcPr>
            <w:tcW w:w="0" w:type="dxa"/>
            <w:vAlign w:val="bottom"/>
          </w:tcPr>
          <w:p>
            <w:pPr>
              <w:spacing w:after="0"/>
              <w:rPr>
                <w:sz w:val="1"/>
                <w:szCs w:val="1"/>
                <w:color w:val="auto"/>
              </w:rPr>
            </w:pPr>
          </w:p>
        </w:tc>
      </w:tr>
      <w:tr>
        <w:trPr>
          <w:trHeight w:val="500"/>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10,559</w:t>
            </w:r>
          </w:p>
        </w:tc>
        <w:tc>
          <w:tcPr>
            <w:tcW w:w="0" w:type="dxa"/>
            <w:vAlign w:val="bottom"/>
          </w:tcPr>
          <w:p>
            <w:pPr>
              <w:spacing w:after="0"/>
              <w:rPr>
                <w:sz w:val="1"/>
                <w:szCs w:val="1"/>
                <w:color w:val="auto"/>
              </w:rPr>
            </w:pPr>
          </w:p>
        </w:tc>
      </w:tr>
      <w:tr>
        <w:trPr>
          <w:trHeight w:val="203"/>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8,567</w:t>
            </w:r>
          </w:p>
        </w:tc>
        <w:tc>
          <w:tcPr>
            <w:tcW w:w="0" w:type="dxa"/>
            <w:vAlign w:val="bottom"/>
          </w:tcPr>
          <w:p>
            <w:pPr>
              <w:spacing w:after="0"/>
              <w:rPr>
                <w:sz w:val="1"/>
                <w:szCs w:val="1"/>
                <w:color w:val="auto"/>
              </w:rPr>
            </w:pP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854</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33,611</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203"/>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(77,866)</w:t>
            </w:r>
          </w:p>
        </w:tc>
        <w:tc>
          <w:tcPr>
            <w:tcW w:w="0" w:type="dxa"/>
            <w:vAlign w:val="bottom"/>
          </w:tcPr>
          <w:p>
            <w:pPr>
              <w:spacing w:after="0"/>
              <w:rPr>
                <w:sz w:val="1"/>
                <w:szCs w:val="1"/>
                <w:color w:val="auto"/>
              </w:rPr>
            </w:pPr>
          </w:p>
        </w:tc>
      </w:tr>
      <w:tr>
        <w:trPr>
          <w:trHeight w:val="210"/>
        </w:trPr>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0" w:type="dxa"/>
            <w:vAlign w:val="bottom"/>
          </w:tcPr>
          <w:p>
            <w:pPr>
              <w:spacing w:after="0"/>
              <w:rPr>
                <w:sz w:val="1"/>
                <w:szCs w:val="1"/>
                <w:color w:val="auto"/>
              </w:rPr>
            </w:pPr>
          </w:p>
        </w:tc>
      </w:tr>
      <w:tr>
        <w:trPr>
          <w:trHeight w:val="196"/>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205,193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1,302,098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(573,574)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728,097</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420" w:space="220"/>
            <w:col w:w="6600"/>
          </w:cols>
          <w:pgMar w:left="320" w:top="121" w:right="339" w:bottom="1440" w:gutter="0" w:footer="0" w:header="0"/>
          <w:type w:val="continuous"/>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jc w:val="center"/>
        <w:spacing w:after="0" w:line="201" w:lineRule="auto"/>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jc w:val="center"/>
        <w:spacing w:after="0" w:line="201" w:lineRule="auto"/>
        <w:rPr>
          <w:sz w:val="20"/>
          <w:szCs w:val="20"/>
          <w:color w:val="auto"/>
        </w:rPr>
      </w:pPr>
      <w:r>
        <w:rPr>
          <w:rFonts w:ascii="Times New Roman" w:cs="Times New Roman" w:eastAsia="Times New Roman" w:hAnsi="Times New Roman"/>
          <w:sz w:val="14"/>
          <w:szCs w:val="14"/>
          <w:i w:val="1"/>
          <w:iCs w:val="1"/>
          <w:color w:val="auto"/>
        </w:rPr>
        <w:t>(in thousands)</w:t>
      </w: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(49,096)</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(77,866)</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10,193</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28,171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15,076</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redeemable convertible preferred stock warrant liability</w:t>
            </w: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6,022</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bad debts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61,351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33,611</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debt securities, net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Accretion (amortization) of marketable securities purchased at a discount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98"/>
        </w:trPr>
        <w:tc>
          <w:tcPr>
            <w:tcW w:w="8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(22,802)</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(27,788)</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(12,505)</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9,634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118,672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79,362</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1"/>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153,602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(37,159)</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strategic investments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(117,572)</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639,586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4,473</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91,605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123,314</w:t>
            </w:r>
          </w:p>
        </w:tc>
        <w:tc>
          <w:tcPr>
            <w:tcW w:w="0" w:type="dxa"/>
            <w:vAlign w:val="bottom"/>
          </w:tcPr>
          <w:p>
            <w:pPr>
              <w:spacing w:after="0"/>
              <w:rPr>
                <w:sz w:val="1"/>
                <w:szCs w:val="1"/>
                <w:color w:val="auto"/>
              </w:rPr>
            </w:pPr>
          </w:p>
        </w:tc>
      </w:tr>
      <w:tr>
        <w:trPr>
          <w:trHeight w:val="191"/>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611,103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(30,254)</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upon initial public offering, net of underwriting discounts</w:t>
            </w: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665,092</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deferred offering costs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16,601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8,526</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upon exercise of early exercisable stock options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10,264</w:t>
            </w:r>
          </w:p>
        </w:tc>
        <w:tc>
          <w:tcPr>
            <w:tcW w:w="0" w:type="dxa"/>
            <w:vAlign w:val="bottom"/>
          </w:tcPr>
          <w:p>
            <w:pPr>
              <w:spacing w:after="0"/>
              <w:rPr>
                <w:sz w:val="1"/>
                <w:szCs w:val="1"/>
                <w:color w:val="auto"/>
              </w:rPr>
            </w:pPr>
          </w:p>
        </w:tc>
      </w:tr>
      <w:tr>
        <w:trPr>
          <w:trHeight w:val="26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contributions from non-controlling interest holders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679,802</w:t>
            </w:r>
          </w:p>
        </w:tc>
        <w:tc>
          <w:tcPr>
            <w:tcW w:w="0" w:type="dxa"/>
            <w:vAlign w:val="bottom"/>
          </w:tcPr>
          <w:p>
            <w:pPr>
              <w:spacing w:after="0"/>
              <w:rPr>
                <w:sz w:val="1"/>
                <w:szCs w:val="1"/>
                <w:color w:val="auto"/>
              </w:rPr>
            </w:pPr>
          </w:p>
        </w:tc>
      </w:tr>
      <w:tr>
        <w:trPr>
          <w:trHeight w:val="167"/>
        </w:trPr>
        <w:tc>
          <w:tcPr>
            <w:tcW w:w="8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rates on cash and cash equivalents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1"/>
        </w:trPr>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799,936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644,400</w:t>
            </w:r>
          </w:p>
        </w:tc>
        <w:tc>
          <w:tcPr>
            <w:tcW w:w="0" w:type="dxa"/>
            <w:vAlign w:val="bottom"/>
          </w:tcPr>
          <w:p>
            <w:pPr>
              <w:spacing w:after="0"/>
              <w:rPr>
                <w:sz w:val="1"/>
                <w:szCs w:val="1"/>
                <w:color w:val="auto"/>
              </w:rPr>
            </w:pPr>
          </w:p>
        </w:tc>
      </w:tr>
      <w:tr>
        <w:trPr>
          <w:trHeight w:val="19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264,798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88,408</w:t>
            </w:r>
          </w:p>
        </w:tc>
        <w:tc>
          <w:tcPr>
            <w:tcW w:w="0" w:type="dxa"/>
            <w:vAlign w:val="bottom"/>
          </w:tcPr>
          <w:p>
            <w:pPr>
              <w:spacing w:after="0"/>
              <w:rPr>
                <w:sz w:val="1"/>
                <w:szCs w:val="1"/>
                <w:color w:val="auto"/>
              </w:rPr>
            </w:pPr>
          </w:p>
        </w:tc>
      </w:tr>
      <w:tr>
        <w:trPr>
          <w:trHeight w:val="221"/>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1,064,734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732,808</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5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 received</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w:t>
            </w: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659,207</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of redeemable convertible preferred stock warrant liabilities reclassified to additional paid-in capital</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10,559</w:t>
            </w:r>
          </w:p>
        </w:tc>
        <w:tc>
          <w:tcPr>
            <w:tcW w:w="0" w:type="dxa"/>
            <w:vAlign w:val="bottom"/>
          </w:tcPr>
          <w:p>
            <w:pPr>
              <w:spacing w:after="0"/>
              <w:rPr>
                <w:sz w:val="1"/>
                <w:szCs w:val="1"/>
                <w:color w:val="auto"/>
              </w:rPr>
            </w:pPr>
          </w:p>
        </w:tc>
      </w:tr>
      <w:tr>
        <w:trPr>
          <w:trHeight w:val="19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deferred offering costs, accrued but not paid</w:t>
            </w:r>
          </w:p>
        </w:tc>
        <w:tc>
          <w:tcPr>
            <w:tcW w:w="3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property and equipment included in accounts payable and accrued expenses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3,820</w:t>
            </w: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early exercised stock options</w:t>
            </w: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Description of Business and Basis of Presentation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CrowdStrike Holdings, Inc. (the “Company”) was formed on November 7, 2011. The Company provides a leading cloud-delivered solution for next-generation endpoint protection that offers 11 cloud modules on its Falcon platform via a software as a service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U.S.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2020,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information. The results of operations for the three and six months ended July 31, 2020 are not necessarily indicative of the results to be expected for the year ending January 31, 2021 or for any other interim period or for any other future year.</w:t>
      </w:r>
    </w:p>
    <w:p>
      <w:pPr>
        <w:spacing w:after="0" w:line="400" w:lineRule="exact"/>
        <w:rPr>
          <w:sz w:val="20"/>
          <w:szCs w:val="20"/>
          <w:color w:val="auto"/>
        </w:rPr>
      </w:pPr>
    </w:p>
    <w:p>
      <w:pPr>
        <w:ind w:left="660" w:right="7720" w:hanging="652"/>
        <w:spacing w:after="0" w:line="503" w:lineRule="auto"/>
        <w:tabs>
          <w:tab w:leader="none" w:pos="192"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Summary of Significant Accounting Policies Principles of Consolidation</w:t>
      </w: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the applicable required disclosures and regulations of the SEC. Therefore, 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2020, filed with the SEC on March 23, 2020.</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will be an “emerging growth company” (“EGC”) as defined in the Jumpstart Our Business Startups Act of 2012 (“JOBS Act”) until January 31, 2021.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 The Company may take advantage of these exemptions until it is no longer an EGC.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Estimates and assumptions used by management include, but are not limited to, revenue recognition, the allowance for doubtful accounts, the carrying value and the useful lives of long-lived assets, the fair values of financial instruments and strategic investments, the period of benefit for deferred contract acquisition costs, the discount rate used for operating leases, the recognition and disclosure of contingent liabilities, income taxes, and stock-based compensation.</w:t>
      </w:r>
    </w:p>
    <w:p>
      <w:pPr>
        <w:spacing w:after="0" w:line="207"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Due to the Coronavirus (“COVID-19”) pandemic, there has been uncertainty and disruption in the global economy and financial markets. The Company is not aware of any specific event or circumstance that would require a material update to its estimates or judgments or an adjustment of the carrying value of its assets or liabilities as of July 31, 2020. While there was not a material impact to the Company’s condensed consolidated financial statements as of and for the three and six months ended July 31, 2020, these estimates may change, as new events occur and additional information is obtained, as well as other factors related to COVID-19 that could result in material impacts to the Company’s condensed consolidated financial statements in future reporting periods.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Geographic Information</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 As of July 31, 2020, the Company did not have any cash equivalents or marketable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Channel partners or direct customers who represented 10% or more of the Company’s accounts receivable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10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6"/>
        </w:trPr>
        <w:tc>
          <w:tcPr>
            <w:tcW w:w="82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49"/>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Channel partner B</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
        </w:trPr>
        <w:tc>
          <w:tcPr>
            <w:tcW w:w="8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918"/>
        </w:trPr>
        <w:tc>
          <w:tcPr>
            <w:tcW w:w="826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8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Channel partners who represented 10% or more of the Company’s total revenue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55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2"/>
        </w:trPr>
        <w:tc>
          <w:tcPr>
            <w:tcW w:w="6500" w:type="dxa"/>
            <w:vAlign w:val="bottom"/>
            <w:gridSpan w:val="2"/>
            <w:shd w:val="clear" w:color="auto" w:fill="CCEEFF"/>
          </w:tcPr>
          <w:p>
            <w:pPr>
              <w:jc w:val="right"/>
              <w:ind w:right="5068"/>
              <w:spacing w:after="0"/>
              <w:rPr>
                <w:sz w:val="20"/>
                <w:szCs w:val="20"/>
                <w:color w:val="auto"/>
              </w:rPr>
            </w:pPr>
            <w:r>
              <w:rPr>
                <w:rFonts w:ascii="Times New Roman" w:cs="Times New Roman" w:eastAsia="Times New Roman" w:hAnsi="Times New Roman"/>
                <w:sz w:val="18"/>
                <w:szCs w:val="18"/>
                <w:color w:val="auto"/>
              </w:rPr>
              <w:t>Channel partner 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5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There were no direct customers who represented 10% or more of the Company’s total revenue during the three and six months ended July 31, 2020 and July 31, 2019.</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Other than the policies described below, there have been no changes to the Company’s significant accounting policies described in its Annual Report on Form 10-K that have had a material impact on its consolidated financial statements and related notes.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condensed consolidated balance sheet. The Company did not have any financing leases in any of the periods presented.</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8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non-cancelable lease term when recognizing the right-of-use (“ROU”) assets and lease liabilities, unless it is reasonably certain that a renewal or termination option will be exercised. The Company accounts for lease components and non-lease components as a single lease component.</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Leases with a term of twelve months or less are not recognized on the condensed consolidated balance sheet but are recognized as expense on a straight-line basis over the term of the lease.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debt securities</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212529"/>
        </w:rPr>
        <w:t>The Company evaluates investments with unrealized loss positions by assessing if they are related to deterioration in credit risk and whether the Company expects to recover the entire amortized cost basis of the security,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s intent to sell and whether it is more likely than not that the Company will be required to sell the securities before the recovery of its cost basis. Credit-related impairment losses, not to exceed the amount that fair value is less than the amortized cost basis, are recognized through an allowance for credit losses with changes in the allowance for credit losses recorded in other income (expense), net in the condensed consolidated statements of comprehensive income (loss). </w:t>
      </w:r>
      <w:r>
        <w:rPr>
          <w:rFonts w:ascii="Times New Roman" w:cs="Times New Roman" w:eastAsia="Times New Roman" w:hAnsi="Times New Roman"/>
          <w:sz w:val="18"/>
          <w:szCs w:val="18"/>
          <w:color w:val="000000"/>
        </w:rPr>
        <w:t>As of July 31, 2020, there were no marketable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securities held by the Company and there were no securities that had been in continuous unrealized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are non-interest bearing. Accounts receivable are stated at their net realizable value, net of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doubtful accounts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doubtful accounts. As of July 31, 2020 and January 31, 2020, the allowance for doubtful accounts was $1.3 million and $1.1 million, respectively.</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Software Implementation Costs</w:t>
      </w:r>
    </w:p>
    <w:p>
      <w:pPr>
        <w:spacing w:after="0" w:line="21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The Company contracts with third party information technology providers for various service arrangements including software, platform, and information technology infrastructure. The Company capitalizes the implementation cost incurred to develop or obtain internal-use software in such arrangements. All capitalized implementation costs are amortized over the term of the arrangement which includes reasonably certain renewals. Costs incurred during the preliminary project and post implement stage are expensed as the activities are performed. Capitalized implementation costs were not material for the three and six months ended July 31, 2020.</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9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(Topic 842),” which requires lessees to generally recognize on the balance sheet operating and financing lease liabilities and corresponding ROU assets, and to recognize on the income statement the expenses in a manner similar to prior practice. The Company adopted Topic 842 using the modified retrospective method on February 1, 2020.</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12529"/>
        </w:rPr>
        <w:t xml:space="preserve">The Company elected </w:t>
      </w:r>
      <w:r>
        <w:rPr>
          <w:rFonts w:ascii="Times New Roman" w:cs="Times New Roman" w:eastAsia="Times New Roman" w:hAnsi="Times New Roman"/>
          <w:sz w:val="18"/>
          <w:szCs w:val="18"/>
          <w:color w:val="000000"/>
        </w:rPr>
        <w:t>the following practical expedients:</w:t>
      </w:r>
    </w:p>
    <w:p>
      <w:pPr>
        <w:spacing w:after="0" w:line="239"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02" w:lineRule="exact"/>
        <w:rPr>
          <w:rFonts w:ascii="Times New Roman" w:cs="Times New Roman" w:eastAsia="Times New Roman" w:hAnsi="Times New Roman"/>
          <w:sz w:val="18"/>
          <w:szCs w:val="18"/>
          <w:color w:val="212529"/>
        </w:rPr>
      </w:pPr>
    </w:p>
    <w:p>
      <w:pPr>
        <w:jc w:val="both"/>
        <w:ind w:left="660" w:hanging="328"/>
        <w:spacing w:after="0" w:line="238" w:lineRule="auto"/>
        <w:tabs>
          <w:tab w:leader="none" w:pos="648"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25"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212529"/>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12529"/>
        </w:rPr>
        <w:t>The Company did not elect the hindsight practical expedient.</w:t>
      </w:r>
    </w:p>
    <w:p>
      <w:pPr>
        <w:spacing w:after="0" w:line="239"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212529"/>
        </w:rPr>
        <w:t>Lease payments consist primarily of the fixed payments under the arrangement, less any lease incentives such as tenant improvement allowance. The Company uses an estimate of its IBR based on the information available at the lease commencement date in determining the present value of lease payments, unless the implicit rate is readily determinable. In determining the appropriate IBR, management considers information including, but not limited to, the Company</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12529"/>
        </w:rPr>
        <w:t xml:space="preserve"> credit rating, the lease term, and the currency in which the arrangement is denominated. For leases which commenced prior to the adoption of Topic 842, the Company used the IBR on January 31, 2020.</w:t>
      </w:r>
    </w:p>
    <w:p>
      <w:pPr>
        <w:spacing w:after="0" w:line="2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12529"/>
        </w:rPr>
        <w:t>The adoption of this new standard on February 1, 2020, and the application of the modified retrospective transition approach resulted in the following changes:</w:t>
      </w:r>
    </w:p>
    <w:p>
      <w:pPr>
        <w:spacing w:after="0" w:line="176"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12529"/>
        </w:rPr>
        <w:t>Assets increased by $37.4 million, primarily representing the recognition of ROU asset for operating leases; and</w:t>
      </w:r>
    </w:p>
    <w:p>
      <w:pPr>
        <w:spacing w:after="0" w:line="202" w:lineRule="exact"/>
        <w:rPr>
          <w:rFonts w:ascii="Times New Roman" w:cs="Times New Roman" w:eastAsia="Times New Roman" w:hAnsi="Times New Roman"/>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Liabilities increased by $37.4 million, primarily representing the recognition of lease liabilities for operating leases partially offset by derecognition of liabilities for deferred rent previously designated under ASC Topic 840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This ASU requires a financial asset measured at amortized cost basis to be presented at the net amount expected to be collected, with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clarifications made more recently regarding the treatment of accrued interest, transfers between classifications for loans and debt securities, recoveries and the option to irrevocably elect the fair value option (on an instrument-by-instrument basis) for eligible financial assets at amortized costs. For trade receivables, loans, and other financial assets, the Company will be required to use a forward-looking expected loss model rather than the incurred loss model for recognizing credit losses which reflects losses that are probable. Credit losses relating to available-for-sale debt securities are required to be recorded through an allowance for credit losses in the condensed consolidated statements of operation rather than as a reduction in the amortized cost basis of the securities. The Company adopted this guidance on February 1, 2020, which did not have a material effect on its condensed consolidated financial statements.</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 Simplifying the Test for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This ASU simplifies the measurement of goodwill by eliminating step two of the two-step impairment test. Step two measures a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guidance on February 1, 2020 which did not have a material effect on its condensed consolidated financial statements.</w:t>
      </w:r>
    </w:p>
    <w:p>
      <w:pPr>
        <w:spacing w:after="0" w:line="210"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This ASU modifies the disclosure requirements on fair value measurements in Topic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The Company adopted this guidance on February 1, 2020 which did not have a material effect on its condensed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w:t>
      </w:r>
    </w:p>
    <w:p>
      <w:pPr>
        <w:spacing w:after="0" w:line="204"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Intangibles—Goodwill and Other—Internal-Use Software (Subtopic 350-40):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(a consensus of the FASB Emerging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Task Force). This ASU aligns the requirements for capitalizing implementation costs incurred in a hosting arrangement that is a service contract with the requirements for capitalizing implementation costs incurred to develop or obtain internal use software. The Company adopted this guidance on February 1, 2020 which did not have a material effect on its condensed consolidated financial statements.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2020, the FASB issued ASU 2020-04</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(Topic 848): Facilitation of the Effects of Reference Rate Reform on</w:t>
      </w:r>
    </w:p>
    <w:p>
      <w:pPr>
        <w:spacing w:after="0" w:line="4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The ASU provides optional expedients and exceptions for applying generally accepted accounting principles to contract modifications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hedging relationships, subject to meeting certain criteria, that reference LIBOR or another reference rate expected to be discontinued. This ASU may be applied prospectively through December 31, 2022. The Company adopted this guidance on May 1, 2020 which did not have a material effect on its condensed consolidated financial statements. Per the terms of the Company’s secured revolving credit facility (see Note 5), outstanding Eurodollar Loans incur interest at the Eurodollar Rate, which is defined in the Credit Agreement as LIBOR (or any successor thereto), plus a margin. The Company’s lender is currently preparing to use the Secured Overnight Funding Rate if LIBOR becomes unavailable. No amounts were outstanding under the Credit Agreement as of July 31, 2020.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For public business entities, this ASU is effective for fiscal years beginning after December 15, 2020, and interim periods within those fiscal years. The Company is currently assessing the impact of this pronouncement on its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 and Marketable Securities</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follows ASC 820</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hierarchy is broken down into three levels as follows:</w:t>
      </w:r>
    </w:p>
    <w:p>
      <w:pPr>
        <w:spacing w:after="0" w:line="225" w:lineRule="exact"/>
        <w:rPr>
          <w:sz w:val="20"/>
          <w:szCs w:val="20"/>
          <w:color w:val="auto"/>
        </w:rPr>
      </w:pPr>
    </w:p>
    <w:p>
      <w:pPr>
        <w:ind w:left="660" w:right="120"/>
        <w:spacing w:after="0" w:line="276" w:lineRule="auto"/>
        <w:rPr>
          <w:sz w:val="20"/>
          <w:szCs w:val="20"/>
          <w:color w:val="auto"/>
        </w:rPr>
      </w:pPr>
      <w:r>
        <w:rPr>
          <w:rFonts w:ascii="Times New Roman" w:cs="Times New Roman" w:eastAsia="Times New Roman" w:hAnsi="Times New Roman"/>
          <w:sz w:val="17"/>
          <w:szCs w:val="17"/>
          <w:color w:val="auto"/>
        </w:rPr>
        <w:t>Level 1 Assets and liabilities whose values are based on unadjusted quoted market prices for identical assets and liabilities in active markets Level 2 Assets and liabilities whose values are based on quoted prices in markets that are not active or inputs that are observable for substantially</w:t>
      </w:r>
    </w:p>
    <w:p>
      <w:pPr>
        <w:spacing w:after="0" w:line="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the full term of the asset or liability</w:t>
      </w:r>
    </w:p>
    <w:p>
      <w:pPr>
        <w:spacing w:after="0" w:line="9" w:lineRule="exact"/>
        <w:rPr>
          <w:sz w:val="20"/>
          <w:szCs w:val="20"/>
          <w:color w:val="auto"/>
        </w:rPr>
      </w:pPr>
    </w:p>
    <w:p>
      <w:pPr>
        <w:ind w:left="1460" w:right="740" w:hanging="809"/>
        <w:spacing w:after="0" w:line="260" w:lineRule="auto"/>
        <w:rPr>
          <w:sz w:val="20"/>
          <w:szCs w:val="20"/>
          <w:color w:val="auto"/>
        </w:rPr>
      </w:pPr>
      <w:r>
        <w:rPr>
          <w:rFonts w:ascii="Times New Roman" w:cs="Times New Roman" w:eastAsia="Times New Roman" w:hAnsi="Times New Roman"/>
          <w:sz w:val="18"/>
          <w:szCs w:val="18"/>
          <w:color w:val="auto"/>
        </w:rPr>
        <w:t>Level 3 Assets and liabilities whose values are based on prices or valuation techniques that require inputs that are both unobservable and significant to the overall fair value measurement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Categorization within the valuation hierarchy is based upon the lowest level of input that is significant to the fair value measurement.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fair value hierarchy for its financial assets and liabilities that are measured at fair value on a recurring basis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7"/>
                <w:szCs w:val="17"/>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9"/>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7"/>
                <w:szCs w:val="7"/>
                <w:color w:val="auto"/>
              </w:rPr>
              <w:t>(1)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205,379</w:t>
            </w:r>
          </w:p>
        </w:tc>
      </w:tr>
      <w:tr>
        <w:trPr>
          <w:trHeight w:val="198"/>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39,940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39,940</w:t>
            </w:r>
          </w:p>
        </w:tc>
      </w:tr>
      <w:tr>
        <w:trPr>
          <w:trHeight w:val="201"/>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equivalents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205,379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245,319</w:t>
            </w:r>
          </w:p>
        </w:tc>
      </w:tr>
      <w:tr>
        <w:trPr>
          <w:trHeight w:val="178"/>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07"/>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495,022</w:t>
            </w:r>
          </w:p>
        </w:tc>
      </w:tr>
      <w:tr>
        <w:trPr>
          <w:trHeight w:val="198"/>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treasury securities</w:t>
            </w: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84,431</w:t>
            </w:r>
          </w:p>
        </w:tc>
      </w:tr>
      <w:tr>
        <w:trPr>
          <w:trHeight w:val="207"/>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67,813</w:t>
            </w:r>
          </w:p>
        </w:tc>
      </w:tr>
      <w:tr>
        <w:trPr>
          <w:trHeight w:val="191"/>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84,431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562,835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647,266</w:t>
            </w:r>
          </w:p>
        </w:tc>
      </w:tr>
      <w:tr>
        <w:trPr>
          <w:trHeight w:val="221"/>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289,810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892,585</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29"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the condensed consolidated balance sheets.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transfers between the levels of the fair value hierarchy during the three and six months ended July 31, 2020 or July 31, 2019.</w:t>
      </w:r>
    </w:p>
    <w:p>
      <w:pPr>
        <w:spacing w:after="0" w:line="225"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As of July 31, 2020, there were no marketable securities held by the Company and there were no securities that had been in continuous unrealized loss position. As of January 31, 2020,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January 31, 2020. There were no impairments considered “other-than-temporary” as it is more likely than not the Company will hold the securities until maturity or a recovery of the cost basis as of January 31, 2020.</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contractual maturities of marketable securities as of January 31, 2020:</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80" w:type="dxa"/>
            <w:vAlign w:val="bottom"/>
          </w:tcPr>
          <w:p>
            <w:pPr>
              <w:spacing w:after="0"/>
              <w:rPr>
                <w:sz w:val="24"/>
                <w:szCs w:val="24"/>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Amortized cost</w:t>
            </w:r>
          </w:p>
        </w:tc>
        <w:tc>
          <w:tcPr>
            <w:tcW w:w="160" w:type="dxa"/>
            <w:vAlign w:val="bottom"/>
          </w:tcPr>
          <w:p>
            <w:pPr>
              <w:spacing w:after="0"/>
              <w:rPr>
                <w:sz w:val="24"/>
                <w:szCs w:val="24"/>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378,408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267,728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nineteen years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645,519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647,266</w:t>
            </w:r>
          </w:p>
        </w:tc>
        <w:tc>
          <w:tcPr>
            <w:tcW w:w="0" w:type="dxa"/>
            <w:vAlign w:val="bottom"/>
          </w:tcPr>
          <w:p>
            <w:pPr>
              <w:spacing w:after="0"/>
              <w:rPr>
                <w:sz w:val="1"/>
                <w:szCs w:val="1"/>
                <w:color w:val="auto"/>
              </w:rPr>
            </w:pPr>
          </w:p>
        </w:tc>
      </w:tr>
      <w:tr>
        <w:trPr>
          <w:trHeight w:val="27"/>
        </w:trPr>
        <w:tc>
          <w:tcPr>
            <w:tcW w:w="8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summarizes the changes in strategic investments:</w:t>
            </w: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Pr>
          <w:p>
            <w:pPr>
              <w:spacing w:after="0"/>
              <w:rPr>
                <w:sz w:val="24"/>
                <w:szCs w:val="24"/>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initial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gain</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Carrying value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was no unrealized gain and loss included as an adjustment related to the carrying value of non-marketable securities as of July 31, 2020 and January 31, 2020.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changes in the redeemable convertible preferred stock warrant liability, which is classified as a Level 3 instrument: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2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8"/>
                <w:szCs w:val="18"/>
                <w:color w:val="auto"/>
              </w:rPr>
            </w:pPr>
          </w:p>
        </w:tc>
        <w:tc>
          <w:tcPr>
            <w:tcW w:w="246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tcBorders>
              <w:bottom w:val="single" w:sz="8" w:color="CCEEFF"/>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resulting from change in fair value recognized in the condensed</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 of operations</w:t>
            </w:r>
          </w:p>
        </w:tc>
        <w:tc>
          <w:tcPr>
            <w:tcW w:w="820" w:type="dxa"/>
            <w:vAlign w:val="bottom"/>
          </w:tcPr>
          <w:p>
            <w:pPr>
              <w:spacing w:after="0"/>
              <w:rPr>
                <w:sz w:val="20"/>
                <w:szCs w:val="20"/>
                <w:color w:val="auto"/>
              </w:rPr>
            </w:pP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r>
      <w:tr>
        <w:trPr>
          <w:trHeight w:val="27"/>
        </w:trPr>
        <w:tc>
          <w:tcPr>
            <w:tcW w:w="5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5"/>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liability for redeemable convertible preferred stock</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61"/>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additional paid-in capital upon initial public offering</w:t>
            </w:r>
          </w:p>
        </w:tc>
        <w:tc>
          <w:tcPr>
            <w:tcW w:w="8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r>
      <w:tr>
        <w:trPr>
          <w:trHeight w:val="26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$4.9 million and $6.0 million was recorded as a component of Other income (expense), net, because of the remeasurement of the redeemable convertible preferred stock warrant liability during the three and six months ended July 31, 2019, respectively.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Balance Sheet Components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13"/>
                <w:szCs w:val="13"/>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licenses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hosting services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0" w:type="dxa"/>
            <w:vAlign w:val="bottom"/>
          </w:tcPr>
          <w:p>
            <w:pPr>
              <w:spacing w:after="0"/>
              <w:rPr>
                <w:sz w:val="24"/>
                <w:szCs w:val="24"/>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5"/>
        </w:trPr>
        <w:tc>
          <w:tcPr>
            <w:tcW w:w="8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96"/>
        </w:trPr>
        <w:tc>
          <w:tcPr>
            <w:tcW w:w="8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5"/>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center and other computer equipment</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87,166</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47,626</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185,742</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Construction in process mainly includes data center equipment purchased that has not yet been placed in service. As of July 31, 2020, $25.6 million of data center equipment was purchased but not yet been placed into service.</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$9.4 million and $5.3 million during the three months ended July 31, 2020 and July 31, 2019, respectively, and $17.6 million and $10.2 million during the six months ended July 31, 2020 and July 31, 2019, respectively.</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There were no impairments of internal-use software during the three and six months ended July 31, 2020 and July 31, 2019. The Company capitalized $2.4 million and $1.5 million in internal-use software during the three months ended July 31, 2020 and July 31, 2019, and $4.7 million and $3.5 million during the six months ended July 31, 2020 and July 31, 2019, respectively. Amortization expense associated with internal-use software totaled $1.8 million and $1.6 million during the three months ended July 31, 2020 and July 31, 2019, respectively, and $3.7 million and $3.0 million during the six months ended July 31, 2020 and July 31, 2019, respectively. The net book value of capitalized internal-use software was $14.4 million and $13.4 million as of July 31, 2020 and January 31, 2020,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intangible assets, net consisted of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18"/>
        </w:trPr>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0" w:type="dxa"/>
            <w:vAlign w:val="bottom"/>
          </w:tcPr>
          <w:p>
            <w:pPr>
              <w:spacing w:after="0"/>
              <w:rPr>
                <w:sz w:val="1"/>
                <w:szCs w:val="1"/>
                <w:color w:val="auto"/>
              </w:rPr>
            </w:pPr>
          </w:p>
        </w:tc>
      </w:tr>
      <w:tr>
        <w:trPr>
          <w:trHeight w:val="212"/>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months)</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January 31, 2020</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0" w:type="dxa"/>
            <w:vAlign w:val="bottom"/>
          </w:tcPr>
          <w:p>
            <w:pPr>
              <w:spacing w:after="0"/>
              <w:rPr>
                <w:sz w:val="1"/>
                <w:szCs w:val="1"/>
                <w:color w:val="auto"/>
              </w:rPr>
            </w:pPr>
          </w:p>
        </w:tc>
      </w:tr>
      <w:tr>
        <w:trPr>
          <w:trHeight w:val="118"/>
        </w:trPr>
        <w:tc>
          <w:tcPr>
            <w:tcW w:w="5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03"/>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0" w:type="dxa"/>
            <w:vAlign w:val="bottom"/>
          </w:tcPr>
          <w:p>
            <w:pPr>
              <w:spacing w:after="0"/>
              <w:rPr>
                <w:sz w:val="1"/>
                <w:szCs w:val="1"/>
                <w:color w:val="auto"/>
              </w:rPr>
            </w:pPr>
          </w:p>
        </w:tc>
      </w:tr>
      <w:tr>
        <w:trPr>
          <w:trHeight w:val="212"/>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months)</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4"/>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Amortization of developed technology, customer relationships, and non-compete agreement are recorded within cost of revenue, sales and marketing expense, and research and development expense, respectively, in the condensed consolidated statements of operations. Amortization expense of intangible assets was $0.1 million during both the three months ended July 31, 2020 and July 31, 2019 and $0.2 million and $0.3 million during the six months ended July 31, 2020 and July 31,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estimated aggregate future amortization expense of intangible assets as of July 31, 2020 is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9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9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 (remaining six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3"/>
        </w:trPr>
        <w:tc>
          <w:tcPr>
            <w:tcW w:w="9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9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developed technology, customer relationships, and non-compete agreement assets are being amortized over 3 years, 5 years, and 3 years,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80" w:type="dxa"/>
            <w:vAlign w:val="bottom"/>
          </w:tcPr>
          <w:p>
            <w:pPr>
              <w:spacing w:after="0"/>
              <w:rPr>
                <w:sz w:val="17"/>
                <w:szCs w:val="17"/>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 hosting services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accounting</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6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30,355</w:t>
            </w:r>
          </w:p>
        </w:tc>
        <w:tc>
          <w:tcPr>
            <w:tcW w:w="0" w:type="dxa"/>
            <w:vAlign w:val="bottom"/>
          </w:tcPr>
          <w:p>
            <w:pPr>
              <w:spacing w:after="0"/>
              <w:rPr>
                <w:sz w:val="1"/>
                <w:szCs w:val="1"/>
                <w:color w:val="auto"/>
              </w:rPr>
            </w:pPr>
          </w:p>
        </w:tc>
      </w:tr>
      <w:tr>
        <w:trPr>
          <w:trHeight w:val="21"/>
        </w:trPr>
        <w:tc>
          <w:tcPr>
            <w:tcW w:w="84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Payroll and Benefits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benefits consisted of the following:</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80" w:type="dxa"/>
            <w:vAlign w:val="bottom"/>
          </w:tcPr>
          <w:p>
            <w:pPr>
              <w:spacing w:after="0"/>
              <w:rPr>
                <w:sz w:val="20"/>
                <w:szCs w:val="20"/>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4"/>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Secured Revolving Credit Facility</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The Company will be charged a commitment fee of 0.20% to 0.30% per year for committed but unused amounts. The Credit Agreement will terminate on April 19, 2022.</w:t>
      </w:r>
    </w:p>
    <w:p>
      <w:pPr>
        <w:spacing w:after="0" w:line="19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the financial covenants as of July 31, 2020.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outstanding under the Credit Agreement as of July 31, 2020 and January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Income Taxes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recognized an income tax expense of $0.4 million and $0.6 million for the three months ended July 31, 2020 and July 31, 2019, respectively, and $1.5 million and $1.2 million for the six months ended July 31, 2020 and July 31, 2019, respectively. The tax expense for the three and six months ended July 31, 2020 was primarily attributable to pre-tax foreign earnings. The Company’s effective tax rates of (1.5)% and (1.2)% for the three months ended July 31, 2020 and July 31, 2019, respectively, and (3.1)% and (1.6)% for the six months ended July 31, 2020 and July 31, 2019, respectively, differ from the U.S. statutory tax rate primarily due to U.S. losses for which there is no benefit and the tax rate differences between the United States and foreign countries.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full valuation allowance on its U.S. federal and state and its U.K. deferred tax assets. As a result, consistent with the prior year, the Company did not record a tax benefit on these losses because of uncertainty of future profitability.</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March 27, 2020, the United States enacted the Coronavirus Aid, Relief, and Economic Security Act (“CARES Act”), as a response to the economic uncertainty resulting from the global COVID-19 pandemic. The CARES Act did not have a material impact on the Company’s condensed consolidated financial statements for the three and six months ended July 31, 2020. The Company continues to monitor any effects that may result from the CARES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Leases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non-cancelable operating lease agreements with various expiration dates through October 2026. Certain lease agreements include options to renew or terminate the lease, which are not reasonably certain to be exercised and therefore are not factored into the determination of lease payments.</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operating lease costs was $2.7 million and $5.0 million, excluding short-term leases costs and variable lease costs for the three and six months ended July 31, 2020, respectively. There was no sublease income for the three and six months ended July 31, 2020. Total lease expense recognized prior to the adoption of Topic 842 were $2.2 million and $4.0 million for the three and six months ended July 31, 2019, respectively.</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July 31, 2020, cash paid for amounts included in the measurement of operating lease liabilities were $3.0 million and $5.4 million, respectively. Operating lease liabilities arising from obtaining operating right of-use assets was $6.2 million for the three and six months ended July 31, 2020.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July 31, 2020, the weighted-average remaining lease term is 4.6 years, and the weighted-average discount rate is 5.9%.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 of lease costs was as follows:</w:t>
            </w: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48"/>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w:t>
            </w:r>
          </w:p>
        </w:tc>
        <w:tc>
          <w:tcPr>
            <w:tcW w:w="120" w:type="dxa"/>
            <w:vAlign w:val="bottom"/>
          </w:tcPr>
          <w:p>
            <w:pPr>
              <w:spacing w:after="0"/>
              <w:rPr>
                <w:sz w:val="21"/>
                <w:szCs w:val="21"/>
                <w:color w:val="auto"/>
              </w:rPr>
            </w:pP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July</w:t>
            </w:r>
          </w:p>
        </w:tc>
      </w:tr>
      <w:tr>
        <w:trPr>
          <w:trHeight w:val="238"/>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31, 2020</w:t>
            </w:r>
          </w:p>
        </w:tc>
      </w:tr>
      <w:tr>
        <w:trPr>
          <w:trHeight w:val="27"/>
        </w:trPr>
        <w:tc>
          <w:tcPr>
            <w:tcW w:w="6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gridSpan w:val="4"/>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4"/>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7"/>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6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July 31, 2020, the Company has not entered into any non-cancelable operating leases with a term greater than 12 months that have not yet commenced.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maturities of the Company’s non-cancelable operating lease liabilities are as follows: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9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7"/>
        </w:trPr>
        <w:tc>
          <w:tcPr>
            <w:tcW w:w="9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9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 (remaining six months)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10,785</w:t>
            </w:r>
          </w:p>
        </w:tc>
      </w:tr>
      <w:tr>
        <w:trPr>
          <w:trHeight w:val="27"/>
        </w:trPr>
        <w:tc>
          <w:tcPr>
            <w:tcW w:w="9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51,401</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r>
      <w:tr>
        <w:trPr>
          <w:trHeight w:val="27"/>
        </w:trPr>
        <w:tc>
          <w:tcPr>
            <w:tcW w:w="9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payments under non-cancelable operating leases determined using the prior accounting guidance consisted of the following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Real Estate</w:t>
            </w:r>
          </w:p>
        </w:tc>
      </w:tr>
      <w:tr>
        <w:trPr>
          <w:trHeight w:val="212"/>
        </w:trPr>
        <w:tc>
          <w:tcPr>
            <w:tcW w:w="9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Arrangements</w:t>
            </w:r>
          </w:p>
        </w:tc>
      </w:tr>
      <w:tr>
        <w:trPr>
          <w:trHeight w:val="33"/>
        </w:trPr>
        <w:tc>
          <w:tcPr>
            <w:tcW w:w="9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9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9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r>
      <w:tr>
        <w:trPr>
          <w:trHeight w:val="27"/>
        </w:trPr>
        <w:tc>
          <w:tcPr>
            <w:tcW w:w="9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r>
      <w:tr>
        <w:trPr>
          <w:trHeight w:val="27"/>
        </w:trPr>
        <w:tc>
          <w:tcPr>
            <w:tcW w:w="9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7"/>
        </w:trPr>
        <w:tc>
          <w:tcPr>
            <w:tcW w:w="9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50,686</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right="9440" w:hanging="652"/>
        <w:spacing w:after="0" w:line="503" w:lineRule="auto"/>
        <w:tabs>
          <w:tab w:leader="none" w:pos="192"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Transactions Common Stock</w:t>
      </w: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the Company’s board of directors.</w:t>
      </w:r>
    </w:p>
    <w:p>
      <w:pPr>
        <w:spacing w:after="0" w:line="183" w:lineRule="exact"/>
        <w:rPr>
          <w:sz w:val="20"/>
          <w:szCs w:val="20"/>
          <w:color w:val="auto"/>
        </w:rPr>
      </w:pPr>
    </w:p>
    <w:p>
      <w:pPr>
        <w:jc w:val="right"/>
        <w:ind w:left="660" w:right="9020" w:hanging="652"/>
        <w:spacing w:after="0" w:line="532" w:lineRule="auto"/>
        <w:tabs>
          <w:tab w:leader="none" w:pos="192"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Stock-Based Compensation Stock Incentive Plan</w:t>
      </w:r>
    </w:p>
    <w:p>
      <w:pPr>
        <w:spacing w:after="0" w:line="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following assumptions during the period:</w:t>
      </w:r>
    </w:p>
    <w:p>
      <w:pPr>
        <w:spacing w:after="0" w:line="16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22860</wp:posOffset>
            </wp:positionV>
            <wp:extent cx="18942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1420" w:type="dxa"/>
            <w:vAlign w:val="bottom"/>
            <w:gridSpan w:val="2"/>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459"/>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stock option activity for the six months ended July 31, 2020:</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1"/>
        </w:trPr>
        <w:tc>
          <w:tcPr>
            <w:tcW w:w="8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3"/>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3"/>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26"/>
        </w:trPr>
        <w:tc>
          <w:tcPr>
            <w:tcW w:w="8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7"/>
                <w:szCs w:val="17"/>
                <w:b w:val="1"/>
                <w:bCs w:val="1"/>
                <w:color w:val="auto"/>
                <w:w w:val="99"/>
              </w:rPr>
              <w:t>Per Share</w:t>
            </w:r>
          </w:p>
        </w:tc>
      </w:tr>
      <w:tr>
        <w:trPr>
          <w:trHeight w:val="29"/>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31, 2020</w:t>
            </w:r>
          </w:p>
        </w:tc>
        <w:tc>
          <w:tcPr>
            <w:tcW w:w="15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14,689</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7"/>
        </w:trPr>
        <w:tc>
          <w:tcPr>
            <w:tcW w:w="8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(4,689)</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7"/>
        </w:trPr>
        <w:tc>
          <w:tcPr>
            <w:tcW w:w="8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July 31, 2020</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9,871</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and expected to vest at July 31, 2020</w:t>
            </w: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9,871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8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July 31, 2020</w:t>
            </w:r>
          </w:p>
        </w:tc>
        <w:tc>
          <w:tcPr>
            <w:tcW w:w="1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4,794</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Options exercisable include 607,201 options that were unvested as of July 31, 2020.</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vested and exercisable was $523.1 million and $469.6 million as of July 31, 2020 and January 31, 2020, respectively. The weighted-average remaining contractual term of options vested and exercisable was 6.5 years and 6.7 years as of July 31, 2020 and January 31, 2020, respectively.</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values of all options granted was $32.91 and $13.45 per share during the three months ended July 31, 2020 and July 31, 2019, respectively, and $32.91 and $9.51 per share during the six months ended July 31, 2020 and July 31, 2019, respectively. The total intrinsic value of all options exercised was $242.8 million and $80.9 million during the three months ended July 31, 2020 and July 31, 2019, respectively, and $354.0 million and $89.7 million during the six months ended July 31, 2020 and July 31, 2019, respectively.</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as of July 31, 2020 and January 31, 2020 was $1.05 billion and $816.3 million, respectively, which represents the excess of the fair value of the Company’s common stock over the exercise price of the options multiplied by the number of options outstanding. The weighted-average remaining contractual term of stock options outstanding was 7.2 years and 7.4 years as of July 31, 2020 and January 31,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options was $28.6 million as of July 31, 2020. This expense is expected to be amortized on a straight-line basis over a weighted-average vesting period of 1.9 years. Total unrecognized stock-based compensation expense related to unvested options was $34.7 million as of January 31, 2020. This expense is expected to be amortized on a straight-line basis over a weighted-average vesting period of 2.1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Options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for the three and six months ended July 31, 2020. During both the three and six months ended July 31, 2019, the Company issued 1,037,356 shares of common stock related to early exercised stock options. As of July 31, 2020, the number of shares of common stock related to early exercised stock options subject to repurchase was 728,462 shares for $7.0 million. As of January 31, 2020, the number of shares of common stock related to early exercised stock options subject to repurchase was 984,417 shares for $8.7 million. Common stock purchased pursuant to an early exercise of stock options is not deemed to be outstanding for accounting purposes until those shares vest. The Company includes unvested shares subject to repurchase in the number of shares outstanding in the condensed consolidated statement of redeemable convertible preferred stock and stockholders’ equity (deficit).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condensed consolidated statement of operations. Upon its IPO, the Company began issuing RSUs to its employees that generally have only a service-based vesting condition. The valuation of such RSUs is based solely on the fair value of the Company’s stock price on the date of grant.</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Expense for RSUs that have a service-based vesting condition only are being amortized on a straight-line basis. Expense for RSUs that have both a service-based and a performance-based vesting condition are being amortized under the accelerated attribution method. Total unrecognized stock-based compensation expense related to unvested RSUs was $283.9 million as of July 31, 2020. This expense is expected to be amortized (subject to acceleration or straight-line basis) over a weighted-average vesting period of 2.7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Units</w:t>
      </w:r>
    </w:p>
    <w:p>
      <w:pPr>
        <w:spacing w:after="0" w:line="229"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Performance-based stock units (“PSUs”) granted under the 2019 Plan are subject to both a service-based vesting condition and a performance-based vesting condition. PSUs generally vest over a four-year period based on the achievement of specified performance targets and subject to continued service through the applicable vesting dates. The compensation cost is recognized over the requisite service period when it is probable that the performance condition will be satisfied. During the first quarter of the fiscal year, the Company’s compensation committee approved PSUs for certain employees. The performance goal for the grants primarily related to the revenue growth percentage for the fiscal year ended January 31, 2021. The number of PSUs earned corresponds to the performance period of fiscal year 2021, which can range between 0% and 130% of the target number of shares granted depending on the Company’s actual performance.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Expense for PSUs are being amortized under the accelerated attribution method and may be adjusted over the vesting period based on interim estimates of performance against the pre-set objectives. Total unrecognized stock-based compensation expense related to unvested PSUs was $33.6 million as of July 31, 2020. This expense is expected to be amortized over a weighted-average vesting period of 1.8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RSU and PSU activities for the six months ended July 31, 2020:</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8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Average Grant</w:t>
            </w:r>
          </w:p>
        </w:tc>
      </w:tr>
      <w:tr>
        <w:trPr>
          <w:trHeight w:val="203"/>
        </w:trPr>
        <w:tc>
          <w:tcPr>
            <w:tcW w:w="85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212"/>
        </w:trPr>
        <w:tc>
          <w:tcPr>
            <w:tcW w:w="85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33"/>
        </w:trPr>
        <w:tc>
          <w:tcPr>
            <w:tcW w:w="85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85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8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January 31, 2020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r>
      <w:tr>
        <w:trPr>
          <w:trHeight w:val="27"/>
        </w:trPr>
        <w:tc>
          <w:tcPr>
            <w:tcW w:w="8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r>
      <w:tr>
        <w:trPr>
          <w:trHeight w:val="27"/>
        </w:trPr>
        <w:tc>
          <w:tcPr>
            <w:tcW w:w="85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8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outstanding at July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44"/>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RSUs and PSUs expected to vest at July 31, 2020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0"/>
        </w:trPr>
        <w:tc>
          <w:tcPr>
            <w:tcW w:w="85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80"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pre- and post-modification fair values are calculated on the date of the modification, and the incremental expense is then amortized over the remaining purchase period. Incremental expense as a result of such modification was $0.8 million for the three and six months ended July 31, 2020.</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Employee payroll contributions ultimately used to purchase shares are reclassified to stockholders’ equity on the purchase date. ESPP employee payroll contributions accrued at July 31, 2020 totaled $6.3 million and are included within accrued payroll and benefits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option-pricing model to determine fair value of the Company’s common shares to be issued under the ESPP for the offering periods beginning in June 2019:</w:t>
      </w:r>
    </w:p>
    <w:p>
      <w:pPr>
        <w:spacing w:after="0" w:line="3"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6"/>
          <w:szCs w:val="16"/>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33020</wp:posOffset>
            </wp:positionV>
            <wp:extent cx="1868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8"/>
                <w:szCs w:val="18"/>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0.5 - 2.0</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0.5 - 2.0</w:t>
            </w:r>
          </w:p>
        </w:tc>
      </w:tr>
      <w:tr>
        <w:trPr>
          <w:trHeight w:val="25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- 2.0%</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- 2.2%</w:t>
            </w:r>
          </w:p>
        </w:tc>
      </w:tr>
      <w:tr>
        <w:trPr>
          <w:trHeight w:val="25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 - 54.3%</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- 35.7%</w:t>
            </w:r>
          </w:p>
        </w:tc>
      </w:tr>
      <w:tr>
        <w:trPr>
          <w:trHeight w:val="22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8"/>
                <w:szCs w:val="18"/>
                <w:color w:val="auto"/>
              </w:rPr>
            </w:pPr>
          </w:p>
        </w:tc>
        <w:tc>
          <w:tcPr>
            <w:tcW w:w="24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Subscription cost of 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 cost of revenue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8,156</w:t>
            </w:r>
          </w:p>
        </w:tc>
      </w:tr>
      <w:tr>
        <w:trPr>
          <w:trHeight w:val="224"/>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w:t>
            </w: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17,553</w:t>
            </w:r>
          </w:p>
        </w:tc>
      </w:tr>
      <w:tr>
        <w:trPr>
          <w:trHeight w:val="247"/>
        </w:trPr>
        <w:tc>
          <w:tcPr>
            <w:tcW w:w="5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37,713</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29,859</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61,351</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33,611</w:t>
            </w:r>
          </w:p>
        </w:tc>
      </w:tr>
      <w:tr>
        <w:trPr>
          <w:trHeight w:val="2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Revenue, Deferred Revenue and Remaining Performance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revenue from contracts by type of customer:</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auto"/>
            </w:tcBorders>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Borders>
              <w:bottom w:val="single" w:sz="8" w:color="auto"/>
            </w:tcBorders>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1"/>
        </w:trPr>
        <w:tc>
          <w:tcPr>
            <w:tcW w:w="1700" w:type="dxa"/>
            <w:vAlign w:val="bottom"/>
            <w:tcBorders>
              <w:bottom w:val="single" w:sz="8" w:color="CCEEFF"/>
            </w:tcBorders>
            <w:shd w:val="clear" w:color="auto" w:fill="CCEEFF"/>
          </w:tcPr>
          <w:p>
            <w:pPr>
              <w:jc w:val="center"/>
              <w:ind w:right="459"/>
              <w:spacing w:after="0"/>
              <w:rPr>
                <w:sz w:val="20"/>
                <w:szCs w:val="20"/>
                <w:color w:val="auto"/>
              </w:rPr>
            </w:pPr>
            <w:r>
              <w:rPr>
                <w:rFonts w:ascii="Times New Roman" w:cs="Times New Roman" w:eastAsia="Times New Roman" w:hAnsi="Times New Roman"/>
                <w:sz w:val="16"/>
                <w:szCs w:val="16"/>
                <w:color w:val="auto"/>
              </w:rPr>
              <w:t>Channel Partners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153,412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70,438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283,692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134,897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170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Direct Customers</w:t>
            </w:r>
          </w:p>
        </w:tc>
        <w:tc>
          <w:tcPr>
            <w:tcW w:w="180" w:type="dxa"/>
            <w:vAlign w:val="bottom"/>
          </w:tcPr>
          <w:p>
            <w:pPr>
              <w:spacing w:after="0"/>
              <w:rPr>
                <w:sz w:val="19"/>
                <w:szCs w:val="19"/>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37,670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69,288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7"/>
        </w:trPr>
        <w:tc>
          <w:tcPr>
            <w:tcW w:w="1700" w:type="dxa"/>
            <w:vAlign w:val="bottom"/>
            <w:shd w:val="clear" w:color="auto" w:fill="CCEEFF"/>
          </w:tcPr>
          <w:p>
            <w:pPr>
              <w:jc w:val="center"/>
              <w:ind w:right="479"/>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198,971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108,108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377,049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204,185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revenue by region based on the shipping address of customers who have contracted to use the Company’s platform or service: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1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196"/>
        </w:trPr>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00" w:type="dxa"/>
            <w:vAlign w:val="bottom"/>
          </w:tcPr>
          <w:p>
            <w:pPr>
              <w:spacing w:after="0"/>
              <w:rPr>
                <w:sz w:val="17"/>
                <w:szCs w:val="17"/>
                <w:color w:val="auto"/>
              </w:rPr>
            </w:pP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7"/>
                <w:szCs w:val="17"/>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200" w:type="dxa"/>
            <w:vAlign w:val="bottom"/>
          </w:tcPr>
          <w:p>
            <w:pPr>
              <w:spacing w:after="0"/>
              <w:rPr>
                <w:sz w:val="17"/>
                <w:szCs w:val="17"/>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196"/>
        </w:trPr>
        <w:tc>
          <w:tcPr>
            <w:tcW w:w="16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55"/>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141,733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271,214</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152,454</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5"/>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Africa</w:t>
            </w:r>
          </w:p>
        </w:tc>
        <w:tc>
          <w:tcPr>
            <w:tcW w:w="20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28,552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32,635</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1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1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198,971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377,049</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204,185</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revenue during the three and six months ended July 31, 2020 and July 31, 2019.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22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The Company recognized revenue of $165.1 million and $89.6 million for the three months ended July 31, 2020 and July 31, 2019, respectively, and $261.9 million and $169.5 million for the six months ended July 31, 2020 and July 31, 2019, respectively, that were included in the corresponding contract liability balance at the beginning of the period.</w:t>
      </w:r>
    </w:p>
    <w:p>
      <w:pPr>
        <w:spacing w:after="0" w:line="180"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deferred revenue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8"/>
                <w:szCs w:val="18"/>
                <w:color w:val="auto"/>
              </w:rPr>
            </w:pPr>
          </w:p>
        </w:tc>
        <w:tc>
          <w:tcPr>
            <w:tcW w:w="246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9"/>
              </w:rPr>
              <w:t>635,973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w w:val="99"/>
              </w:rPr>
              <w:t>315,212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9"/>
              </w:rPr>
              <w:t>571,168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290,067</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220" w:type="dxa"/>
            <w:vAlign w:val="bottom"/>
          </w:tcPr>
          <w:p>
            <w:pPr>
              <w:spacing w:after="0"/>
              <w:rPr>
                <w:sz w:val="21"/>
                <w:szCs w:val="21"/>
                <w:color w:val="auto"/>
              </w:rPr>
            </w:pPr>
          </w:p>
        </w:tc>
        <w:tc>
          <w:tcPr>
            <w:tcW w:w="10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w w:val="99"/>
              </w:rPr>
              <w:t>252,838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w w:val="99"/>
              </w:rPr>
              <w:t>162,658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w w:val="99"/>
              </w:rPr>
              <w:t>495,721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283,880</w:t>
            </w: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9"/>
              </w:rPr>
              <w:t>(198,971)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w w:val="99"/>
              </w:rPr>
              <w:t>(108,108)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w w:val="99"/>
              </w:rPr>
              <w:t>(377,049)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(204,185)</w:t>
            </w:r>
          </w:p>
        </w:tc>
      </w:tr>
      <w:tr>
        <w:trPr>
          <w:trHeight w:val="264"/>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center"/>
              <w:ind w:left="253"/>
              <w:spacing w:after="0"/>
              <w:rPr>
                <w:sz w:val="20"/>
                <w:szCs w:val="20"/>
                <w:color w:val="auto"/>
              </w:rPr>
            </w:pPr>
            <w:r>
              <w:rPr>
                <w:rFonts w:ascii="Times New Roman" w:cs="Times New Roman" w:eastAsia="Times New Roman" w:hAnsi="Times New Roman"/>
                <w:sz w:val="18"/>
                <w:szCs w:val="18"/>
                <w:color w:val="auto"/>
                <w:w w:val="99"/>
              </w:rPr>
              <w:t>689,840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174"/>
              <w:spacing w:after="0"/>
              <w:rPr>
                <w:sz w:val="20"/>
                <w:szCs w:val="20"/>
                <w:color w:val="auto"/>
              </w:rPr>
            </w:pPr>
            <w:r>
              <w:rPr>
                <w:rFonts w:ascii="Times New Roman" w:cs="Times New Roman" w:eastAsia="Times New Roman" w:hAnsi="Times New Roman"/>
                <w:sz w:val="18"/>
                <w:szCs w:val="18"/>
                <w:color w:val="auto"/>
                <w:w w:val="99"/>
              </w:rPr>
              <w:t>369,762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w w:val="99"/>
              </w:rPr>
              <w:t>689,840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152"/>
              <w:spacing w:after="0"/>
              <w:rPr>
                <w:sz w:val="20"/>
                <w:szCs w:val="20"/>
                <w:color w:val="auto"/>
              </w:rPr>
            </w:pPr>
            <w:r>
              <w:rPr>
                <w:rFonts w:ascii="Times New Roman" w:cs="Times New Roman" w:eastAsia="Times New Roman" w:hAnsi="Times New Roman"/>
                <w:sz w:val="18"/>
                <w:szCs w:val="18"/>
                <w:color w:val="auto"/>
              </w:rPr>
              <w:t>369,762</w:t>
            </w: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Remaining Performance Obligations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July 31, 2020, the aggregate amount of the transaction price allocated to remaining performance obligations was $925.5 million. The Company expects to recognize 72% of the remaining performance obligations in the 12 months following July 31, 2020, with the remainder to be recognized thereafter.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 to Obtain and Fulfill a Contract</w:t>
      </w:r>
    </w:p>
    <w:p>
      <w:pPr>
        <w:spacing w:after="0" w:line="225" w:lineRule="exact"/>
        <w:rPr>
          <w:sz w:val="20"/>
          <w:szCs w:val="20"/>
          <w:color w:val="auto"/>
        </w:rPr>
      </w:pPr>
    </w:p>
    <w:p>
      <w:pPr>
        <w:jc w:val="both"/>
        <w:ind w:right="160" w:firstLine="648"/>
        <w:spacing w:after="0" w:line="289" w:lineRule="auto"/>
        <w:rPr>
          <w:sz w:val="20"/>
          <w:szCs w:val="20"/>
          <w:color w:val="auto"/>
        </w:rPr>
      </w:pPr>
      <w:r>
        <w:rPr>
          <w:rFonts w:ascii="Times New Roman" w:cs="Times New Roman" w:eastAsia="Times New Roman" w:hAnsi="Times New Roman"/>
          <w:sz w:val="17"/>
          <w:szCs w:val="17"/>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4 years while commissions paid for renewal contracts are amortized over the contractual term of the renewals. Sales commissions associated with professional service contracts are amortized ratably over an estimated period of benefit of six months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six months ended July 31, 2020 and July 31, 2019, respectively.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of deferred contract acquisition costs: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8"/>
                <w:szCs w:val="18"/>
                <w:color w:val="auto"/>
              </w:rPr>
            </w:pPr>
          </w:p>
        </w:tc>
        <w:tc>
          <w:tcPr>
            <w:tcW w:w="246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64,197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63,071</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19,317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27,788</w:t>
            </w: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(7,731)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211"/>
              <w:spacing w:after="0"/>
              <w:rPr>
                <w:sz w:val="20"/>
                <w:szCs w:val="20"/>
                <w:color w:val="auto"/>
              </w:rPr>
            </w:pPr>
            <w:r>
              <w:rPr>
                <w:rFonts w:ascii="Times New Roman" w:cs="Times New Roman" w:eastAsia="Times New Roman" w:hAnsi="Times New Roman"/>
                <w:sz w:val="18"/>
                <w:szCs w:val="18"/>
                <w:color w:val="auto"/>
              </w:rPr>
              <w:t>(15,076)</w:t>
            </w:r>
          </w:p>
        </w:tc>
      </w:tr>
      <w:tr>
        <w:trPr>
          <w:trHeight w:val="26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75,783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rPr>
              <w:t>75,783</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34,017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34,017</w:t>
            </w:r>
          </w:p>
        </w:tc>
      </w:tr>
      <w:tr>
        <w:trPr>
          <w:trHeight w:val="27"/>
        </w:trPr>
        <w:tc>
          <w:tcPr>
            <w:tcW w:w="5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41,766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41,766</w:t>
            </w:r>
          </w:p>
        </w:tc>
      </w:tr>
      <w:tr>
        <w:trPr>
          <w:trHeight w:val="264"/>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75,783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rPr>
              <w:t>75,783</w:t>
            </w: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Commitments and Contingencies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enters into long-term non-cancelable agreements with providers to purchase data center capacity, such as bandwidth and colocation space, for the Company’s cloud platform. As of July 31, 2020, the Company is committed to spend $140.8 million on such agreements through 2027. These obligations are included in purchase obligations below.</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July 31, 2020 with expected date of payment is as follows:</w:t>
      </w:r>
    </w:p>
    <w:tbl>
      <w:tblPr>
        <w:tblLayout w:type="fixed"/>
        <w:tblInd w:w="0" w:type="dxa"/>
        <w:tblCellMar>
          <w:top w:w="0" w:type="dxa"/>
          <w:left w:w="0" w:type="dxa"/>
          <w:bottom w:w="0" w:type="dxa"/>
          <w:right w:w="0" w:type="dxa"/>
        </w:tblCellMar>
      </w:tblPr>
      <w:tr>
        <w:trPr>
          <w:trHeight w:val="156"/>
        </w:trPr>
        <w:tc>
          <w:tcPr>
            <w:tcW w:w="9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535"/>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5"/>
        </w:trPr>
        <w:tc>
          <w:tcPr>
            <w:tcW w:w="9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96"/>
        </w:trPr>
        <w:tc>
          <w:tcPr>
            <w:tcW w:w="9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 (remaining six months)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45,492</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92,967</w:t>
            </w:r>
          </w:p>
        </w:tc>
      </w:tr>
      <w:tr>
        <w:trPr>
          <w:trHeight w:val="27"/>
        </w:trPr>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12,029</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r>
      <w:tr>
        <w:trPr>
          <w:trHeight w:val="27"/>
        </w:trPr>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43"/>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7"/>
        </w:trPr>
        <w:tc>
          <w:tcPr>
            <w:tcW w:w="9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169,745</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July 31, 2020 and January 31, 2020, the Company had an unused standby letter of credit for $0.4 million and $0.6 million, respectively, securing its headquarters facility in Sunnyvale, California. As of July 31, 2020 and January 31, 2020, the Company had an unused standby letter of credit for $1.0 million, securing its facility in Austin, Texas.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Company is currently involved in proceedings before the Trademark Trial and Appeal Board (“TTAB”)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On July 2, 2019, the TTAB consolidated the proceedings and granted FICO’s motion to dismiss with leave to amend. On July 22, 2019, the Company filed its Amended Petition for Cancellation or Amendment and on August 12, 2019, FICO moved to dismiss the Company’s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On March 18, 2020, the Company filed a motion for leave to file a Second Amended Petition to include a claim for abandonment for two of FICO’s “Falcon” trademark registrations. On August 3, 2020, the TTAB granted the motion for leave to file in part, and set a new schedule for the consolidated proceedings, with trial periods set to begin in May 2021. On August 13, 2020, the Company filed a separate petition to cancel one of FICO’s Falcon trademark registrations, and on August 24, 2020, the Company filed a Second Amended petition for Cancellation or Amendment as to the other FICO Falcon trademark registrations. The Company is vigorously defending the case, but given the early stage, although a loss may reasonably be possible, the Company is unable to predict the likelihood of success of FICO’s claims or estimate a loss or a range of loss. As a result, no liability has been recorded as of July 31, 2020 or January 31, 2020.</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condensed consolidated financial statements.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Warranties and Indemnification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July 31, 2020 or January 31,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Geographic Information</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Company’s long-lived assets are composed of property and equipment, net, and operating lease right-of-use assets, are summarized by geographic area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4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January 31,</w:t>
            </w:r>
          </w:p>
        </w:tc>
      </w:tr>
      <w:tr>
        <w:trPr>
          <w:trHeight w:val="212"/>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33"/>
        </w:trPr>
        <w:tc>
          <w:tcPr>
            <w:tcW w:w="8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r>
      <w:tr>
        <w:trPr>
          <w:trHeight w:val="217"/>
        </w:trPr>
        <w:tc>
          <w:tcPr>
            <w:tcW w:w="8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125,409</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10,669</w:t>
            </w:r>
          </w:p>
        </w:tc>
      </w:tr>
      <w:tr>
        <w:trPr>
          <w:trHeight w:val="33"/>
        </w:trPr>
        <w:tc>
          <w:tcPr>
            <w:tcW w:w="8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property and equipment, net and operating lease right-of-use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136,078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total long-lived assets as of July 31, 2020 or January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Related Party Transactions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and Professional Services Revenue from Related Parties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July 31, 2020 and 2019, certain investors and companies with whom the Company’s Board of Directors are affiliated with purchased subscriptions and professional services. The Company recorded revenue from subscriptions and professional services from related parties of $1.0 million and $2.3 million during the three months ended July 31, 2020 and July 31, 2019, respectively, and $1.9 million and $4.6 million during the six months ended July 31, 2020 and July 31, 2019, respectively. Accounts receivable associated with these related parties was $3.2 million and $0.2 million as of July 31, 2020 and January 31, 2020.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to Related Parties</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Company purchased goods and services totaling $0.1 million and $0.9 million, respectively, from certain investors and companies with whom its Board of Directors are affiliated with during the three months ended July 31, 2020 and 2019, respectively, and $0.9 million and $1.5 million during the six months ended July 31, 2020 and 2019, respectively. The accounts payable to such vendors were immaterial of July 31, 2020 and January 31, 2020.</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Net Loss Per Share Attributable to Common Stockholders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60" w:type="dxa"/>
            <w:vAlign w:val="bottom"/>
          </w:tcPr>
          <w:p>
            <w:pPr>
              <w:spacing w:after="0"/>
              <w:rPr>
                <w:sz w:val="18"/>
                <w:szCs w:val="18"/>
                <w:color w:val="auto"/>
              </w:rPr>
            </w:pPr>
          </w:p>
        </w:tc>
        <w:tc>
          <w:tcPr>
            <w:tcW w:w="246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w:t>
            </w:r>
          </w:p>
        </w:tc>
      </w:t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common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167,262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146,249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r>
      <w:tr>
        <w:trPr>
          <w:trHeight w:val="216"/>
        </w:trPr>
        <w:tc>
          <w:tcPr>
            <w:tcW w:w="5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72"/>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7"/>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(73,082)</w:t>
            </w:r>
          </w:p>
        </w:tc>
      </w:t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attributable to common</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83,846</w:t>
            </w:r>
          </w:p>
        </w:tc>
      </w:tr>
      <w:tr>
        <w:trPr>
          <w:trHeight w:val="216"/>
        </w:trPr>
        <w:tc>
          <w:tcPr>
            <w:tcW w:w="5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72"/>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60"/>
        </w:trPr>
        <w:tc>
          <w:tcPr>
            <w:tcW w:w="8520" w:type="dxa"/>
            <w:vAlign w:val="bottom"/>
          </w:tcPr>
          <w:p>
            <w:pPr>
              <w:spacing w:after="0"/>
              <w:rPr>
                <w:sz w:val="13"/>
                <w:szCs w:val="13"/>
                <w:color w:val="auto"/>
              </w:rPr>
            </w:pPr>
          </w:p>
        </w:tc>
        <w:tc>
          <w:tcPr>
            <w:tcW w:w="1800" w:type="dxa"/>
            <w:vAlign w:val="bottom"/>
            <w:gridSpan w:val="3"/>
          </w:tcPr>
          <w:p>
            <w:pPr>
              <w:ind w:left="400"/>
              <w:spacing w:after="0" w:line="160" w:lineRule="exact"/>
              <w:rPr>
                <w:sz w:val="20"/>
                <w:szCs w:val="20"/>
                <w:color w:val="auto"/>
              </w:rPr>
            </w:pPr>
            <w:r>
              <w:rPr>
                <w:rFonts w:ascii="Times New Roman" w:cs="Times New Roman" w:eastAsia="Times New Roman" w:hAnsi="Times New Roman"/>
                <w:sz w:val="14"/>
                <w:szCs w:val="14"/>
                <w:b w:val="1"/>
                <w:bCs w:val="1"/>
                <w:color w:val="auto"/>
              </w:rPr>
              <w:t>July 31,</w:t>
            </w:r>
          </w:p>
        </w:tc>
        <w:tc>
          <w:tcPr>
            <w:tcW w:w="920" w:type="dxa"/>
            <w:vAlign w:val="bottom"/>
          </w:tcPr>
          <w:p>
            <w:pPr>
              <w:jc w:val="right"/>
              <w:ind w:right="335"/>
              <w:spacing w:after="0" w:line="160" w:lineRule="exact"/>
              <w:rPr>
                <w:sz w:val="20"/>
                <w:szCs w:val="20"/>
                <w:color w:val="auto"/>
              </w:rPr>
            </w:pPr>
            <w:r>
              <w:rPr>
                <w:rFonts w:ascii="Times New Roman" w:cs="Times New Roman" w:eastAsia="Times New Roman" w:hAnsi="Times New Roman"/>
                <w:sz w:val="14"/>
                <w:szCs w:val="14"/>
                <w:b w:val="1"/>
                <w:bCs w:val="1"/>
                <w:color w:val="auto"/>
              </w:rPr>
              <w:t>July 31,</w:t>
            </w:r>
          </w:p>
        </w:tc>
      </w:tr>
      <w:tr>
        <w:trPr>
          <w:trHeight w:val="195"/>
        </w:trPr>
        <w:tc>
          <w:tcPr>
            <w:tcW w:w="8520" w:type="dxa"/>
            <w:vAlign w:val="bottom"/>
          </w:tcPr>
          <w:p>
            <w:pPr>
              <w:spacing w:after="0"/>
              <w:rPr>
                <w:sz w:val="16"/>
                <w:szCs w:val="16"/>
                <w:color w:val="auto"/>
              </w:rPr>
            </w:pPr>
          </w:p>
        </w:tc>
        <w:tc>
          <w:tcPr>
            <w:tcW w:w="13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8520" w:type="dxa"/>
            <w:vAlign w:val="bottom"/>
          </w:tcPr>
          <w:p>
            <w:pPr>
              <w:spacing w:after="0"/>
              <w:rPr>
                <w:sz w:val="17"/>
                <w:szCs w:val="17"/>
                <w:color w:val="auto"/>
              </w:rPr>
            </w:pPr>
          </w:p>
        </w:tc>
        <w:tc>
          <w:tcPr>
            <w:tcW w:w="18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r>
      <w:tr>
        <w:trPr>
          <w:trHeight w:val="255"/>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subject to repurchase from outstanding stock options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and PSUs subject to future vesting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r>
      <w:tr>
        <w:trPr>
          <w:trHeight w:val="27"/>
        </w:trPr>
        <w:tc>
          <w:tcPr>
            <w:tcW w:w="8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issuable from stock options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21,267</w:t>
            </w: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employee stock 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7"/>
        </w:trPr>
        <w:tc>
          <w:tcPr>
            <w:tcW w:w="85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8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Potential common shares excluded from diluted net loss per share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29,966</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and related notes thereto included elsewhere in this Quarterly Report on Form 10-Q. Some of the information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discussion and analysis or set forth elsewhere in this Quarterly Report on Form 10-Q, including information with respect to our plans and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our business, includes forward-looking statements that involve risks and uncertainties as described under the heading Special Note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following the Table of Contents of this Quarterly Report on Form 10-Q. You should review the disclosure under Part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1A - Risk Factors in this Quarterly Report on Form 10-Q for a discussion of important factors that could cause actual results to differ materially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results described in or implied by the forward-looking statements contained in the following discussion and analysis. Our fiscal year end is January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our fiscal quarters end on April 30, July 31, October 31, and January 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11 cloud modules on our Falcon platform via a SaaS subscription-based model that spans multiple large security markets, including endpoint security, security and IT operations (including vulnerability management), and threat intelligence.</w:t>
      </w:r>
    </w:p>
    <w:p>
      <w:pPr>
        <w:spacing w:after="0" w:line="19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21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to be a pandemic. Since then, the COVID-19 pandemic has rapidly spread across the globe and has already resulted in significant volatility, uncertainty, and economic disruption. Thus far, the impact of the pandemic has been modest with some customers, particularly in heavily impacted industries, requesting special billing or payment terms. Our gross retention rate for the second quarter of fiscal 2021 remained consistently high and our dollar-based net retention rate once again exceeded 120 percent as we continued to expand module adoption within new and existing customers. In March 2020, we implemented several measures to help ensure the health and safety of all our employees around the globe including restricting all travel and transitioning 100% of our workforce to be remote. In addition, in response to the uncertain macroeconomic environment, we converted all of our marketable securities to cash and cash equivalents during the three months ended April 30, 2020, and as of July 31, 2020, all of our investments were classified as cash.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continue to conduct business as usual with modifications to employee travel, employee work locations, customer interactions, and cancellation of certain marketing events, among other things.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The extent to which the COVID-19 pandemic may impact our longer-term operational and financial performance remains uncertain. Furthermore, due to our subscription-based business model, the effect of the COVID-19 pandemic may not be fully reflected in our results of operations until future periods, if at all. The extent of the impact of the COVID-19 pandemic will depend on several factors, including the pace of reopening the economy around the world; the possible resurgence in the spread of the virus; the development cycle of therapeutics and vaccines; the impact on our customers and our sales cycles; the impact on our customer, employee, and industry events; and the effect on our vendors. Please see Item IA, “Risk Factors,” in this Quarterly Report on Form 10-Q for a further description of the material risks we currently face, including the risks related to the COVID-19 pandemic.</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March, we launched two initiatives to help our customers quickly onboard new remote workers without sacrificing protection or having to worry about a procurement cycle. This included a surge relief plan that allows our customers to surge the number of endpoints for a limited time. Additionally, we launched a Falcon Prevent for Home Use program that allows our customers’ company administrators to install Falcon Prevent on their employees’ home systems. We believe both of these initiatives have been well received by our customers.</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Our Go-To-Market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7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25" w:lineRule="exact"/>
        <w:rPr>
          <w:sz w:val="20"/>
          <w:szCs w:val="20"/>
          <w:color w:val="auto"/>
        </w:rPr>
      </w:pPr>
    </w:p>
    <w:p>
      <w:pPr>
        <w:ind w:right="10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Adoption of Our Solutions. </w:t>
      </w:r>
      <w:r>
        <w:rPr>
          <w:rFonts w:ascii="Times New Roman" w:cs="Times New Roman" w:eastAsia="Times New Roman" w:hAnsi="Times New Roman"/>
          <w:sz w:val="17"/>
          <w:szCs w:val="17"/>
          <w:color w:val="auto"/>
        </w:rPr>
        <w:t>We believe our future success depends in large part on the growth in the market for cloud-based SaaS-delivered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5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Customer Acquisition. </w:t>
      </w:r>
      <w:r>
        <w:rPr>
          <w:rFonts w:ascii="Times New Roman" w:cs="Times New Roman" w:eastAsia="Times New Roman" w:hAnsi="Times New Roman"/>
          <w:sz w:val="18"/>
          <w:szCs w:val="18"/>
          <w:color w:val="auto"/>
        </w:rPr>
        <w:t>Our future growth depends in large part on our ability to acquire new customers. If our efforts to attract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20" w:firstLine="648"/>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Customer Retention and Increase Sales. </w:t>
      </w:r>
      <w:r>
        <w:rPr>
          <w:rFonts w:ascii="Times New Roman" w:cs="Times New Roman" w:eastAsia="Times New Roman" w:hAnsi="Times New Roman"/>
          <w:sz w:val="18"/>
          <w:szCs w:val="18"/>
          <w:color w:val="auto"/>
        </w:rPr>
        <w:t>Our ability to increase revenue depends in large part on our ability to retain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have added six additional modules since then. The Falcon Platform currently has 11 cloud modules that span endpoint security, security operations, and threat intelligence</w:t>
      </w:r>
    </w:p>
    <w:p>
      <w:pPr>
        <w:spacing w:after="0" w:line="17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 in Growth. </w:t>
      </w:r>
      <w:r>
        <w:rPr>
          <w:rFonts w:ascii="Times New Roman" w:cs="Times New Roman" w:eastAsia="Times New Roman" w:hAnsi="Times New Roman"/>
          <w:sz w:val="18"/>
          <w:szCs w:val="18"/>
          <w:color w:val="auto"/>
        </w:rPr>
        <w:t>We believe that our market opportunity is large and requires us to continue to invest significantly in sales and marketing efforts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18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Subscription Customers</w:t>
      </w:r>
    </w:p>
    <w:p>
      <w:pPr>
        <w:spacing w:after="0" w:line="22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number of our subscription customers as of the dates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1960" w:type="dxa"/>
            <w:vAlign w:val="bottom"/>
            <w:tcBorders>
              <w:bottom w:val="single" w:sz="8" w:color="auto"/>
            </w:tcBorders>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customers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 Growth in ARR from April 30, 2020 to July 31, 2020 was driven in part by a large new customer acquisition.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ARR as of the dates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r>
      <w:tr>
        <w:trPr>
          <w:trHeight w:val="196"/>
        </w:trPr>
        <w:tc>
          <w:tcPr>
            <w:tcW w:w="37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5"/>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recurring revenue</w:t>
            </w:r>
          </w:p>
        </w:tc>
        <w:tc>
          <w:tcPr>
            <w:tcW w:w="4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790,583</w:t>
            </w: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423,780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growth</w:t>
            </w:r>
          </w:p>
        </w:tc>
        <w:tc>
          <w:tcPr>
            <w:tcW w:w="4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7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45"/>
        </w:trPr>
        <w:tc>
          <w:tcPr>
            <w:tcW w:w="3700" w:type="dxa"/>
            <w:vAlign w:val="bottom"/>
          </w:tcPr>
          <w:p>
            <w:pPr>
              <w:spacing w:after="0"/>
              <w:rPr>
                <w:sz w:val="24"/>
                <w:szCs w:val="24"/>
                <w:color w:val="auto"/>
              </w:rPr>
            </w:pPr>
          </w:p>
        </w:tc>
        <w:tc>
          <w:tcPr>
            <w:tcW w:w="456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12 months but excludes revenue from new subscription customers in the current period. We then divide the Current Period ARR by the Prior Period ARR to arrive at our dollar-based net retention rate.</w:t>
      </w:r>
    </w:p>
    <w:p>
      <w:pPr>
        <w:spacing w:after="0" w:line="18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Our dollar-based net retention rate has varied from quarter to quarter due to a number of factors and we expect that trend to continue. For example, in the fourth quarter of fiscal 2019, we had an outsized expansion deal that contributed 11 percentage</w:t>
      </w:r>
    </w:p>
    <w:p>
      <w:pPr>
        <w:spacing w:after="0" w:line="236" w:lineRule="auto"/>
        <w:rPr>
          <w:sz w:val="20"/>
          <w:szCs w:val="20"/>
          <w:color w:val="auto"/>
        </w:rPr>
      </w:pPr>
      <w:r>
        <w:rPr>
          <w:rFonts w:ascii="Times New Roman" w:cs="Times New Roman" w:eastAsia="Times New Roman" w:hAnsi="Times New Roman"/>
          <w:sz w:val="18"/>
          <w:szCs w:val="18"/>
          <w:color w:val="auto"/>
        </w:rPr>
        <w:t>points to our net retention in that quarter. While we once again expanded within this account in the fourth quarter of fiscal</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2020, the impact was smaller than the prior year.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1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Subscription Revenue. </w:t>
      </w:r>
      <w:r>
        <w:rPr>
          <w:rFonts w:ascii="Times New Roman" w:cs="Times New Roman" w:eastAsia="Times New Roman" w:hAnsi="Times New Roman"/>
          <w:sz w:val="18"/>
          <w:szCs w:val="18"/>
          <w:color w:val="auto"/>
        </w:rPr>
        <w:t>Subscription revenue primarily consists of subscription fees for our Falcon platform and additional cloud modules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or multi-year in advance.</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Revenue. </w:t>
      </w:r>
      <w:r>
        <w:rPr>
          <w:rFonts w:ascii="Times New Roman" w:cs="Times New Roman" w:eastAsia="Times New Roman" w:hAnsi="Times New Roman"/>
          <w:sz w:val="18"/>
          <w:szCs w:val="18"/>
          <w:color w:val="auto"/>
        </w:rPr>
        <w:t>Professional services revenue includes incident response and proactive services, forensic and malware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Subscription Cost of Revenue. </w:t>
      </w:r>
      <w:r>
        <w:rPr>
          <w:rFonts w:ascii="Times New Roman" w:cs="Times New Roman" w:eastAsia="Times New Roman" w:hAnsi="Times New Roman"/>
          <w:sz w:val="18"/>
          <w:szCs w:val="18"/>
          <w:color w:val="auto"/>
        </w:rPr>
        <w:t>Subscription cost of revenue consists primarily of costs related to hosting our cloud-based Falcon platform in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centers, amortization of our capitalized 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18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Cost of Revenue. </w:t>
      </w:r>
      <w:r>
        <w:rPr>
          <w:rFonts w:ascii="Times New Roman" w:cs="Times New Roman" w:eastAsia="Times New Roman" w:hAnsi="Times New Roman"/>
          <w:sz w:val="18"/>
          <w:szCs w:val="18"/>
          <w:color w:val="auto"/>
        </w:rPr>
        <w:t>Professional services cost of revenue consists primarily of employee-related costs, such as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stock-based compensation expense, technology, property and equipment depreciation, and an allocated portion of facilities and administrative costs.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7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primarily consist of employee-related expenses such as salaries, commissions,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expenses also include stock-based compensation; expenses related to our Fal.Con customer conference and other marketing events; an allocated portion of facilities and administrative expenses; and cloud hosting and related services costs related to proof of value efforts. We capitalize and amortize sales commissions and any other incremental payments made upon the initial acquisition of a subscription or upsells to existing customers to sales and marketing expense over the estimated customer life, and amortize any such expenses paid for the renewal of a subscription to sales and marketing expense over the term of the renewal.</w:t>
      </w:r>
    </w:p>
    <w:p>
      <w:pPr>
        <w:spacing w:after="0" w:line="18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primarily consist of employee-related expenses such as salaries and bonuses;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82" w:lineRule="exact"/>
        <w:rPr>
          <w:sz w:val="20"/>
          <w:szCs w:val="20"/>
          <w:color w:val="auto"/>
        </w:rPr>
      </w:pPr>
    </w:p>
    <w:p>
      <w:pPr>
        <w:jc w:val="both"/>
        <w:ind w:right="60" w:firstLine="648"/>
        <w:spacing w:after="0" w:line="289" w:lineRule="auto"/>
        <w:rPr>
          <w:sz w:val="20"/>
          <w:szCs w:val="20"/>
          <w:color w:val="auto"/>
        </w:rPr>
      </w:pPr>
      <w:r>
        <w:rPr>
          <w:rFonts w:ascii="Times New Roman" w:cs="Times New Roman" w:eastAsia="Times New Roman" w:hAnsi="Times New Roman"/>
          <w:sz w:val="17"/>
          <w:szCs w:val="17"/>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of employee-related expenses such as salaries and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related expenses for our 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83"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income earned on our cash equivalents and marketable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related to the fair value of warrants for our redeemable convertible preferred stock; interest expense on our bank facility; and foreign currency transaction gains and losses.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primarily of income taxes in certain foreign jurisdictions in which we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as well as state income taxes in the United States. We have not recorded any U.S. federal income tax expense. We maintain a full valuation allowance on our U.S. federal and state and U.K. deferred tax assets as we have concluded that it is more likely than not that those deferred assets will not be utilized.</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statements of operations for each period presented: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Subscription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184,256</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346,478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183,566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162,912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services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10,533</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198,971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90,863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377,049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172,864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Subscription </w:t>
            </w:r>
            <w:r>
              <w:rPr>
                <w:rFonts w:ascii="Times New Roman" w:cs="Times New Roman" w:eastAsia="Times New Roman" w:hAnsi="Times New Roman"/>
                <w:sz w:val="21"/>
                <w:szCs w:val="21"/>
                <w:color w:val="auto"/>
                <w:vertAlign w:val="superscript"/>
              </w:rPr>
              <w:t>(1) (2)</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81,281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32,644</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Professional services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20,005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76,526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275,763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132,434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1"/>
                <w:szCs w:val="21"/>
                <w:color w:val="auto"/>
                <w:vertAlign w:val="superscript"/>
              </w:rPr>
              <w:t>(1) (2)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65,274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183,265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61,148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1"/>
                <w:szCs w:val="21"/>
                <w:color w:val="auto"/>
                <w:vertAlign w:val="superscript"/>
              </w:rPr>
              <w:t>(1) (2)</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31,630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18,853</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91,061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1"/>
                <w:szCs w:val="21"/>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54,004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328,330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108,586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0" w:type="dxa"/>
            <w:vAlign w:val="bottom"/>
          </w:tcPr>
          <w:p>
            <w:pPr>
              <w:spacing w:after="0"/>
              <w:rPr>
                <w:sz w:val="1"/>
                <w:szCs w:val="1"/>
                <w:color w:val="auto"/>
              </w:rPr>
            </w:pPr>
          </w:p>
        </w:tc>
      </w:tr>
      <w:tr>
        <w:trPr>
          <w:trHeight w:val="223"/>
        </w:trPr>
        <w:tc>
          <w:tcPr>
            <w:tcW w:w="2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(9,502) %</w:t>
            </w:r>
          </w:p>
        </w:tc>
        <w:tc>
          <w:tcPr>
            <w:tcW w:w="0" w:type="dxa"/>
            <w:vAlign w:val="bottom"/>
          </w:tcPr>
          <w:p>
            <w:pPr>
              <w:spacing w:after="0"/>
              <w:rPr>
                <w:sz w:val="1"/>
                <w:szCs w:val="1"/>
                <w:color w:val="auto"/>
              </w:rPr>
            </w:pPr>
          </w:p>
        </w:tc>
      </w:tr>
      <w:tr>
        <w:trPr>
          <w:trHeight w:val="21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provision for income taxes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21,821</w:t>
            </w: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29,017</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22,015</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(49,096)</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(77,866)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28,770</w:t>
            </w: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stock-based compensation expense as follows:</w:t>
      </w:r>
    </w:p>
    <w:p>
      <w:pPr>
        <w:sectPr>
          <w:pgSz w:w="11900" w:h="16838" w:orient="portrait"/>
          <w:cols w:equalWidth="0" w:num="1">
            <w:col w:w="11240"/>
          </w:cols>
          <w:pgMar w:left="320" w:top="121" w:right="339" w:bottom="1440" w:gutter="0" w:footer="0" w:header="0"/>
        </w:sectPr>
      </w:pPr>
    </w:p>
    <w:p>
      <w:pPr>
        <w:spacing w:after="0" w:line="68"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1731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6180"/>
        <w:spacing w:after="0"/>
        <w:tabs>
          <w:tab w:leader="none" w:pos="75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1731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24765</wp:posOffset>
            </wp:positionV>
            <wp:extent cx="1731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24765</wp:posOffset>
            </wp:positionV>
            <wp:extent cx="17316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cost of revenue</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7"/>
        </w:trPr>
        <w:tc>
          <w:tcPr>
            <w:tcW w:w="5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w:t>
            </w:r>
          </w:p>
        </w:tc>
      </w:tr>
      <w:tr>
        <w:trPr>
          <w:trHeight w:val="27"/>
        </w:trPr>
        <w:tc>
          <w:tcPr>
            <w:tcW w:w="5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17,553</w:t>
            </w:r>
          </w:p>
        </w:tc>
      </w:tr>
      <w:tr>
        <w:trPr>
          <w:trHeight w:val="26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37,713</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w:t>
            </w:r>
          </w:p>
        </w:tc>
      </w:tr>
      <w:tr>
        <w:trPr>
          <w:trHeight w:val="21"/>
        </w:trPr>
        <w:tc>
          <w:tcPr>
            <w:tcW w:w="5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of acquired intangible assets as follows:</w:t>
      </w:r>
    </w:p>
    <w:p>
      <w:pPr>
        <w:sectPr>
          <w:pgSz w:w="11900" w:h="16838" w:orient="portrait"/>
          <w:cols w:equalWidth="0" w:num="1">
            <w:col w:w="11240"/>
          </w:cols>
          <w:pgMar w:left="320" w:top="121" w:right="339" w:bottom="1440" w:gutter="0" w:footer="0" w:header="0"/>
          <w:type w:val="continuous"/>
        </w:sectPr>
      </w:pPr>
    </w:p>
    <w:p>
      <w:pPr>
        <w:spacing w:after="0" w:line="57"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1731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6180"/>
        <w:spacing w:after="0"/>
        <w:tabs>
          <w:tab w:leader="none" w:pos="75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1731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24765</wp:posOffset>
            </wp:positionV>
            <wp:extent cx="17316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24765</wp:posOffset>
            </wp:positionV>
            <wp:extent cx="1731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sectPr>
          <w:pgSz w:w="11900" w:h="16838" w:orient="portrait"/>
          <w:cols w:equalWidth="0" w:num="2">
            <w:col w:w="8300" w:space="720"/>
            <w:col w:w="22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7"/>
        </w:trPr>
        <w:tc>
          <w:tcPr>
            <w:tcW w:w="5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amortization of purchased intangibles</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
        </w:trPr>
        <w:tc>
          <w:tcPr>
            <w:tcW w:w="5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648"/>
        <w:spacing w:after="0" w:line="278" w:lineRule="auto"/>
        <w:rPr>
          <w:sz w:val="20"/>
          <w:szCs w:val="20"/>
          <w:color w:val="auto"/>
        </w:rPr>
      </w:pPr>
      <w:r>
        <w:rPr>
          <w:rFonts w:ascii="Times New Roman" w:cs="Times New Roman" w:eastAsia="Times New Roman" w:hAnsi="Times New Roman"/>
          <w:sz w:val="18"/>
          <w:szCs w:val="18"/>
          <w:color w:val="auto"/>
        </w:rPr>
        <w:t>The following table presents the components of our condensed consolidated statements of operations as a percentage of total revenue for the periods presented:</w:t>
      </w:r>
    </w:p>
    <w:p>
      <w:pPr>
        <w:sectPr>
          <w:pgSz w:w="11900" w:h="16838" w:orient="portrait"/>
          <w:cols w:equalWidth="0" w:num="1">
            <w:col w:w="11240"/>
          </w:cols>
          <w:pgMar w:left="320" w:top="121" w:right="339" w:bottom="1440" w:gutter="0" w:footer="0" w:header="0"/>
          <w:type w:val="continuous"/>
        </w:sectPr>
      </w:pPr>
    </w:p>
    <w:p>
      <w:pPr>
        <w:ind w:left="59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18173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5" w:lineRule="exact"/>
        <w:rPr>
          <w:sz w:val="20"/>
          <w:szCs w:val="20"/>
          <w:color w:val="auto"/>
        </w:rPr>
      </w:pPr>
    </w:p>
    <w:p>
      <w:pPr>
        <w:ind w:left="5920"/>
        <w:spacing w:after="0"/>
        <w:tabs>
          <w:tab w:leader="none" w:pos="74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24765</wp:posOffset>
            </wp:positionV>
            <wp:extent cx="18173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3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1834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5"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18345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3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93 %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90 %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10 %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22 %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23 %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services</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5 %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27 %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73 %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71 %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73 %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48 %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60 %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49 %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29 %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24 %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88 %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118 %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87 %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3"/>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(47)%</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45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(48)%</w:t>
            </w:r>
          </w:p>
        </w:tc>
        <w:tc>
          <w:tcPr>
            <w:tcW w:w="15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July 31, 2020 and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4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three months ended July 31, 2020 as compared to the three months ended July 31, 2019:</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184,256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86,681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14,715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198,971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108,108</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90,863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Total revenue increased by $90.9 million, or 84%, for the three months ended July 31, 2020, compared to the three months ended July 31, 2019. Subscription revenue accounted for 93% of our total revenue for the three months ended July 31, 2020, and 90% of our total revenue for the three months ended July 31, 2019. Professional services revenue accounted for 7% of our total revenue for the three months ended July 31, 2020, and 10% of our total revenue for the three months ended July 31, 2019.</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Subscription revenue increased by $86.7 million, or 89%, for the three months ended July 31, 2020, compared to the three months ended July 31, 2019. This increase was primarily attributable to the addition of new subscription customers, as we increased our customer base by 91% from 3,789 subscription customers as of July 31, 2019 to 7,230 subscription customers as of July 31, 2020. Subscription revenue from new customers, subscription revenue from the renewal of existing customers, and subscription revenue from the sale of additional endpoints and additional modules to existing customers accounted for 33%, 35%, and 32% of total subscription revenue for the three months ended July 31, 2020, respectively. Subscription revenue from new customers, subscription revenue from the renewal of existing customers, and subscription revenue from the sale of additional endpoints and additional modules to existing customers accounted for 40%, 32%, and 28% of total subscription revenue for the three months ended July 31, 2019, respectively.</w:t>
      </w:r>
    </w:p>
    <w:p>
      <w:pPr>
        <w:spacing w:after="0" w:line="1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$4.2 million, or 40%, for the three months ended July 31, 2020, compared to the three months ended July 31, 2019, and was primarily attributable to an increase in the number of professional service hours performed.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20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three months ended July 31, 2020 as compared to the three months ended July 31, 2019:</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19,091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3,718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22,809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Total cost of revenue increased by $22.8 million, or 72%, for the three months ended July 31, 2020, compared to the three months ended July 31, 2019. Subscription cost of revenue increased by $19.1 million, or 77%, for the three months ended July 31, 2020, compared to the three months ended July 31, 2019. The increase in subscription cost of revenue was primarily due to an increase in employee-related expenses of $6.3 million driven by a 82% increase in average headcount, an increase in cloud hosting and related services of $7.6 million driven by increased customer activity, an increase in depreciation of data center equipment of $1.9 million, an increase in stock-based compensation expense of $1.4 million and an increase in allocated overhead costs of $1.2 million.</w:t>
      </w:r>
    </w:p>
    <w:p>
      <w:pPr>
        <w:spacing w:after="0" w:line="18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Professional services cost of revenue increased by $3.7 million, or 56%, for the three months ended July 31, 2020, compared to the three months ended July 31, 2019. The increase in professional services cost of revenue was primarily due to an increase in employee-related expenses of $2.9 million driven by an increase in average headcount of 58% and an increase in stock-based compensation expense of $0.8 million.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2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three months ended July 31, 2020 as compared to the three months ended July 31, 2019:</w:t>
      </w: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4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6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72,629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67,590</w:t>
            </w: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2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144,580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76,526</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68,054</w:t>
            </w:r>
          </w:p>
        </w:tc>
        <w:tc>
          <w:tcPr>
            <w:tcW w:w="4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58"/>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6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0" w:type="dxa"/>
            <w:vAlign w:val="bottom"/>
          </w:tcPr>
          <w:p>
            <w:pPr>
              <w:spacing w:after="0"/>
              <w:rPr>
                <w:sz w:val="24"/>
                <w:szCs w:val="24"/>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Subscription gross margin increased by two percentage points for the three months ended July 31, 2020, compared to the three months ended July 31, 2019. This increase was a result of continuing to shift more of our operations from third-party cloud service providers to colocation data centers, renegotiating the terms of a third-party cloud service provider contract, and lower than typical travel given COVID-19 travel restrictions. This increase in gross margin was also due to the continued expansion of module adoption by our customer base. As of July 31, 2020, 57% of our customer base had adopted four or more modules and 39% of our customer base had adopted five or more modules. As of July 31, 2019, 50% of our customer base had adopted four or more modules and 27%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w:t>
      </w:r>
    </w:p>
    <w:p>
      <w:pPr>
        <w:spacing w:after="0" w:line="18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seven percentage points for the three months ended July 31, 2020, compared to the three months ended July 31, 2019. The decrease in professional services gross margin was due to a decrease in utilization during the three months ended July 31, 2020 compared to the three months ended July 31, 2019.</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sales and marketing expenses for the three months ended July 31, 2020 as compared to the three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95,127</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29,853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$29.9 million, or 46%, for the three months ended July 31, 2020, compared to the three months ended July 31, 2019. The increase in sales and marketing expenses was primarily due to an increase in employee-related expenses of $19.7 million driven by an increase in sales and marketing average headcount of 39%, an increase in stock-based compensation of $7.0 million, an increase in marketing programs of $3.9 million, and an increase in allocated overhead costs of $1.9 million, partially offset by a $4.0 million decrease in travel-related costs due to the fact that, as a result of the COVID-19 pandemic, all of our workforce was working from home and not traveling during the quarter.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three months ended July 31, 2020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50,483</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18,853</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$18.9 million, or 60%, for the three months ended July 31, 2020, compared to the three months ended July 31, 2019. This increase was primarily due to an increase in employee-related expenses of $10.9 million driven by an increase in research and development average headcount of 52%, an increase in stock-based compensation of $4.1 million, an increase in cloud hosting and related costs of $2.4 million, an increase in allocated overhead costs of $1.5 million and an increase in depreciation of data center equipment of $1.0 million, partially offset by a $1.0 million decrease in travel-related costs due to the fact that, as a result of the COVID-19 pandemic, all of our workforce was working from home and not traveling during the quarter.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three months ended July 31, 2020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28,961</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decreased by $1.3 million, or 4%, for the three months ended July 31, 2020, compared to the three months ended July 31, 2019. The decrease in general and administrative expenses was primarily due to a decrease in stock-based compensation expense of $5.5 million, a decrease in bad debt expense of $0.8 million, and $0.5 million decrease in travel-related costs due to the fact that, as a result of the COVID-19 pandemic, all of our workforce was working from home and not traveling during the quarter, partially offset by an increase in employee related expenses of $3.1 million driven by an increase in general and administrative average headcount of 70%, an increase in corporate insurance expense of $0.7 million, an increase in overhead costs of $0.7 million, an increase in business licenses and taxes of $0.7 million, and an increase in accounting expenses of $0.5 million.</w:t>
      </w:r>
    </w:p>
    <w:p>
      <w:pPr>
        <w:spacing w:after="0" w:line="189" w:lineRule="exact"/>
        <w:rPr>
          <w:sz w:val="20"/>
          <w:szCs w:val="20"/>
          <w:color w:val="auto"/>
        </w:rPr>
      </w:pPr>
    </w:p>
    <w:p>
      <w:pPr>
        <w:ind w:right="4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Interest expense and Other income (expense), net, for the three months ended July 31, 2020 as compared to the three months ended July 31, 2019:</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gridSpan w:val="2"/>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94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732</w:t>
            </w:r>
          </w:p>
        </w:tc>
        <w:tc>
          <w:tcPr>
            <w:tcW w:w="94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(451)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bl>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amortization of debt issuance costs related to our revolving credit facility as discussed in Note 5 of our condensed consolidated financial statements.</w:t>
      </w:r>
    </w:p>
    <w:p>
      <w:pPr>
        <w:spacing w:after="0" w:line="16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net, was an expense of $0.5 million for the three months ended July 31, 2019 compared to income of $0.7 million the three months ended July 31, 2020. This increase of $1.2 million was driven primarily by a decrease in expense related to the fair value of redeemable convertible preferred stock warrants of $4.9 million as the warrants were converted into common stock upon our IPO in June 2019, partially offset by a decrease in interest income of $2.5 million due to our having liquidated our portfolio of marketable securities during the first quarter of fiscal 2021 in response to the economic uncertainty surrounding the COVID-19 pandemic, and a decrease in income from a legal settlement of $1.3 million which occurred during the three months ended July 31,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provision for income taxes for the three months ended July 31, 2020 as compared to the three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(441)</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5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decrease in the provision for income taxes of $0.2 million during the three months ended July 31, 2020 compared to the three months ended July 31, 2019 was primarily due to lower taxes paid in foreign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July 31, 2020 and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58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total revenue from subscriptions and professional services for the six months ended July 31, 2020 as compared to the six months ended July 31, 2019:</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6"/>
                <w:szCs w:val="16"/>
                <w:color w:val="auto"/>
              </w:rPr>
            </w:pP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346,478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162,912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30,571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9,952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377,049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172,864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Total revenue increased by $172.9 million, or 85%, for the six months ended July 31, 2020, compared to the six months ended July 31, 2019. Subscription revenue accounted for 92% of our total revenue for the six months ended July 31, 2020, and 90% of our total revenue for the six months ended July 31, 2019. Professional services revenue accounted for 8% of our total revenue for the six months ended July 31, 2020, and 10% of our total revenue for the six months ended July 31, 2019.</w:t>
      </w:r>
    </w:p>
    <w:p>
      <w:pPr>
        <w:spacing w:after="0" w:line="180"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Subscription revenue increased by $162.9 million, or 89%, for the six months ended July 31, 2020, compared to the six months ended July 31, 2019. This increase was primarily attributable to the addition of new subscription customers, as we increased our customer base by 91% from 3,789 subscription customers as of July 31, 2019 to 7,230 subscription customers as of July 31, 2020. Subscription revenue from new customers, subscription revenue from the renewal of existing customers, and subscription revenue from the sale of additional endpoints and additional modules to existing customers accounted for 33%, 35%, and 32% of total subscription revenue for the six months ended July 31, 2020, respectively. Subscription revenue from new customers, subscription revenue from the renewal of existing customers, and subscription revenue from the sale of additional endpoints and additional modules to existing customers accounted for 41%, 32%, and 27% of total subscription revenue for the six months ended July 31, 2019, respectively.</w:t>
      </w:r>
    </w:p>
    <w:p>
      <w:pPr>
        <w:spacing w:after="0" w:line="17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Professional services revenue increased by $10.0 million, or 48%, for the six months ended July 31, 2020, compared to the six months ended July 31, 2019, and was primarily attributable to an increase in the number of professional service hours performed.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Profit, and Gross Margin</w:t>
      </w:r>
    </w:p>
    <w:p>
      <w:pPr>
        <w:spacing w:after="0" w:line="229" w:lineRule="exact"/>
        <w:rPr>
          <w:sz w:val="20"/>
          <w:szCs w:val="20"/>
          <w:color w:val="auto"/>
        </w:rPr>
      </w:pPr>
    </w:p>
    <w:p>
      <w:pPr>
        <w:ind w:right="10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cost of revenue related to subscriptions and professional services for the six months ended July 31, 2020 as compared to the six months ended July 31, 2019:</w:t>
      </w: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196"/>
        </w:trPr>
        <w:tc>
          <w:tcPr>
            <w:tcW w:w="5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r>
      <w:tr>
        <w:trPr>
          <w:trHeight w:val="196"/>
        </w:trPr>
        <w:tc>
          <w:tcPr>
            <w:tcW w:w="55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32,644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7,786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40,430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firstLine="648"/>
        <w:spacing w:after="0" w:line="276" w:lineRule="auto"/>
        <w:rPr>
          <w:sz w:val="20"/>
          <w:szCs w:val="20"/>
          <w:color w:val="auto"/>
        </w:rPr>
      </w:pPr>
      <w:r>
        <w:rPr>
          <w:rFonts w:ascii="Times New Roman" w:cs="Times New Roman" w:eastAsia="Times New Roman" w:hAnsi="Times New Roman"/>
          <w:sz w:val="17"/>
          <w:szCs w:val="17"/>
          <w:color w:val="auto"/>
        </w:rPr>
        <w:t>Total cost of revenue increased by $40.4 million, or 66%, for the six months ended July 31, 2020, compared to the six months ended July 31, 2019. Subscription cost of revenue increased by $32.6 million, or 67%, for the six months ended July 31, 2020, compared to the six months ended July 31,</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2019. The increase in subscription cost of revenue was primarily due to an increase in employee-related expenses of $11.6 million driven by a 86% increase in average headcount, an increase in cloud hosting and related services of $10.9 million driven by increased customer activity, an increase in depreciation of data center equipment of $3.4 million, an increase in stock-based compensation expense of $3.1 million, an increase in allocated overhead costs of $2.4 million, an increase in the amortization of internal use software of $0.7 million, and an increase in employee health insurance expense of $0.6 million.</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Professional services cost of revenue increased by $7.8 million, or 64%, for the six months ended July 31, 2020, compared to the six months ended July 31, 2019. The increase in professional services cost of revenue was primarily due to an increase in employee-related expenses of $5.4 million driven by an increase in average headcount of 54%, an increase in stock-based compensation expense of $1.6 million, and an increase in allocated overhead costs of $0.6 million.</w:t>
      </w:r>
    </w:p>
    <w:p>
      <w:pPr>
        <w:spacing w:after="0" w:line="180" w:lineRule="exact"/>
        <w:rPr>
          <w:sz w:val="20"/>
          <w:szCs w:val="20"/>
          <w:color w:val="auto"/>
        </w:rPr>
      </w:pPr>
    </w:p>
    <w:p>
      <w:pPr>
        <w:ind w:right="20" w:firstLine="648"/>
        <w:spacing w:after="0" w:line="278" w:lineRule="auto"/>
        <w:rPr>
          <w:sz w:val="20"/>
          <w:szCs w:val="20"/>
          <w:color w:val="auto"/>
        </w:rPr>
      </w:pPr>
      <w:r>
        <w:rPr>
          <w:rFonts w:ascii="Times New Roman" w:cs="Times New Roman" w:eastAsia="Times New Roman" w:hAnsi="Times New Roman"/>
          <w:sz w:val="18"/>
          <w:szCs w:val="18"/>
          <w:color w:val="auto"/>
        </w:rPr>
        <w:t>The following shows gross profit and gross margin for subscriptions and professional services for the six months ended July 31, 2020 as compared to the six months ended July 31, 2019:</w:t>
      </w: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134,929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130,268</w:t>
            </w: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97 %</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profit</w:t>
            </w:r>
          </w:p>
        </w:tc>
        <w:tc>
          <w:tcPr>
            <w:tcW w:w="3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40" w:type="dxa"/>
            <w:vAlign w:val="bottom"/>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275,763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143,329</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132,434</w:t>
            </w:r>
          </w:p>
        </w:tc>
        <w:tc>
          <w:tcPr>
            <w:tcW w:w="4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658"/>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6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r>
      <w:tr>
        <w:trPr>
          <w:trHeight w:val="24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 gross margin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4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margin</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24"/>
                <w:szCs w:val="24"/>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Subscription gross margin increased by three percentage points for the six months ended July 31, 2020, compared to the six months ended July 31, 2019. This increase was a result of continuing to shift more of our operations from third-party cloud service providers to colocation data centers, renegotiating the terms of a third-party cloud service provider contract, and lower than typical travel given COVID-19 travel restrictions. This increase in gross margin was also due to the continued expansion of module adoption by our customer base. As of July 31, 2020, 57% of our customer base had adopted four or more modules and 39% of our customer base had adopted five or more modules. As of July 31, 2019, 50% of our customer base had adopted four or more modules and 27% of our customer base had adopted five or more modules. Our “collect once, reuse many” data strategy means that after the first module is paid for and covers the cost of data storage and most computational costs, each additional subscription module carries a higher margin. We expect gross margin to fluctuate quarter to quarter given the timing of turning on new cloud data centers in new geographies to accommodate increased activity and demand.</w:t>
      </w:r>
    </w:p>
    <w:p>
      <w:pPr>
        <w:spacing w:after="0" w:line="188"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Professional services gross margin decreased by six percentage points for the six months ended July 31, 2020, compared to the six months ended July 31, 2019. The decrease in professional services gross margin was due to a decrease in utilization during the six months ended July 31, 2020 compared to the six months ended July 31, 2019.</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sales and marketing expenses for the six months ended July 31, 2020 as compared to the six months ended July 31,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183,265</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61,148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7"/>
        </w:trPr>
        <w:tc>
          <w:tcPr>
            <w:tcW w:w="55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$61.1 million, or 50%, for the six months ended July 31, 2020, compared to the six months ended July 31, 2019. The increase in sales and marketing expenses was primarily due to an increase in employee-related expenses of $36.6 million driven by an increase in sales and marketing average headcount of 42%, an increase in stock-based compensation of $14.1 million, an increase in marketing programs of $6.6 million, an increase in allocated overhead costs of $3.9 million, an increase in company events of $1.4 million, and increase in employee health insurance expense of $0.9 million, partially offset by a $5.5 million decrease in travel-related costs due to the fact that, as a result of the COVID-19 pandemic, all of our workforce was working from home and not traveling during the second quarter of fiscal 2021.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research and development expenses for the six months ended July 31, 2020 as compared to the six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91,061</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35,556</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7"/>
        </w:trPr>
        <w:tc>
          <w:tcPr>
            <w:tcW w:w="5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$35.6 million, or 64%, for the six months ended July 31, 2020, compared to the six months ended July 31, 2019. This increase was primarily due to an increase in employee-related expenses of $19.0 million driven by an increase in research and development average headcount of 53%, an increase in stock-based compensation of $8.3 million, an increase in cloud hosting and related costs of $4.1 million, an increase in allocated overhead costs of $2.8 million, an increase in depreciation of data center equipment of $1.7 million, and an increase in employee health insurance expense of $0.7 million, partially offset by a $1.5 million decrease in travel-related costs due to the fact that, as a result of the COVID-19 pandemic, all of our workforce was working from home and not traveling during the second quarter of fiscal 2021.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general and administrative expenses for the six months ended July 31, 2020 as compared to the six months ended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54,004</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11,882</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7"/>
        </w:trPr>
        <w:tc>
          <w:tcPr>
            <w:tcW w:w="5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$11.9 million, or 28%, for the six months ended July 31, 2020, compared to the six months ended July 31, 2019. The increase in general and administrative expenses was primarily due an increase in employee-related expenses of $6.2 million driven by an increase in general and administrative average headcount of 71%, an increase in corporate insurance expense of $2.1 million, an increase in overhead costs of $1.3 million, an increase in legal expenses of $1.2 million, an increase in accounting expenses of $0.9 million, and an increase in stock-based compensation expense of $0.6 million.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Income (Expense), Net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income (expense), net, for the six months ended July 31, 2020 as compared to the six months ended July 31,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(317)</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5,265</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5,321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amortization of debt issuance costs related to our revolving credit facility as discussed in Note 5 of our condensed consolidated financial statements.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net, was an expense of $0.1 million for the six months ended July 31, 2019 compared to income of $5.3 million the six months ended July 31, 2020. This increase of $5.3 million was driven primarily by a decrease in expense related to the fair value of redeemable convertible preferred stock warrants of $6.0 million as the warrants were converted into common stock upon our IPO in June 2019, and an increase in realized gain on marketable securities of $1.3 million due to our having liquidated our portfolio of marketable securities during the first quarter of fiscal 2021 in response to the economic uncertainty surrounding the COVID-19 pandemic, partially offset by a decrease in income from a legal settlement of $1.3 million which occurred during the three months ended July 31, 2019 and a decrease in interest income of $0.4 million.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provision for income taxes for the six months ended July 31, 2020 as compared to the six months ended July 31,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(1,477)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55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increase in the provision for income taxes of $0.2 million during the six months ended July 31, 2020 compared to the six months ended July 31, 2019 was primarily due to income tax expense related to the realized gain on the sale of marketable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9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these non-GAAP financial measures as presented in the tables below,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Non-GAAP Subscription Gross Profit and Non-GAAP Subscription Gross Margin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presents a reconciliation of our non-GAAP subscription gross profit to our GAAP subscription gross profit and of our non-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subscription gross margin to our GAAP subscription gross margin as of the periods presented:</w:t>
      </w:r>
    </w:p>
    <w:p>
      <w:pPr>
        <w:sectPr>
          <w:pgSz w:w="11900" w:h="16838" w:orient="portrait"/>
          <w:cols w:equalWidth="0" w:num="1">
            <w:col w:w="11240"/>
          </w:cols>
          <w:pgMar w:left="320" w:top="121" w:right="339" w:bottom="1440" w:gutter="0" w:footer="0" w:header="0"/>
        </w:sectPr>
      </w:pPr>
    </w:p>
    <w:p>
      <w:pPr>
        <w:spacing w:after="0" w:line="47"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38735</wp:posOffset>
            </wp:positionV>
            <wp:extent cx="18599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6" w:lineRule="exact"/>
        <w:rPr>
          <w:sz w:val="20"/>
          <w:szCs w:val="20"/>
          <w:color w:val="auto"/>
        </w:rPr>
      </w:pPr>
    </w:p>
    <w:p>
      <w:pPr>
        <w:ind w:left="5800"/>
        <w:spacing w:after="0"/>
        <w:tabs>
          <w:tab w:leader="none" w:pos="730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38735</wp:posOffset>
            </wp:positionV>
            <wp:extent cx="18599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6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38735</wp:posOffset>
            </wp:positionV>
            <wp:extent cx="18688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38735</wp:posOffset>
            </wp:positionV>
            <wp:extent cx="18688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61" w:lineRule="exact"/>
        <w:rPr>
          <w:sz w:val="20"/>
          <w:szCs w:val="20"/>
          <w:color w:val="auto"/>
        </w:rPr>
      </w:pPr>
    </w:p>
    <w:p>
      <w:pPr>
        <w:sectPr>
          <w:pgSz w:w="11900" w:h="16838" w:orient="portrait"/>
          <w:cols w:equalWidth="0" w:num="2">
            <w:col w:w="8120" w:space="720"/>
            <w:col w:w="24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subscription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184,256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97,575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346,478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183,566</w:t>
            </w:r>
          </w:p>
        </w:tc>
      </w:tr>
      <w:tr>
        <w:trPr>
          <w:trHeight w:val="257"/>
        </w:trPr>
        <w:tc>
          <w:tcPr>
            <w:tcW w:w="5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subscription 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140,219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72,629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265,197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134,929</w:t>
            </w:r>
          </w:p>
        </w:tc>
      </w:tr>
      <w:tr>
        <w:trPr>
          <w:trHeight w:val="24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1,498</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201</w:t>
            </w: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subscription gross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142,917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73,959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269,952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136,628</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subscription gross margin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5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5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subscription gross margin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Non-GAAP Income (Loss) from Operations and Non-GAAP Operating Margin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non-GAAP income (loss) from operations and non-GAAP operating margin as GAAP loss from operations and GAAP operating margin, respectively, excluding stock-based compensation expense, amortization of acquired intangible assets, and acquisition-related expenses. We believe non-GAAP income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our non-GAAP income (loss) from operations to our GAAP loss from operations and our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margin to our GAAP operating margin as of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280" w:type="dxa"/>
            <w:vAlign w:val="bottom"/>
          </w:tcPr>
          <w:p>
            <w:pPr>
              <w:spacing w:after="0"/>
              <w:rPr>
                <w:sz w:val="18"/>
                <w:szCs w:val="18"/>
                <w:color w:val="auto"/>
              </w:rPr>
            </w:pPr>
          </w:p>
        </w:tc>
        <w:tc>
          <w:tcPr>
            <w:tcW w:w="27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r>
      <w:tr>
        <w:trPr>
          <w:trHeight w:val="21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Pr>
          <w:p>
            <w:pPr>
              <w:spacing w:after="0"/>
              <w:rPr>
                <w:sz w:val="18"/>
                <w:szCs w:val="18"/>
                <w:color w:val="auto"/>
              </w:rPr>
            </w:pPr>
          </w:p>
        </w:tc>
        <w:tc>
          <w:tcPr>
            <w:tcW w:w="274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198,971</w:t>
            </w:r>
          </w:p>
        </w:tc>
        <w:tc>
          <w:tcPr>
            <w:tcW w:w="5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108,108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6"/>
                <w:szCs w:val="16"/>
                <w:color w:val="auto"/>
              </w:rPr>
              <w:t>377,049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204,185</w:t>
            </w:r>
          </w:p>
        </w:tc>
      </w:tr>
      <w:tr>
        <w:trPr>
          <w:trHeight w:val="216"/>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loss from operations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(29,991)</w:t>
            </w:r>
          </w:p>
        </w:tc>
        <w:tc>
          <w:tcPr>
            <w:tcW w:w="58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(50,639)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(52,567)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(76,415)</w:t>
            </w:r>
          </w:p>
        </w:tc>
      </w:tr>
      <w:tr>
        <w:trPr>
          <w:trHeight w:val="243"/>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61,351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33,611</w:t>
            </w:r>
          </w:p>
        </w:tc>
      </w:tr>
      <w:tr>
        <w:trPr>
          <w:trHeight w:val="27"/>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 Amortization of acquired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285</w:t>
            </w:r>
          </w:p>
        </w:tc>
      </w:tr>
      <w:tr>
        <w:trPr>
          <w:trHeight w:val="24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(20,641)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color w:val="auto"/>
              </w:rPr>
              <w:t>8,991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(42,519)</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6"/>
        </w:trPr>
        <w:tc>
          <w:tcPr>
            <w:tcW w:w="5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operating margin</w:t>
            </w: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3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margin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bl>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Free cash flow is a non-GAAP financial measure that we define as net cash provided by (used in) operating activities less purchases of property and equipment and capitalized internal-use software. 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 In addition, other companies may calculate free cash flow differently or not at all, which reduces the usefulness of free cash flow as a tool for comparison.</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a reconciliation of free cash flow and free cash flow margin to net cash provided by (used in) operating activities: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 July 31,</w:t>
            </w:r>
          </w:p>
        </w:tc>
        <w:tc>
          <w:tcPr>
            <w:tcW w:w="320" w:type="dxa"/>
            <w:vAlign w:val="bottom"/>
          </w:tcPr>
          <w:p>
            <w:pPr>
              <w:spacing w:after="0"/>
              <w:rPr>
                <w:sz w:val="18"/>
                <w:szCs w:val="18"/>
                <w:color w:val="auto"/>
              </w:rPr>
            </w:pPr>
          </w:p>
        </w:tc>
        <w:tc>
          <w:tcPr>
            <w:tcW w:w="260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Six Months Ended July 31,</w:t>
            </w:r>
          </w:p>
        </w:tc>
      </w:tr>
      <w:tr>
        <w:trPr>
          <w:trHeight w:val="3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Pr>
          <w:p>
            <w:pPr>
              <w:spacing w:after="0"/>
              <w:rPr>
                <w:sz w:val="18"/>
                <w:szCs w:val="18"/>
                <w:color w:val="auto"/>
              </w:rPr>
            </w:pPr>
          </w:p>
        </w:tc>
        <w:tc>
          <w:tcPr>
            <w:tcW w:w="26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r>
      <w:tr>
        <w:trPr>
          <w:trHeight w:val="3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198,971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108,108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377,049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204,185</w:t>
            </w:r>
          </w:p>
        </w:tc>
      </w:tr>
      <w:tr>
        <w:trPr>
          <w:trHeight w:val="216"/>
        </w:trPr>
        <w:tc>
          <w:tcPr>
            <w:tcW w:w="5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55,025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153,602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(4,799)</w:t>
            </w:r>
          </w:p>
        </w:tc>
      </w:tr>
      <w:tr>
        <w:trPr>
          <w:trHeight w:val="223"/>
        </w:trPr>
        <w:tc>
          <w:tcPr>
            <w:tcW w:w="5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Purchases of property and equipment</w:t>
            </w:r>
          </w:p>
        </w:tc>
        <w:tc>
          <w:tcPr>
            <w:tcW w:w="260" w:type="dxa"/>
            <w:vAlign w:val="bottom"/>
          </w:tcPr>
          <w:p>
            <w:pPr>
              <w:spacing w:after="0"/>
              <w:rPr>
                <w:sz w:val="19"/>
                <w:szCs w:val="19"/>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(20,640)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(21,618)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(30,334)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(37,159)</w:t>
            </w:r>
          </w:p>
        </w:tc>
      </w:tr>
      <w:tr>
        <w:trPr>
          <w:trHeight w:val="3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Capitalized internal-use software</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(3,310)</w:t>
            </w:r>
          </w:p>
        </w:tc>
      </w:tr>
      <w:tr>
        <w:trPr>
          <w:trHeight w:val="247"/>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32,417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(29,158)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119,418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(45,268)</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5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(23,608)</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(34,392)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611,103</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(30,254)</w:t>
            </w:r>
          </w:p>
        </w:tc>
      </w:tr>
      <w:tr>
        <w:trPr>
          <w:trHeight w:val="33"/>
        </w:trPr>
        <w:tc>
          <w:tcPr>
            <w:tcW w:w="5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680,684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679,802</w:t>
            </w:r>
          </w:p>
        </w:tc>
      </w:tr>
      <w:tr>
        <w:trPr>
          <w:trHeight w:val="33"/>
        </w:trPr>
        <w:tc>
          <w:tcPr>
            <w:tcW w:w="5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 as a percentage of revenue</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(6) %</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2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4"/>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Purchases of property and equipment as a percentage of revenue</w:t>
            </w:r>
          </w:p>
        </w:tc>
        <w:tc>
          <w:tcPr>
            <w:tcW w:w="15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(10) %</w:t>
            </w:r>
          </w:p>
        </w:tc>
        <w:tc>
          <w:tcPr>
            <w:tcW w:w="15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(20) %</w:t>
            </w:r>
          </w:p>
        </w:tc>
        <w:tc>
          <w:tcPr>
            <w:tcW w:w="148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color w:val="auto"/>
              </w:rPr>
              <w:t>(8)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33"/>
        </w:trPr>
        <w:tc>
          <w:tcPr>
            <w:tcW w:w="56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5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Capitalized internal-use software as a percentage of revenue</w:t>
            </w:r>
          </w:p>
        </w:tc>
        <w:tc>
          <w:tcPr>
            <w:tcW w:w="156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(1) %</w:t>
            </w:r>
          </w:p>
        </w:tc>
        <w:tc>
          <w:tcPr>
            <w:tcW w:w="156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 %</w:t>
            </w:r>
          </w:p>
        </w:tc>
        <w:tc>
          <w:tcPr>
            <w:tcW w:w="1480" w:type="dxa"/>
            <w:vAlign w:val="bottom"/>
            <w:tcBorders>
              <w:bottom w:val="single" w:sz="8" w:color="CCEEFF"/>
            </w:tcBorders>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(1)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 margin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70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(27)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7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200" w:lineRule="exact"/>
        <w:rPr>
          <w:sz w:val="20"/>
          <w:szCs w:val="20"/>
          <w:color w:val="auto"/>
        </w:rPr>
      </w:pPr>
    </w:p>
    <w:p>
      <w:pPr>
        <w:spacing w:after="0" w:line="37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June 2019, upon completion of our IPO, we received net proceeds of $659.2 million, after deducting underwriters’ discounts and commissions and offering expenses of $44.8 million.</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July 31, 2020, we had cash and cash equivalents, consisting of highly liquid money market funds, of $1.06 billion. During the first quarter of fiscal 2021, we liquidated our entire portfolio of marketable securities largely in response to the global economic uncertainty in conjunction with the COVID-19 pandemic. This resulted in the recognition of a realized gain of $1.3 million.</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Since our inception, we have generated operating losses, as reflected in our accumulated deficit of $686.6 million as of July 31, 2020. We expect to continue to incur operating losses for the foreseeable future due to the investments we intend to continue to make in sales and marketing and research and development, and due to additional general and administrative costs incurred as a result of operating as a public company. As a result, we may require additional capital resources to execute strategic initiatives to grow our business.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July 31, 2020, we had deferred revenue of $689.8 million, of which $515.1 million was recorded as a current liability and is expected to be recorded as revenue in the next 12 months, provided all other revenue recognition criteria have been met.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96"/>
        </w:trPr>
        <w:tc>
          <w:tcPr>
            <w:tcW w:w="8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1"/>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64"/>
        </w:trPr>
        <w:tc>
          <w:tcPr>
            <w:tcW w:w="8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153,602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w:t>
            </w:r>
          </w:p>
        </w:tc>
      </w:tr>
      <w:tr>
        <w:trPr>
          <w:trHeight w:val="24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611,103</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34,435</w:t>
            </w:r>
          </w:p>
        </w:tc>
        <w:tc>
          <w:tcPr>
            <w:tcW w:w="5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679,802</w:t>
            </w:r>
          </w:p>
        </w:tc>
      </w:tr>
      <w:tr>
        <w:trPr>
          <w:trHeight w:val="27"/>
        </w:trPr>
        <w:tc>
          <w:tcPr>
            <w:tcW w:w="8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during the six months ended July 31, 2020 was $153.6 million, which resulted from a net loss of $49.1 million, adjusted for non-cash charges of $111.6 million and net cash inflow of $91.1 million from changes in operating assets and liabilities. Non-cash charges primarily consisted of $61.4 million in stock-based compensation expense, $28.2 million of amortization of deferred contract acquisition costs, $17.6 million of depreciation and amortization, and $4.9 million of non-cash operating lease costs. The net cash inflow from changes in operating assets and liabilities was primarily due to a $118.7 million increase in deferred revenue, a $16.0 million decrease in accounts receivable, a $5.3 million increase in other liabilities, and a $9.6 million increase in accounts payable, partially offset by $49.0 million increase in deferred contract acquisition costs and a $8.1 million decrease in accrued expenses and other current liabilities.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July 31, 2019 was $4.8 million, which resulted from a net loss of $77.9 million, adjusted for non-cash charges of $64.4 million and net cash inflow of $8.7 million from changes in operating assets and liabilities. Non-cash charges primarily consisted of $33.6 million in stock-based compensation expense, $15.1 million of amortization of deferred contract acquisition costs, $10.2 million of depreciation and amortization and, $6.0 million due to the change in the fair value of our redeemable convertible preferred stock warrant liability. The net cash inflow from changes in operating assets and liabilities was primarily due to a $79.4 million increase in deferred revenue, partially offset by a $27.8 million increase in deferred contract acquisition costs, a $22.8 million increase in accounts receivable, a $12.5 million increase in prepaid expenses and other assets, a $5.9 million decrease in accounts payable, and a $2.1 million decrease in accrued expenses and other current liabilities.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July 31, 2020 of $611.1 million was primarily due to the sale of marketable securities of $639.6 million and the maturities of marketable securities of $91.6 million, partially offset by purchases of marketable securities of $84.9 million and purchases of property and equipment of $30.3 million.</w:t>
      </w:r>
    </w:p>
    <w:p>
      <w:pPr>
        <w:spacing w:after="0" w:line="17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cash used by investing activities during the six months ended July 31, 2019 of $30.3 million was primarily due to purchases of marketable securities of $117.6 million and purchases of property and equipment of $37.2 million, partially offset by maturities of marketable securities of $123.3 million.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$34.4 million during the six months ended July 31, 2020 was primarily due to proceeds from employee stock purchase plan of $17.3 million and proceeds from the exercise of stock options of $16.6 million.</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$679.8 million during the six months ended July 31, 2019 was primarily due to our IPO. On June 14, 2019, we closed our IPO in which we sold 20,700,000 shares of Class A common stock. The shares were sold at a public offering price of $34.00 per share for net proceeds of $659.2 million, after deducting underwriters’ discounts and commissions and estimated offering expenses of $44.8 million. In addition, there was proceeds from the exercise of stock options of $18.8 million during the six months ended July 31, 2019.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We are charged a commitment fee of 0.20% to 0.30% per year for committed but unused amounts. The Credit Agreement will terminate on April 19, 2022.</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our ordinary course recurring subscription revenue above specified rates and to maintain minimum liquidity at specified levels. The Credit Agreement also contains events of default that include, among others, non-payment of principal, interest, or fees, breach of covenants, inaccuracy of representations and warranties, cross defaults to certain other indebtedness, bankruptcy and insolvency events, and material judgments. We were in compliance with all covenants under the Credit Agreement as of July 31, 2020.</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outstanding under the Credit Agreement as of July 31, 2020.</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July 31, 2020, we had contributed $2.0 million to Falcon Fund.</w:t>
      </w:r>
    </w:p>
    <w:p>
      <w:pPr>
        <w:spacing w:after="0" w:line="18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July 31, 2020 and the fiscal years in which these obligations are due: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6"/>
                <w:szCs w:val="16"/>
                <w:color w:val="auto"/>
              </w:rPr>
              <w:t>Real estate</w:t>
            </w: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51,401</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4,262</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11,413</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10,856</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10,785</w:t>
            </w:r>
          </w:p>
        </w:tc>
        <w:tc>
          <w:tcPr>
            <w:tcW w:w="10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9,934</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4,151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arrangements</w:t>
            </w:r>
            <w:r>
              <w:rPr>
                <w:rFonts w:ascii="Times New Roman" w:cs="Times New Roman" w:eastAsia="Times New Roman" w:hAnsi="Times New Roman"/>
                <w:sz w:val="21"/>
                <w:szCs w:val="21"/>
                <w:color w:val="auto"/>
                <w:vertAlign w:val="superscript"/>
              </w:rPr>
              <w:t>(1)</w:t>
            </w: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Data center</w:t>
            </w: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140,838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30,731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79,955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11,049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11,211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3,984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3,908</w:t>
            </w:r>
          </w:p>
        </w:tc>
        <w:tc>
          <w:tcPr>
            <w:tcW w:w="0" w:type="dxa"/>
            <w:vAlign w:val="bottom"/>
          </w:tcPr>
          <w:p>
            <w:pPr>
              <w:spacing w:after="0"/>
              <w:rPr>
                <w:sz w:val="1"/>
                <w:szCs w:val="1"/>
                <w:color w:val="auto"/>
              </w:rPr>
            </w:pPr>
          </w:p>
        </w:tc>
      </w:tr>
      <w:tr>
        <w:trPr>
          <w:trHeight w:val="216"/>
        </w:trPr>
        <w:tc>
          <w:tcPr>
            <w:tcW w:w="1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commitments</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Other purchase</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obligations</w:t>
            </w:r>
            <w:r>
              <w:rPr>
                <w:rFonts w:ascii="Times New Roman" w:cs="Times New Roman" w:eastAsia="Times New Roman" w:hAnsi="Times New Roman"/>
                <w:sz w:val="21"/>
                <w:szCs w:val="21"/>
                <w:color w:val="auto"/>
                <w:vertAlign w:val="superscript"/>
              </w:rPr>
              <w:t>(3)</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221,146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49,754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104,380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22,885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22,136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13,932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8,059</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25" w:lineRule="exact"/>
        <w:rPr>
          <w:sz w:val="20"/>
          <w:szCs w:val="20"/>
          <w:color w:val="auto"/>
        </w:rPr>
      </w:pPr>
    </w:p>
    <w:p>
      <w:pPr>
        <w:ind w:left="660" w:right="100" w:hanging="652"/>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non-cancellable real estate arrangements where the amounts are reflected on an undiscounted basis. For additional information refer to Note 7 to our condensed consolidated financial statements included elsewhere in this Quarterly Report on Form 10-Q.</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non-cancelable commitments to data center vendors.</w:t>
      </w:r>
    </w:p>
    <w:p>
      <w:pPr>
        <w:spacing w:after="0" w:line="225"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non-cancelable purchase commitments with various parties to purchase products and services entered into in the normal course of business.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contractual commitment amounts in the table above are associated with agreements that are enforceable and legally binding. Obligations under contracts, including purchase orders, that we can cancel without a significant penalty are not included in the table above. Purchase orders issued in the ordinary course of business are not included in the table above, as such purchase orders represent authorizations to purchase rather than binding agreements.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July 31, 2020 or January 31, 2020.</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 as of July 31, 2020 or January 31, 2020.</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and stock-based compensation.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Annual Report on Form 10-K for the fiscal year ended January 31, 2020, filed with the SEC on March 23, 2020, and there have been no significant changes to these policies for the six months ended July 31, 2020, except in regards to our adoption of ASC 842 as discussed below.</w:t>
      </w:r>
    </w:p>
    <w:p>
      <w:pPr>
        <w:spacing w:after="0" w:line="18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which requires lessees to generally recognize on the balance sheet operating and financing lease liabilities and corresponding right-of-use assets, and to recognize on the income statement the expenses in a manner similar to prior practice. We adopted this new standard using the modified retrospective method as of February 1, 2020 and elected the transition option that allows us not to restate the comparative periods in our financial statements in the year of adoption.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adopting the leasing standard, we elected the following practical expedients:</w:t>
      </w:r>
    </w:p>
    <w:p>
      <w:pPr>
        <w:spacing w:after="0" w:line="252" w:lineRule="exact"/>
        <w:rPr>
          <w:sz w:val="20"/>
          <w:szCs w:val="20"/>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package of practical expedients which allows for not reassessing 1) whether existing contracts contain leases, 2) the lease classification of existing leases, and 3) whether existing initial direct costs meet the new definition.</w:t>
      </w:r>
    </w:p>
    <w:p>
      <w:pPr>
        <w:spacing w:after="0" w:line="202" w:lineRule="exact"/>
        <w:rPr>
          <w:rFonts w:ascii="Times New Roman" w:cs="Times New Roman" w:eastAsia="Times New Roman" w:hAnsi="Times New Roman"/>
          <w:sz w:val="18"/>
          <w:szCs w:val="18"/>
          <w:color w:val="212529"/>
        </w:rPr>
      </w:pPr>
    </w:p>
    <w:p>
      <w:pPr>
        <w:jc w:val="both"/>
        <w:ind w:left="660" w:hanging="328"/>
        <w:spacing w:after="0" w:line="238" w:lineRule="auto"/>
        <w:tabs>
          <w:tab w:leader="none" w:pos="648"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212529"/>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line="239"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212529"/>
        </w:rPr>
        <w:t>Not to recognize right of use assets and lease liabilities for short-term leases, which have a lease term of twelve months or less and do not include an option to purchase the underlying asset that we are reasonably certain to exercise.</w:t>
      </w:r>
    </w:p>
    <w:p>
      <w:pPr>
        <w:spacing w:after="0" w:line="21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Times New Roman" w:cs="Times New Roman" w:eastAsia="Times New Roman" w:hAnsi="Times New Roman"/>
          <w:sz w:val="18"/>
          <w:szCs w:val="18"/>
          <w:color w:val="auto"/>
        </w:rPr>
        <w:t>We used our original assumptions for operating leases entered into prior to adoption, electing not to use the hindsight practical expedient.</w:t>
      </w:r>
    </w:p>
    <w:p>
      <w:pPr>
        <w:spacing w:after="0" w:line="23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Lease payments consist primarily of the fixed payments under the arrangement, less any lease incentives such as tenant improvement allowance. We use an estimate of our incremental borrowing rate (IBR) based on the information available at the lease commencement date in determining the present value of lease payments, unless the implicit rate is readily determinable. In determining the appropriate IBR, we consider information including, but not limited to, our credit rating, the lease term, and the currency in which the arrangement is denominated. For leases which commenced prior to our adoption of Topic 842, we used the IBR on January 31, 2020.</w:t>
      </w:r>
    </w:p>
    <w:p>
      <w:pPr>
        <w:spacing w:after="0" w:line="18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condensed consolidated financial statements, and are considered by us to be backlog. As of July 31, 2020, we had backlog of approximately $235.6 million. Of this amount, approximately $78.8 million is not reasonably expected to be billed in the next twelve months.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8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8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56"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As of July 31, 2020, we had 2,838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18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7"/>
          <w:szCs w:val="17"/>
          <w:color w:val="auto"/>
        </w:rPr>
        <w:t>CrowdStrike, Inc. was incorporated in the state of Delaware in August 2011. We then incorporated CrowdStrike Holdings, Inc. in the state of Delaware in November 2011, which acquired all shares of CrowdStrike, Inc. held by Warburg Pincus Private Equity X, L.P. and Warburg Pincus X Partners, L.P., or Warburg Pincus, such that CrowdStrike, Inc. became our wholly-owned subsidiary. 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Quarterly Report on Form 10-Q.</w:t>
      </w:r>
    </w:p>
    <w:p>
      <w:pPr>
        <w:spacing w:after="0" w:line="16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In particular,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extended transition period and, as a result, we may not adopt new or revised accounting standards on the relevant dates on which adoption of such standards is required for other public companies until required by private company accounting standards.</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the last business day of our second quarter in 2020, the aggregate market value of our shares held by non-affiliate stockholders exceeded $700 million. As a result, as of January 31, 2021, we will be considered a large accelerated filer as defined in Rule 12b-2 under the Exchange Act, and we will cease to be an emerging growth company as defined in the JOBS Act. We will no longer be exempt from the auditor attestation requirements of Section 404(b) of the Sarbanes-Oxley Act, and our independent registered public accounting firm will evaluate and report on the effectiveness of our internal control over financial reporting.</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cash and cash equivalents primarily consist of cash on hand and highly liquid investments in corporate debt securities and money market funds. Our investments are exposed to market risk due to fluctuations in interest rates, which may affect our interest income and the fair value of our investments. As of July 31, 2020, we had cash and cash equivalents of $1.06 billion and no marketable securities.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the effect of a hypothetical 100 basis point change in interest rates would not have had a material effect on the fair market value of our portfolio as of July 31, 2020. We therefore do not expect our results of operations or cash flows to be materially affected by a sudden change in market interest rates.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As of July 31, 2020, the cumulative foreign currency exchange rate loss recorded in other comprehensive income (loss) was $1.4 million. A hypothetical 10% decrease in the U.S. dollar against other currencies would have resulted in an increase in operating loss of approximately $7.2 million for the six months ended July 31, 2020.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July 31, 2020. Based on the evaluation of our disclosure controls and procedures as of July 31, 2020,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We are currently involved in proceedings before the Trademark Trial and Appeal Board (“TTAB”) at the U.S. Patent and Trademark Office (the “USPTO”) regarding our U.S. trademark registrations for “CrowdStrike Falcon” and our U.S. application to register our “Falcon OverWatch” trademark. On November 23, 2016, Fair Isaac Corporation (“FICO”) filed a Petition for Cancellation of our “CrowdStrike Falcon” trademark registrations and a Notice of Opposition against our “Falcon OverWatch” trademark application before the USPTO,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On July 2, 2019, the TTAB consolidated the proceedings and granted FICO’s motion to dismiss with leave to amend. On July 22, 2019, we filed an Amended Petition for Cancellation or Amendment and on August 12, 2019, FICO moved to dismiss our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On March 18, 2020, we filed a motion for leave to file a Second Amended Petition to include a claim for abandonment for two of FICO’s “Falcon” trademark registrations. On August 3, 2020, the TTAB granted the motion for leave to file in part, and set a new schedule for the consolidated proceedings, with trial periods set to begin in May 2021. On August 13, 2020, we filed a separate petition to cancel one of FICO’s Falcon trademark registrations, and on August 24, 2020, we filed a Second Amended petition for Cancellation or Amendment as to the other FICO Falcon trademark registrations. We are vigorously defending the case, but given the early stage, although a loss may reasonably be possible, we are unable to predict the likelihood of success of FICO’s claims or estimate a loss or a range of loss. As a result, no liability has been recorded as of July 31, 2020 or January 31, 2020.</w:t>
      </w:r>
    </w:p>
    <w:p>
      <w:pPr>
        <w:spacing w:after="0" w:line="19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from time to time, we are party to various litigation matters and subject to claims that arise in the ordinary course of business. In addition, third parties may from time to time assert claims against us in the form of letters and other communications. 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condensed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operating results and future revenue.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March 2020, the World Health Organization characterized COVID-19 as a pandemic and the President of the United States declared the COVID-19 outbreak a national emergency. Since then, the COVID-19 pandemic has rapidly spread across the globe and has already resulted in significant volatility, uncertainty and economic disruption. While the COVID-19 pandemic has not had a material adverse financial impact on our business to date, the future impacts of the pandemic and any resulting economic impact are largely unknown. It is possible that the COVID-19 pandemic, the measures taken by the governments of countries affected and the resulting economic impact may materially and adversely affect our business, operating results and future revenue. Additionally, due to our subscription-based business model, the effect of the COVID-19 pandemic may not be fully reflected in our results of operations until future periods, if at all.</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Preventative measures instituted by governments and businesses to mitigate the spread of COVID-19, including travel restrictions, social distancing requirements, shelter in place orders, and quarantines, have negatively impacted the global economy and may adversely impact us, our customers and vendors. Some of our customers have been negatively impacted by the COVID-19 pandemic which could affect our revenues. Customers may also request revised payment terms. If such a demand for revised payment terms occurs, some delays in accounts receivable collection would result. A prolonged economic downturn could result in a larger customer churn than we currently anticipate and reduced demand for our products and services, in which case our revenues could be significantly impacted.</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extent to which COVID-19 ultimately impacts our results of operations, cash flow and financial position will depend on future developments, which are uncertain and cannot be predicted, including, but not limited to, the duration and spread of the outbreak, its severity, the actions taken by governments and authorities to contain the virus or treat its impact, and how quickly and to what extent normal economic and operating conditions can resume. These uncertainties have resulted in volatility in securities and financial markets, which may prevent us from accessing the equity or debt capital markets on attractive terms or at all for a period of time, which could have an adverse effect on our liquidity position. Even after the COVID-19 pandemic has subsided, we may experience material adverse impacts to our business as a result of its global economic impact, including as a result of any recession that may occur. The impact of the COVID-19 pandemic may also exacerbate other risks discussed in this “Risk Factors” section and elsewhere in this Quarterly Report on Form 10-Q. For these reasons, the current level of uncertainty over the economic and operational impacts of COVID-19 means the impact on our results of operations, cash flows and financial position cannot be reasonably estimated at this time. Adverse global economic conditions, like the ones we are currently experiencing during the COVID-19 pandemic, could adversely impact our business and financial condition.</w:t>
      </w:r>
    </w:p>
    <w:p>
      <w:pPr>
        <w:spacing w:after="0" w:line="190"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like the ones we are currently experiencing because of the COVID-19 pandemic and uncertain conditions in the credit markets have created, and in the future may increase risk to our financial outlook.</w:t>
      </w:r>
    </w:p>
    <w:p>
      <w:pPr>
        <w:spacing w:after="0" w:line="15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uncertain global economy could also result in material churn in our customer base, reductions in revenues from our offerings, longer sales cycles, slower adoption of new technologies and increased price competition, which could adversely affect our liquidity. Customers and vendors filing for bankruptcy could also lead to costly and time-intensive actions with adverse effects, including greater difficulty or delay in accounts receivable collection.</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have experienced rapid revenue growth in recent periods and we expect to continue to invest broadly across our organization to support our growth. For example, our headcount grew from 910 employees as of January 31, 2018, to 2,838 employees as of July 31, 2020.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92" w:lineRule="exact"/>
        <w:rPr>
          <w:sz w:val="20"/>
          <w:szCs w:val="20"/>
          <w:color w:val="auto"/>
        </w:rPr>
      </w:pPr>
    </w:p>
    <w:p>
      <w:pPr>
        <w:ind w:left="980" w:right="14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 integrate, and retain a large number of new employees, particularly members of our sales and marketing and research and development teams;</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improve our Falcon platform, including our cloud modules, and IT infrastructure, including expanding and optimizing our data centers, to support our business needs;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financial, management, and compliance systems and controls.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able to achieve or sustain profitability in the future.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incurred net losses in all periods since our inception, and we may not achieve or maintain profitability in the future. We experienced net losses of $135.5 million, $140.1 million, and $141.8 million for fiscal 2018, fiscal 2019, and fiscal 2020, respectively. As of July 31, 2020, we had an accumulated deficit of $686.6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 and may increase the risk of your investment.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COVID-19, may cause our current and prospective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9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5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87" w:lineRule="exact"/>
        <w:rPr>
          <w:sz w:val="20"/>
          <w:szCs w:val="20"/>
          <w:color w:val="auto"/>
        </w:rPr>
      </w:pPr>
    </w:p>
    <w:p>
      <w:pPr>
        <w:ind w:left="980" w:right="5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capabilities, including performance and reliability, of our Falcon platform, including our cloud modules, services, and features compared to those of our competitors;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competitors, to improve existing products, services, and features, or to develop new ones to address evolving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relationships with channel partners;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sales and marketing efforts; and</w:t>
      </w:r>
    </w:p>
    <w:p>
      <w:pPr>
        <w:spacing w:after="0" w:line="225" w:lineRule="exact"/>
        <w:rPr>
          <w:rFonts w:ascii="Times New Roman" w:cs="Times New Roman" w:eastAsia="Times New Roman" w:hAnsi="Times New Roman"/>
          <w:sz w:val="18"/>
          <w:szCs w:val="18"/>
          <w:color w:val="auto"/>
        </w:rPr>
      </w:pPr>
    </w:p>
    <w:p>
      <w:pPr>
        <w:ind w:left="660" w:right="3060" w:hanging="4"/>
        <w:spacing w:after="0" w:line="500" w:lineRule="auto"/>
        <w:tabs>
          <w:tab w:leader="none" w:pos="9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 Our competitors include the following by general category:</w:t>
      </w:r>
    </w:p>
    <w:p>
      <w:pPr>
        <w:spacing w:after="0" w:line="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antivirus product providers, such as McAfee, Inc., Broadcom Inc. (Symantec), and Microsoft Corporation, who offer a broad range of approaches and solutions including traditional antivirus and signature-based protection;</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endpoint security providers, such as Blackberry Cylance and VMWare, Inc. (Carbon Black), who offer point products based on malware-only or application whitelisting techniques; and</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vendors, such as Palo Alto Networks, Inc. and FireEye, Inc., who are supplementing their core perimeter-based offerings with endpoint security solutions.</w:t>
      </w:r>
    </w:p>
    <w:p>
      <w:pPr>
        <w:spacing w:after="0" w:line="16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pricing pressure may reduce our gross profits and adversely affect our financial results.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9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9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availability, and the performance of our Falcon platform:</w:t>
      </w:r>
    </w:p>
    <w:p>
      <w:pPr>
        <w:spacing w:after="0" w:line="22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acts of war or terrorism, human error or interference (including by disgruntled employees, former employees or contractors) and other catastrophic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or the infrastructure of the internet;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data capacity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third-party software incorporated in our software;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59" w:lineRule="exact"/>
        <w:rPr>
          <w:sz w:val="20"/>
          <w:szCs w:val="20"/>
          <w:color w:val="auto"/>
        </w:rPr>
      </w:pPr>
    </w:p>
    <w:p>
      <w:pPr>
        <w:ind w:right="40" w:firstLine="648"/>
        <w:spacing w:after="0" w:line="274" w:lineRule="auto"/>
        <w:rPr>
          <w:sz w:val="20"/>
          <w:szCs w:val="20"/>
          <w:color w:val="auto"/>
        </w:rPr>
      </w:pPr>
      <w:r>
        <w:rPr>
          <w:rFonts w:ascii="Times New Roman" w:cs="Times New Roman" w:eastAsia="Times New Roman" w:hAnsi="Times New Roman"/>
          <w:sz w:val="17"/>
          <w:szCs w:val="17"/>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6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5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76" w:lineRule="exact"/>
        <w:rPr>
          <w:sz w:val="20"/>
          <w:szCs w:val="20"/>
          <w:color w:val="auto"/>
        </w:rPr>
      </w:pPr>
    </w:p>
    <w:p>
      <w:pPr>
        <w:ind w:left="980" w:right="100" w:hanging="324"/>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operations, financial results, and liquidity and capital resources, including on customers, sales, expenses, and employees;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seasonal buying patterns, and purchasing practices of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length of our sales cycles;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or channel partner requirements or market needs;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cloud-based SaaS-delivered endpoint security solutions market;</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competitive developments, including consolidation among our customers or competitors;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awareness of cybersecurity threats, particularly advanced cyberattacks, and the market adoption of our Falcon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 domestically and internationally;</w:t>
      </w:r>
    </w:p>
    <w:p>
      <w:pPr>
        <w:spacing w:after="0" w:line="22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organizations to purchase security solutions from larger, more established security vendors or from their primary IT equipment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relationship with channel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use of our Falcon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expenses such as litigation or other dispute-related settlement payments or outcomes;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 and in our foreign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or practices;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coverage or publicity;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expansion of our business;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2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6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7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could harm our business.</w:t>
      </w:r>
    </w:p>
    <w:p>
      <w:pPr>
        <w:spacing w:after="0" w:line="15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our business could be harmed.</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7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87" w:lineRule="exact"/>
        <w:rPr>
          <w:sz w:val="20"/>
          <w:szCs w:val="20"/>
          <w:color w:val="auto"/>
        </w:rPr>
      </w:pPr>
    </w:p>
    <w:p>
      <w:pPr>
        <w:ind w:left="980" w:right="440" w:hanging="324"/>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governmental agencies can be highly competitive, expensive and time consuming, often requiring significant upfront time and expense without any assurance that such efforts will generate a sale;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20" w:hanging="324"/>
        <w:spacing w:after="0" w:line="261"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79"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timely and cost-effectively scale and adapt our existing technology to meet our customers’ performance and other requirements.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9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9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7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and our inability to maintain those licenses could harm our business.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9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with enforcement commencing on July 1, 2020. The CCPA has been characterized as the first “GDPR-like” privacy statute to be enacted in the United States because it contains a number of provisions similar to certain provisions of the GDPR. In addition, on June 24, 2020, the California Secretary of State certified a ballot initiative for the upcoming November general election known as the California Privacy Rights Act of 2020, or the CPRA. If the CPRA is approved by California voters, the CPRA would amend the CCPA by creating additional privacy rights for California consumers and additional obligations on businesses, which could subject us to additional compliance costs as well as potential fines, individual claims and commercial liabilities. If approved, it is expected that the CPRA would take effect on January 1, 2023.</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88"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9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5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-173355</wp:posOffset>
            </wp:positionV>
            <wp:extent cx="349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60"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Falcon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license to do business in the jurisdictions in which we operate;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or permanent debarment from sales to government organizations.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80"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8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88"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3"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8"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Falcon platform or service offerings to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or features of our Falcon platform;</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Falcon platform using alternative non-infringing or non-open source technology, which could require significant effort and expense;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adversely affect us.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9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75"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is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9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formally attest to the effectiveness of our internal control over financial reporting until January 31, 2021.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risks we may face in connection with acquisitions include:</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and sales and marketing functions;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product and service offerings;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regulatory or compliance requirements;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reporting, revenue recognition or other financial or control deficiencies of the acquired company that we don’t adequately address and that cause our reported results to be incorrect;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5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5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derived approximately 17%, 23%, 26%, and 28% of our total revenue from our international customers for fiscal 2018, fiscal 2019, fiscal 2020, and the six months ended July 31, 2020,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3"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negotiating contracts with standard terms, enforcing contracts and managing collections, and longer collection periods;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internationally, including costs incurred in establishing and maintaining office space and equipment for our international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geographic dispersion;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tariffs, and tax laws and treaties;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7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or tax regulations that might prevent us from repatriating cash earned outside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some countries;</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tax laws of the United States or the foreign jurisdictions in which we operate;</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comply with foreign privacy, data protection, and information security laws and regulations and the risks and costs of noncompliance;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identifying qualified channel partners and maintaining successful relationships with such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 issues; and</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CrowdStrike is a highly-visible public company whose management, products, business, results of operations, statements and actions are scrutinized by third-parties whose influence could negatively impact the perception of our brand and the market value of our Class A common stock.</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January 31, 2020, we had aggregate U.S. federal and California net operating loss carryforwards of $657.3 million and $94.8 million, respectively, which may be available to offset future taxable income for income tax purposes. If not utilized, the federal and California net operating loss carryforwards will begin to expire in 2031. As of January 31, 2020, we had net operating loss carryforwards for other states of $352.8 million that will begin to expire in 2023. As of January 31, 2020, we had federal and California research and development credit carryforwards of $17.2 million and $4.3 million, respectively. The federal research and development credit carryforwards will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5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w:t>
      </w:r>
    </w:p>
    <w:p>
      <w:pPr>
        <w:spacing w:after="0" w:line="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8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for us to predict the duration or magnitude of the adverse results of the outbreak and its effects on our business or results of operations at this time.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and you could lose all or part of your investment.</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83"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Kurtz;</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3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August 31, 2020, we had </w:t>
      </w:r>
      <w:r>
        <w:rPr>
          <w:rFonts w:ascii="Times New Roman" w:cs="Times New Roman" w:eastAsia="Times New Roman" w:hAnsi="Times New Roman"/>
          <w:sz w:val="16"/>
          <w:szCs w:val="16"/>
          <w:color w:val="auto"/>
        </w:rPr>
        <w:t>184,410,223</w:t>
      </w:r>
      <w:r>
        <w:rPr>
          <w:rFonts w:ascii="Times New Roman" w:cs="Times New Roman" w:eastAsia="Times New Roman" w:hAnsi="Times New Roman"/>
          <w:sz w:val="18"/>
          <w:szCs w:val="18"/>
          <w:color w:val="auto"/>
        </w:rPr>
        <w:t xml:space="preserve"> shares of Class A common stock outstanding and </w:t>
      </w:r>
      <w:r>
        <w:rPr>
          <w:rFonts w:ascii="Times New Roman" w:cs="Times New Roman" w:eastAsia="Times New Roman" w:hAnsi="Times New Roman"/>
          <w:sz w:val="16"/>
          <w:szCs w:val="16"/>
          <w:color w:val="auto"/>
        </w:rPr>
        <w:t>35,038,535</w:t>
      </w:r>
      <w:r>
        <w:rPr>
          <w:rFonts w:ascii="Times New Roman" w:cs="Times New Roman" w:eastAsia="Times New Roman" w:hAnsi="Times New Roman"/>
          <w:sz w:val="18"/>
          <w:szCs w:val="18"/>
          <w:color w:val="auto"/>
        </w:rPr>
        <w:t xml:space="preserve"> shares of Class B common stock outstanding.</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holders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90" w:lineRule="exact"/>
        <w:rPr>
          <w:sz w:val="20"/>
          <w:szCs w:val="20"/>
          <w:color w:val="auto"/>
        </w:rPr>
      </w:pPr>
    </w:p>
    <w:p>
      <w:pPr>
        <w:jc w:val="both"/>
        <w:ind w:righ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8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of July 31, 2020, our executive officers, directors, one of our current stockholders and its respective affiliates held, in aggregate, 64% of the voting power of our outstanding capital stock. Furthermore, one of our current stockholders and its respective affiliates held, in aggregate, 27%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9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our common stock are subordinate to our debts and other liabilities, resulting in a greater risk of loss for stockholders.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will be an “emerging growth company” as defined in the JOBS Act until January 31, 2021. As an emerging growth company, we have taken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Class A common stock less attractive because we have relied on these exemptions. If some investors find our Class A common stock less attractive as a result, our stock price may be more volatile.</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59"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6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98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980" w:right="240" w:hanging="324"/>
        <w:spacing w:after="0" w:line="312" w:lineRule="auto"/>
        <w:tabs>
          <w:tab w:leader="none" w:pos="97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52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1"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79"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our amended and restated certificate of incorporation require the approval of two-thirds of the then-outstanding voting power of our capital stock;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is the exclusive forum for:</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25" w:lineRule="exact"/>
        <w:rPr>
          <w:rFonts w:ascii="Times New Roman" w:cs="Times New Roman" w:eastAsia="Times New Roman" w:hAnsi="Times New Roman"/>
          <w:sz w:val="18"/>
          <w:szCs w:val="18"/>
          <w:color w:val="auto"/>
        </w:rPr>
      </w:pPr>
    </w:p>
    <w:p>
      <w:pPr>
        <w:ind w:left="980" w:right="72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Shares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Public Offering of Common Stock</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purchases of shares of our common stock during the six months ended July 31, 2020. On June 11, 2019, the SEC declared our registration statement on Form S-1 (File No. 333-231461) for our IPO effective. There have been no material changes in the planned use of proceeds from our IPO as described in our final prospectus filed with the SEC on June 13,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61"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14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42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1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tcPr>
          <w:p>
            <w:pPr>
              <w:jc w:val="center"/>
              <w:ind w:right="48"/>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1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6350</wp:posOffset>
            </wp:positionV>
            <wp:extent cx="6454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547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06"/>
        </w:trPr>
        <w:tc>
          <w:tcPr>
            <w:tcW w:w="960" w:type="dxa"/>
            <w:vAlign w:val="bottom"/>
            <w:tcBorders>
              <w:top w:val="single" w:sz="8" w:color="auto"/>
            </w:tcBorders>
          </w:tcPr>
          <w:p>
            <w:pPr>
              <w:ind w:left="20"/>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10.1†</w:t>
              </w:r>
            </w:hyperlink>
          </w:p>
        </w:tc>
        <w:tc>
          <w:tcPr>
            <w:tcW w:w="140" w:type="dxa"/>
            <w:vAlign w:val="bottom"/>
          </w:tcPr>
          <w:p>
            <w:pPr>
              <w:spacing w:after="0"/>
              <w:rPr>
                <w:sz w:val="17"/>
                <w:szCs w:val="17"/>
                <w:color w:val="auto"/>
              </w:rPr>
            </w:pPr>
          </w:p>
        </w:tc>
        <w:tc>
          <w:tcPr>
            <w:tcW w:w="4180" w:type="dxa"/>
            <w:vAlign w:val="bottom"/>
            <w:gridSpan w:val="14"/>
          </w:tcPr>
          <w:p>
            <w:pPr>
              <w:spacing w:after="0"/>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Form of Global Restricted Stock Unit Agreement Outside</w:t>
              </w:r>
            </w:hyperlink>
          </w:p>
        </w:tc>
      </w:tr>
      <w:tr>
        <w:trPr>
          <w:trHeight w:val="191"/>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tcBorders>
              <w:top w:val="single" w:sz="8" w:color="0000FF"/>
            </w:tcBorders>
            <w:gridSpan w:val="13"/>
          </w:tcPr>
          <w:p>
            <w:pPr>
              <w:spacing w:after="0" w:line="191" w:lineRule="exact"/>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Directors – Annual Grant under the Company’s 2019</w:t>
              </w:r>
            </w:hyperlink>
          </w:p>
        </w:tc>
        <w:tc>
          <w:tcPr>
            <w:tcW w:w="20" w:type="dxa"/>
            <w:vAlign w:val="bottom"/>
          </w:tcPr>
          <w:p>
            <w:pPr>
              <w:spacing w:after="0"/>
              <w:rPr>
                <w:sz w:val="16"/>
                <w:szCs w:val="16"/>
                <w:color w:val="auto"/>
              </w:rPr>
            </w:pPr>
          </w:p>
        </w:tc>
      </w:tr>
      <w:tr>
        <w:trPr>
          <w:trHeight w:val="194"/>
        </w:trPr>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8"/>
              </w:rPr>
            </w:pPr>
            <w:hyperlink w:anchor="page89">
              <w:r>
                <w:rPr>
                  <w:rFonts w:ascii="Times New Roman" w:cs="Times New Roman" w:eastAsia="Times New Roman" w:hAnsi="Times New Roman"/>
                  <w:sz w:val="18"/>
                  <w:szCs w:val="18"/>
                  <w:color w:val="0000FF"/>
                  <w:w w:val="98"/>
                </w:rPr>
                <w:t>Equity Incentive Plan</w:t>
              </w:r>
            </w:hyperlink>
          </w:p>
        </w:tc>
        <w:tc>
          <w:tcPr>
            <w:tcW w:w="2620" w:type="dxa"/>
            <w:vAlign w:val="bottom"/>
            <w:gridSpan w:val="11"/>
          </w:tcPr>
          <w:p>
            <w:pPr>
              <w:spacing w:after="0"/>
              <w:rPr>
                <w:sz w:val="16"/>
                <w:szCs w:val="16"/>
                <w:color w:val="auto"/>
              </w:rPr>
            </w:pPr>
          </w:p>
        </w:tc>
      </w:tr>
      <w:tr>
        <w:trPr>
          <w:trHeight w:val="223"/>
        </w:trPr>
        <w:tc>
          <w:tcPr>
            <w:tcW w:w="960" w:type="dxa"/>
            <w:vAlign w:val="bottom"/>
          </w:tcPr>
          <w:p>
            <w:pPr>
              <w:ind w:left="20"/>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31.1</w:t>
              </w:r>
            </w:hyperlink>
          </w:p>
        </w:tc>
        <w:tc>
          <w:tcPr>
            <w:tcW w:w="140" w:type="dxa"/>
            <w:vAlign w:val="bottom"/>
          </w:tcPr>
          <w:p>
            <w:pPr>
              <w:spacing w:after="0"/>
              <w:rPr>
                <w:sz w:val="19"/>
                <w:szCs w:val="19"/>
                <w:color w:val="auto"/>
              </w:rPr>
            </w:pPr>
          </w:p>
        </w:tc>
        <w:tc>
          <w:tcPr>
            <w:tcW w:w="4180" w:type="dxa"/>
            <w:vAlign w:val="bottom"/>
            <w:gridSpan w:val="14"/>
          </w:tcPr>
          <w:p>
            <w:pPr>
              <w:spacing w:after="0"/>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Certification of the Principal Executive Officer pursuant</w:t>
              </w:r>
            </w:hyperlink>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to Exchange Act Rules 13a14(a) and 15d14(a), as</w:t>
              </w:r>
            </w:hyperlink>
          </w:p>
        </w:tc>
        <w:tc>
          <w:tcPr>
            <w:tcW w:w="140" w:type="dxa"/>
            <w:vAlign w:val="bottom"/>
            <w:gridSpan w:val="2"/>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adopted pursuant to Section 302 of the Sarbanes-</w:t>
              </w:r>
            </w:hyperlink>
          </w:p>
        </w:tc>
        <w:tc>
          <w:tcPr>
            <w:tcW w:w="620" w:type="dxa"/>
            <w:vAlign w:val="bottom"/>
            <w:gridSpan w:val="8"/>
          </w:tcPr>
          <w:p>
            <w:pPr>
              <w:spacing w:after="0" w:line="156" w:lineRule="exact"/>
              <w:rPr>
                <w:rFonts w:ascii="Times New Roman" w:cs="Times New Roman" w:eastAsia="Times New Roman" w:hAnsi="Times New Roman"/>
                <w:sz w:val="18"/>
                <w:szCs w:val="18"/>
                <w:color w:val="0000FF"/>
              </w:rPr>
            </w:pPr>
            <w:hyperlink w:anchor="page101">
              <w:r>
                <w:rPr>
                  <w:rFonts w:ascii="Times New Roman" w:cs="Times New Roman" w:eastAsia="Times New Roman" w:hAnsi="Times New Roman"/>
                  <w:sz w:val="18"/>
                  <w:szCs w:val="18"/>
                  <w:color w:val="0000FF"/>
                </w:rPr>
                <w:t>Oxley</w:t>
              </w:r>
            </w:hyperlink>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w:anchor="page101">
              <w:r>
                <w:rPr>
                  <w:rFonts w:ascii="Times New Roman" w:cs="Times New Roman" w:eastAsia="Times New Roman" w:hAnsi="Times New Roman"/>
                  <w:sz w:val="18"/>
                  <w:szCs w:val="18"/>
                  <w:color w:val="0000FF"/>
                  <w:w w:val="97"/>
                </w:rPr>
                <w:t>Act of 2002.</w:t>
              </w:r>
            </w:hyperlink>
          </w:p>
        </w:tc>
        <w:tc>
          <w:tcPr>
            <w:tcW w:w="30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209"/>
        </w:trPr>
        <w:tc>
          <w:tcPr>
            <w:tcW w:w="960" w:type="dxa"/>
            <w:vAlign w:val="bottom"/>
          </w:tcPr>
          <w:p>
            <w:pPr>
              <w:ind w:left="2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31.2</w:t>
              </w:r>
            </w:hyperlink>
          </w:p>
        </w:tc>
        <w:tc>
          <w:tcPr>
            <w:tcW w:w="140" w:type="dxa"/>
            <w:vAlign w:val="bottom"/>
          </w:tcPr>
          <w:p>
            <w:pPr>
              <w:spacing w:after="0"/>
              <w:rPr>
                <w:sz w:val="18"/>
                <w:szCs w:val="18"/>
                <w:color w:val="auto"/>
              </w:rPr>
            </w:pPr>
          </w:p>
        </w:tc>
        <w:tc>
          <w:tcPr>
            <w:tcW w:w="41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102">
              <w:r>
                <w:rPr>
                  <w:rFonts w:ascii="Times New Roman" w:cs="Times New Roman" w:eastAsia="Times New Roman" w:hAnsi="Times New Roman"/>
                  <w:sz w:val="18"/>
                  <w:szCs w:val="18"/>
                  <w:color w:val="0000FF"/>
                  <w:w w:val="99"/>
                </w:rPr>
                <w:t>Certification of the Principal Financial Officer pursuant to</w:t>
              </w:r>
            </w:hyperlink>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80" w:type="dxa"/>
            <w:vAlign w:val="bottom"/>
            <w:gridSpan w:val="14"/>
          </w:tcPr>
          <w:p>
            <w:pPr>
              <w:spacing w:after="0" w:line="156" w:lineRule="exact"/>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color w:val="0000FF"/>
                </w:rPr>
                <w:t>Exchange Act Rules 13a14(a) and 15d14(a), as adopted</w:t>
              </w:r>
            </w:hyperlink>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w:anchor="page102">
              <w:r>
                <w:rPr>
                  <w:rFonts w:ascii="Times New Roman" w:cs="Times New Roman" w:eastAsia="Times New Roman" w:hAnsi="Times New Roman"/>
                  <w:sz w:val="18"/>
                  <w:szCs w:val="18"/>
                  <w:color w:val="0000FF"/>
                </w:rPr>
                <w:t>pursuant to Section 302 of the Sarbanes-Oxley Act of</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w:anchor="page102">
              <w:r>
                <w:rPr>
                  <w:rFonts w:ascii="Times New Roman" w:cs="Times New Roman" w:eastAsia="Times New Roman" w:hAnsi="Times New Roman"/>
                  <w:sz w:val="18"/>
                  <w:szCs w:val="18"/>
                  <w:color w:val="0000FF"/>
                  <w:w w:val="93"/>
                </w:rPr>
                <w:t>2002.</w:t>
              </w:r>
            </w:hyperlink>
          </w:p>
        </w:tc>
        <w:tc>
          <w:tcPr>
            <w:tcW w:w="5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960" w:type="dxa"/>
            <w:vAlign w:val="bottom"/>
          </w:tcPr>
          <w:p>
            <w:pPr>
              <w:ind w:left="2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32.1*</w:t>
              </w:r>
            </w:hyperlink>
          </w:p>
        </w:tc>
        <w:tc>
          <w:tcPr>
            <w:tcW w:w="140" w:type="dxa"/>
            <w:vAlign w:val="bottom"/>
          </w:tcPr>
          <w:p>
            <w:pPr>
              <w:spacing w:after="0"/>
              <w:rPr>
                <w:sz w:val="18"/>
                <w:szCs w:val="18"/>
                <w:color w:val="auto"/>
              </w:rPr>
            </w:pPr>
          </w:p>
        </w:tc>
        <w:tc>
          <w:tcPr>
            <w:tcW w:w="4180" w:type="dxa"/>
            <w:vAlign w:val="bottom"/>
            <w:gridSpan w:val="14"/>
          </w:tcPr>
          <w:p>
            <w:pPr>
              <w:spacing w:after="0"/>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Certification of the Principal Executive Officer and</w:t>
              </w:r>
            </w:hyperlink>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Principal Financial Officer pursuant to 18 U.S.C.</w:t>
              </w:r>
            </w:hyperlink>
          </w:p>
        </w:tc>
        <w:tc>
          <w:tcPr>
            <w:tcW w:w="34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156"/>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w:anchor="page103">
              <w:r>
                <w:rPr>
                  <w:rFonts w:ascii="Times New Roman" w:cs="Times New Roman" w:eastAsia="Times New Roman" w:hAnsi="Times New Roman"/>
                  <w:sz w:val="18"/>
                  <w:szCs w:val="18"/>
                  <w:color w:val="0000FF"/>
                  <w:w w:val="98"/>
                </w:rPr>
                <w:t>Section 1350, as adopted pursuant to Section 906</w:t>
              </w:r>
            </w:hyperlink>
          </w:p>
        </w:tc>
        <w:tc>
          <w:tcPr>
            <w:tcW w:w="660" w:type="dxa"/>
            <w:vAlign w:val="bottom"/>
            <w:gridSpan w:val="9"/>
          </w:tcPr>
          <w:p>
            <w:pPr>
              <w:ind w:left="60"/>
              <w:spacing w:after="0" w:line="156" w:lineRule="exact"/>
              <w:rPr>
                <w:rFonts w:ascii="Times New Roman" w:cs="Times New Roman" w:eastAsia="Times New Roman" w:hAnsi="Times New Roman"/>
                <w:sz w:val="18"/>
                <w:szCs w:val="18"/>
                <w:color w:val="0000FF"/>
              </w:rPr>
            </w:pPr>
            <w:hyperlink w:anchor="page103">
              <w:r>
                <w:rPr>
                  <w:rFonts w:ascii="Times New Roman" w:cs="Times New Roman" w:eastAsia="Times New Roman" w:hAnsi="Times New Roman"/>
                  <w:sz w:val="18"/>
                  <w:szCs w:val="18"/>
                  <w:color w:val="0000FF"/>
                </w:rPr>
                <w:t>of the</w:t>
              </w:r>
            </w:hyperlink>
          </w:p>
        </w:tc>
      </w:tr>
      <w:tr>
        <w:trPr>
          <w:trHeight w:val="155"/>
        </w:trPr>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w:anchor="page103">
              <w:r>
                <w:rPr>
                  <w:rFonts w:ascii="Times New Roman" w:cs="Times New Roman" w:eastAsia="Times New Roman" w:hAnsi="Times New Roman"/>
                  <w:sz w:val="18"/>
                  <w:szCs w:val="18"/>
                  <w:color w:val="0000FF"/>
                  <w:w w:val="99"/>
                </w:rPr>
                <w:t>Sarbanes-Oxley Act of 2002.</w:t>
              </w:r>
            </w:hyperlink>
          </w:p>
        </w:tc>
        <w:tc>
          <w:tcPr>
            <w:tcW w:w="1920" w:type="dxa"/>
            <w:vAlign w:val="bottom"/>
            <w:tcBorders>
              <w:top w:val="single" w:sz="8" w:color="0000FF"/>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49" w:lineRule="exact"/>
        <w:rPr>
          <w:sz w:val="20"/>
          <w:szCs w:val="20"/>
          <w:color w:val="auto"/>
        </w:rPr>
      </w:pPr>
    </w:p>
    <w:p>
      <w:pPr>
        <w:sectPr>
          <w:pgSz w:w="11900" w:h="16838" w:orient="portrait"/>
          <w:cols w:equalWidth="0" w:num="2">
            <w:col w:w="9800" w:space="720"/>
            <w:col w:w="72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r>
        <w:trPr>
          <w:trHeight w:val="25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78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2780" w:type="dxa"/>
            <w:vAlign w:val="bottom"/>
          </w:tcPr>
          <w:p>
            <w:pPr>
              <w:spacing w:after="0"/>
              <w:rPr>
                <w:sz w:val="20"/>
                <w:szCs w:val="20"/>
                <w:color w:val="auto"/>
              </w:rPr>
            </w:pPr>
          </w:p>
        </w:tc>
      </w:tr>
    </w:tbl>
    <w:p>
      <w:pPr>
        <w:spacing w:after="0" w:line="36" w:lineRule="exact"/>
        <w:rPr>
          <w:sz w:val="20"/>
          <w:szCs w:val="20"/>
          <w:color w:val="auto"/>
        </w:rPr>
      </w:pPr>
    </w:p>
    <w:p>
      <w:pPr>
        <w:ind w:left="1100" w:right="6040" w:hanging="1074"/>
        <w:spacing w:after="0" w:line="266" w:lineRule="auto"/>
        <w:tabs>
          <w:tab w:leader="none" w:pos="1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Instance XBRL document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w:t>
      </w:r>
    </w:p>
    <w:p>
      <w:pPr>
        <w:spacing w:after="0" w:line="229"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25" w:lineRule="exact"/>
        <w:rPr>
          <w:sz w:val="20"/>
          <w:szCs w:val="20"/>
          <w:color w:val="auto"/>
        </w:rPr>
      </w:pPr>
    </w:p>
    <w:p>
      <w:pPr>
        <w:ind w:left="420" w:right="140" w:hanging="412"/>
        <w:spacing w:after="0" w:line="266" w:lineRule="auto"/>
        <w:tabs>
          <w:tab w:leader="none" w:pos="4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 in Sunnyvale, California, on the day of September 3, 2020.</w:t>
      </w: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CROWDSTRIKE HOLDINGS, INC.</w:t>
      </w:r>
    </w:p>
    <w:p>
      <w:pPr>
        <w:spacing w:after="0" w:line="121"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34290</wp:posOffset>
            </wp:positionV>
            <wp:extent cx="33515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Burt W. Podbere</w:t>
      </w: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pacing w:after="0" w:line="286" w:lineRule="exact"/>
        <w:rPr>
          <w:sz w:val="20"/>
          <w:szCs w:val="20"/>
          <w:color w:val="auto"/>
        </w:rPr>
      </w:pPr>
    </w:p>
    <w:p>
      <w:pPr>
        <w:ind w:left="546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 Abhishek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34290</wp:posOffset>
            </wp:positionV>
            <wp:extent cx="33515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2"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Abhishek Maheshwari</w:t>
      </w: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00"/>
          </w:cols>
          <w:pgMar w:left="320" w:top="121" w:right="37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CROWDSTRIKE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RESTRICTED STOCK UNIT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DIRECTORS – ANNUAL GRANT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Unless otherwise defined herein, the terms defined in the CrowdStrike Holdings, Inc. 2019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will have the same defined meanings in this Global Restricted Stock Unit Agreement, which includes the Notice of Restricted Stock Unit Grant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xml:space="preserve">”), the Terms and Conditions of Restricted Stock Unit Grant, including the Country Addendum,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other exhibits and appendices (all together, the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NOTICE OF RESTRICTED STOCK UNIT GRANT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Address: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CrowdStrike Holdings,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granted Participant the right to receive an Award of Restricted Stock Units, subject to the terms and conditions of the Plan and this Award Agreement,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1319530</wp:posOffset>
            </wp:positionH>
            <wp:positionV relativeFrom="paragraph">
              <wp:posOffset>-13970</wp:posOffset>
            </wp:positionV>
            <wp:extent cx="342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-13970</wp:posOffset>
            </wp:positionV>
            <wp:extent cx="342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-13970</wp:posOffset>
            </wp:positionV>
            <wp:extent cx="342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Subject to any acceleration provisions contained in the Plan or set forth below, the Restricted Stock Units will vest in accordance with the following schedule: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100% of the Restricted Stock Units will vest in full on the earlier of (i) the one-year anniversary of the Date of Grant or</w:t>
      </w:r>
    </w:p>
    <w:p>
      <w:pPr>
        <w:spacing w:after="0" w:line="28" w:lineRule="exact"/>
        <w:rPr>
          <w:sz w:val="20"/>
          <w:szCs w:val="20"/>
          <w:color w:val="auto"/>
        </w:rPr>
      </w:pPr>
    </w:p>
    <w:p>
      <w:pPr>
        <w:ind w:right="20" w:firstLine="8"/>
        <w:spacing w:after="0" w:line="248" w:lineRule="auto"/>
        <w:tabs>
          <w:tab w:leader="none" w:pos="32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of the next annual meeting of stockholders of the Company held after the Date of Grant, in each case, subject to the Participant’s continued service on the Board through the applicable vesting date.</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herein, in the event of a Change in Control, 100% of the Restricted Stock Units shall fully vest as of the date of such Change in Control, subject to the Participant’s continued service on the Board through the date of such Change in Control.</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Participant ceases to be a Service Provider for any or no reason before Participant vests in the Restricted Stock Units (or a portion thereof), the unvested Restricted Stock Units (or the unvested portion thereof) and Participant’s right to acquire any Shares hereunder will immediately terminate.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If Participant does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wish to accept this Award Agreement and the Restricted Stock Units granted hereunder, Participant must inform the Company in writing (by writing to stockadmin@crowdstrike.com) within forty-five (45) days after the Date of Grant, in which case the Company will cancel this Award and the Restricted Stock Units granted hereunder will be immediately forfeited and canceled in their entirety without any payment or consideration being due from the Company. </w:t>
      </w:r>
      <w:r>
        <w:rPr>
          <w:rFonts w:ascii="Times New Roman" w:cs="Times New Roman" w:eastAsia="Times New Roman" w:hAnsi="Times New Roman"/>
          <w:sz w:val="22"/>
          <w:szCs w:val="22"/>
          <w:b w:val="1"/>
          <w:bCs w:val="1"/>
          <w:u w:val="single" w:color="auto"/>
          <w:color w:val="auto"/>
        </w:rPr>
        <w:t>If, during such period, Participant does not inform the Company in writing of his or her refusal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accept this Award of Restricted Stock Units, then Participant will be deemed to have accepted this Award of Restricted Stock Units and, by accepting, to</w:t>
      </w:r>
      <w:r>
        <w:rPr>
          <w:rFonts w:ascii="Times New Roman" w:cs="Times New Roman" w:eastAsia="Times New Roman" w:hAnsi="Times New Roman"/>
          <w:sz w:val="22"/>
          <w:szCs w:val="22"/>
          <w:b w:val="1"/>
          <w:bCs w:val="1"/>
          <w:color w:val="auto"/>
        </w:rPr>
        <w:t>:</w:t>
      </w:r>
    </w:p>
    <w:p>
      <w:pPr>
        <w:spacing w:after="0" w:line="182" w:lineRule="exact"/>
        <w:rPr>
          <w:sz w:val="20"/>
          <w:szCs w:val="20"/>
          <w:color w:val="auto"/>
        </w:rPr>
      </w:pPr>
    </w:p>
    <w:p>
      <w:pPr>
        <w:jc w:val="both"/>
        <w:ind w:left="1300" w:hanging="320"/>
        <w:spacing w:after="0" w:line="259" w:lineRule="auto"/>
        <w:tabs>
          <w:tab w:leader="none" w:pos="1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agree that this Award of Restricted Stock Units is granted under and governed by the terms and conditions of the Plan and this Award Agreement, including the Terms and Conditions of Restricted Stock Unit Grant, attached hereto as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all of which are made a part of this document;</w:t>
      </w:r>
    </w:p>
    <w:p>
      <w:pPr>
        <w:spacing w:after="0" w:line="166"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acknowledge receipt of a copy of the Plan;</w:t>
      </w:r>
    </w:p>
    <w:p>
      <w:pPr>
        <w:spacing w:after="0" w:line="219" w:lineRule="exact"/>
        <w:rPr>
          <w:rFonts w:ascii="Times New Roman" w:cs="Times New Roman" w:eastAsia="Times New Roman" w:hAnsi="Times New Roman"/>
          <w:sz w:val="22"/>
          <w:szCs w:val="22"/>
          <w:color w:val="auto"/>
        </w:rPr>
      </w:pPr>
    </w:p>
    <w:p>
      <w:pPr>
        <w:jc w:val="both"/>
        <w:ind w:left="1300" w:hanging="320"/>
        <w:spacing w:after="0" w:line="259" w:lineRule="auto"/>
        <w:tabs>
          <w:tab w:leader="none" w:pos="1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acknowledge that Participant has reviewed the Plan and this Award Agreement in their entirety, has had an opportunity to obtain the advice of counsel prior to executing this Award Agreement, and fully understands all provisions of the Plan and this Award Agreement;</w:t>
      </w:r>
    </w:p>
    <w:p>
      <w:pPr>
        <w:spacing w:after="0" w:line="166" w:lineRule="exact"/>
        <w:rPr>
          <w:rFonts w:ascii="Times New Roman" w:cs="Times New Roman" w:eastAsia="Times New Roman" w:hAnsi="Times New Roman"/>
          <w:sz w:val="22"/>
          <w:szCs w:val="22"/>
          <w:color w:val="auto"/>
        </w:rPr>
      </w:pPr>
    </w:p>
    <w:p>
      <w:pPr>
        <w:ind w:left="1300" w:hanging="320"/>
        <w:spacing w:after="0" w:line="275" w:lineRule="auto"/>
        <w:tabs>
          <w:tab w:leader="none" w:pos="129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 to accept as binding, conclusive, and final all decisions or interpretations of the Administrator upon any questions relating to the Plan and the Award Agreement; and</w:t>
      </w:r>
    </w:p>
    <w:p>
      <w:pPr>
        <w:spacing w:after="0" w:line="14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agree to notify the Company upon any change in his or her residence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 OF RESTRICTED STOCK UNIT GRANT</w:t>
      </w:r>
    </w:p>
    <w:p>
      <w:pPr>
        <w:spacing w:after="0" w:line="224" w:lineRule="exact"/>
        <w:rPr>
          <w:sz w:val="20"/>
          <w:szCs w:val="20"/>
          <w:color w:val="auto"/>
        </w:rPr>
      </w:pPr>
    </w:p>
    <w:p>
      <w:pPr>
        <w:jc w:val="both"/>
        <w:ind w:firstLine="656"/>
        <w:spacing w:after="0" w:line="250" w:lineRule="auto"/>
        <w:tabs>
          <w:tab w:leader="none" w:pos="128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The Company hereby grants to the individual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named in the Notice of Restricted Stock Unit Grant of this Award Agreement (the “</w:t>
      </w:r>
      <w:r>
        <w:rPr>
          <w:rFonts w:ascii="Times New Roman" w:cs="Times New Roman" w:eastAsia="Times New Roman" w:hAnsi="Times New Roman"/>
          <w:sz w:val="22"/>
          <w:szCs w:val="22"/>
          <w:u w:val="single" w:color="auto"/>
          <w:color w:val="auto"/>
        </w:rPr>
        <w:t>Notice of Grant</w:t>
      </w:r>
      <w:r>
        <w:rPr>
          <w:rFonts w:ascii="Times New Roman" w:cs="Times New Roman" w:eastAsia="Times New Roman" w:hAnsi="Times New Roman"/>
          <w:sz w:val="22"/>
          <w:szCs w:val="22"/>
          <w:color w:val="auto"/>
        </w:rPr>
        <w:t>”) under the Plan an Award of Restricted Stock Units, subject to all of the terms and conditions in this Award Agreement and the Plan, which is incorporated herein by reference. Subject to Section 21(c) of the Plan, in the event of a conflict between the terms and conditions of the Plan and the terms and conditions of this Award Agreement, the terms and conditions of the Plan shall prevail.</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Deliver and Settle</w:t>
      </w:r>
      <w:r>
        <w:rPr>
          <w:rFonts w:ascii="Times New Roman" w:cs="Times New Roman" w:eastAsia="Times New Roman" w:hAnsi="Times New Roman"/>
          <w:sz w:val="22"/>
          <w:szCs w:val="22"/>
          <w:color w:val="auto"/>
        </w:rPr>
        <w:t>. Each Restricted Stock Unit represents the right to receive a Share on the date it vests. Unless and until the Restricted Stock Units will have vested in the manner set forth in Section 3 or 4, Participant will have no right to settlement of any such Restricted Stock Units. Prior to actual settlement of any vested Restricted Stock Units, such Restricted Stock Unit will represent an unsecured obligation of the Company, payable (if at all) only from the general assets of the Company.</w:t>
      </w:r>
    </w:p>
    <w:p>
      <w:pPr>
        <w:spacing w:after="0" w:line="180"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7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after Vesting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182"/>
        <w:spacing w:after="0" w:line="250"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Subject to Section 8, any Restricted Stock Units that vest will be settled to Participant (or in the event of Participant’s death, to his or her properly designated beneficiary or estate) in whole Shares. Subject to the provisions of Section 4(b), such vested Restricted Stock Units shall be settled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81" w:lineRule="exact"/>
        <w:rPr>
          <w:sz w:val="20"/>
          <w:szCs w:val="20"/>
          <w:color w:val="auto"/>
        </w:rPr>
      </w:pPr>
    </w:p>
    <w:p>
      <w:pPr>
        <w:jc w:val="both"/>
        <w:ind w:firstLine="1122"/>
        <w:spacing w:after="0" w:line="248"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Discretionary Acceleration</w:t>
      </w:r>
      <w:r>
        <w:rPr>
          <w:rFonts w:ascii="Times New Roman" w:cs="Times New Roman" w:eastAsia="Times New Roman" w:hAnsi="Times New Roman"/>
          <w:sz w:val="22"/>
          <w:szCs w:val="2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of the Code. The prior sentence may be superseded in a future agreement or amendment to this Award Agreement only by direct and specific reference to such sentence.</w:t>
      </w:r>
    </w:p>
    <w:p>
      <w:pPr>
        <w:spacing w:after="0" w:line="187" w:lineRule="exact"/>
        <w:rPr>
          <w:sz w:val="20"/>
          <w:szCs w:val="20"/>
          <w:color w:val="auto"/>
        </w:rPr>
      </w:pPr>
    </w:p>
    <w:p>
      <w:pPr>
        <w:ind w:right="20" w:firstLine="656"/>
        <w:spacing w:after="0" w:line="271" w:lineRule="auto"/>
        <w:tabs>
          <w:tab w:leader="none" w:pos="12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as a Service Provider</w:t>
      </w:r>
      <w:r>
        <w:rPr>
          <w:rFonts w:ascii="Times New Roman" w:cs="Times New Roman" w:eastAsia="Times New Roman" w:hAnsi="Times New Roman"/>
          <w:sz w:val="22"/>
          <w:szCs w:val="22"/>
          <w:color w:val="auto"/>
        </w:rPr>
        <w:t>. Notwithstanding any contrary provision of this Award Agreement, if Participant ceases to be a Service Provider for any or no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1</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reason, the then-unvested Restricted Stock Units awarded by this Award Agreement will thereupon be forfeited at no cost to the Company and Participant will have no further rights thereunder.</w:t>
      </w:r>
    </w:p>
    <w:p>
      <w:pPr>
        <w:spacing w:after="0" w:line="158" w:lineRule="exact"/>
        <w:rPr>
          <w:sz w:val="20"/>
          <w:szCs w:val="20"/>
          <w:color w:val="auto"/>
        </w:rPr>
      </w:pPr>
    </w:p>
    <w:p>
      <w:pPr>
        <w:jc w:val="both"/>
        <w:ind w:firstLine="656"/>
        <w:spacing w:after="0" w:line="248" w:lineRule="auto"/>
        <w:tabs>
          <w:tab w:leader="none" w:pos="128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of Participant</w:t>
      </w:r>
      <w:r>
        <w:rPr>
          <w:rFonts w:ascii="Times New Roman" w:cs="Times New Roman" w:eastAsia="Times New Roman" w:hAnsi="Times New Roman"/>
          <w:sz w:val="22"/>
          <w:szCs w:val="22"/>
          <w:color w:val="auto"/>
        </w:rPr>
        <w:t>. Any distribution or delivery to be made to Participant under this Award Agreement will, if Participant is then deceased, be made to Participant’s designated beneficiary (to the extent such designation is permitted by the Company and the Company has determined it to be valid under applicable law), or if no beneficiary has been validly designated or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Subject to the terms set forth in the Notice of Grant, in the event of a Change in Control, the Administrator will have full discretion, subject to any applicable regulatory approvals, to take whatever actions it deems necessary or appropriate with respect to the Restricted Stock Units, in accordance with Section 15 of the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Participant acknowledges that, regardless of any action taken by the Company (or any of its affiliates), the ultimate liability for any income tax, social insurance, excise tax, payroll tax, fringe benefits tax, payment on account or other tax-related items related to Participant’s participation in the Plan and legally applicable to Participant (collectively, the “</w:t>
      </w:r>
      <w:r>
        <w:rPr>
          <w:rFonts w:ascii="Times New Roman" w:cs="Times New Roman" w:eastAsia="Times New Roman" w:hAnsi="Times New Roman"/>
          <w:sz w:val="22"/>
          <w:szCs w:val="22"/>
          <w:u w:val="single" w:color="auto"/>
          <w:color w:val="auto"/>
        </w:rPr>
        <w:t>Tax Obligations</w:t>
      </w:r>
      <w:r>
        <w:rPr>
          <w:rFonts w:ascii="Times New Roman" w:cs="Times New Roman" w:eastAsia="Times New Roman" w:hAnsi="Times New Roman"/>
          <w:sz w:val="22"/>
          <w:szCs w:val="22"/>
          <w:color w:val="auto"/>
        </w:rPr>
        <w:t>”), is and remains Participant’s responsibility, and Participant shall be solely responsible for any and all such applicable taxes and penalties, and any interest that accrues thereon, that the Participant incurs in connection with participation in the Plan and the receipt, vesting or settlement of any Restricted Stock Units granted hereunder. Further, if Participant is subject to Tax Obligations in more than one jurisdiction, Participant acknowledges that the Company (or its applicable affiliate)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28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Section 14 of the Plan will govern the transferability of the Restricted Stock Units.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Grant</w:t>
      </w:r>
      <w:r>
        <w:rPr>
          <w:rFonts w:ascii="Times New Roman" w:cs="Times New Roman" w:eastAsia="Times New Roman" w:hAnsi="Times New Roman"/>
          <w:sz w:val="22"/>
          <w:szCs w:val="22"/>
          <w:color w:val="auto"/>
        </w:rPr>
        <w:t>. In accepting the grant, Participant acknowledges, understands and agrees that:</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2</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2" w:name="page93"/>
    <w:bookmarkEnd w:id="92"/>
    <w:p>
      <w:pPr>
        <w:ind w:left="10180"/>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1182"/>
        <w:spacing w:after="0" w:line="257" w:lineRule="auto"/>
        <w:rPr>
          <w:sz w:val="20"/>
          <w:szCs w:val="20"/>
          <w:color w:val="auto"/>
        </w:rPr>
      </w:pPr>
      <w:r>
        <w:rPr>
          <w:rFonts w:ascii="Times New Roman" w:cs="Times New Roman" w:eastAsia="Times New Roman" w:hAnsi="Times New Roman"/>
          <w:sz w:val="22"/>
          <w:szCs w:val="22"/>
          <w:color w:val="auto"/>
        </w:rPr>
        <w:t>i.the grant of Restricted Stock Units is exceptional, voluntary and occasional and does not create any contractual right to receive future grants of Restricted Stock Units, or benefits in lieu of Restricted Stock Units, even if Restricted Stock Units have been granted in the past;</w:t>
      </w:r>
    </w:p>
    <w:p>
      <w:pPr>
        <w:spacing w:after="0" w:line="173" w:lineRule="exact"/>
        <w:rPr>
          <w:sz w:val="20"/>
          <w:szCs w:val="20"/>
          <w:color w:val="auto"/>
        </w:rPr>
      </w:pPr>
    </w:p>
    <w:p>
      <w:pPr>
        <w:ind w:left="1080" w:right="800" w:firstLine="60"/>
        <w:spacing w:after="0" w:line="448" w:lineRule="auto"/>
        <w:rPr>
          <w:sz w:val="20"/>
          <w:szCs w:val="20"/>
          <w:color w:val="auto"/>
        </w:rPr>
      </w:pPr>
      <w:r>
        <w:rPr>
          <w:rFonts w:ascii="Times New Roman" w:cs="Times New Roman" w:eastAsia="Times New Roman" w:hAnsi="Times New Roman"/>
          <w:sz w:val="22"/>
          <w:szCs w:val="22"/>
          <w:color w:val="auto"/>
        </w:rPr>
        <w:t>ii.all decisions with respect to future grants of Awards, if any, will be at the sole discretion of the Company; iii.Participant is voluntarily participating in the Plan;</w:t>
      </w:r>
    </w:p>
    <w:p>
      <w:pPr>
        <w:spacing w:after="0" w:line="1" w:lineRule="exact"/>
        <w:rPr>
          <w:sz w:val="20"/>
          <w:szCs w:val="20"/>
          <w:color w:val="auto"/>
        </w:rPr>
      </w:pPr>
    </w:p>
    <w:p>
      <w:pPr>
        <w:jc w:val="both"/>
        <w:ind w:firstLine="1074"/>
        <w:spacing w:after="0" w:line="271" w:lineRule="auto"/>
        <w:rPr>
          <w:sz w:val="20"/>
          <w:szCs w:val="20"/>
          <w:color w:val="auto"/>
        </w:rPr>
      </w:pPr>
      <w:r>
        <w:rPr>
          <w:rFonts w:ascii="Times New Roman" w:cs="Times New Roman" w:eastAsia="Times New Roman" w:hAnsi="Times New Roman"/>
          <w:sz w:val="22"/>
          <w:szCs w:val="22"/>
          <w:color w:val="auto"/>
        </w:rPr>
        <w:t>iv.the future value of the Shares underlying the Restricted Stock Units is unknown, indeterminable and cannot be predicted with certainty;</w:t>
      </w:r>
    </w:p>
    <w:p>
      <w:pPr>
        <w:spacing w:after="0" w:line="158" w:lineRule="exact"/>
        <w:rPr>
          <w:sz w:val="20"/>
          <w:szCs w:val="20"/>
          <w:color w:val="auto"/>
        </w:rPr>
      </w:pPr>
    </w:p>
    <w:p>
      <w:pPr>
        <w:jc w:val="both"/>
        <w:ind w:firstLine="1134"/>
        <w:spacing w:after="0" w:line="245" w:lineRule="auto"/>
        <w:rPr>
          <w:sz w:val="20"/>
          <w:szCs w:val="20"/>
          <w:color w:val="auto"/>
        </w:rPr>
      </w:pPr>
      <w:r>
        <w:rPr>
          <w:rFonts w:ascii="Times New Roman" w:cs="Times New Roman" w:eastAsia="Times New Roman" w:hAnsi="Times New Roman"/>
          <w:sz w:val="22"/>
          <w:szCs w:val="22"/>
          <w:color w:val="auto"/>
        </w:rPr>
        <w:t>v.for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or similar laws in the jurisdiction where Participant is a Service Provider or the terms of Participant’s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Participant’s period of service would not include any contractual notice period or similar period mandated under laws in the jurisdiction where Participant is a Service Provider or the terms of Participant’s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95" w:lineRule="exact"/>
        <w:rPr>
          <w:sz w:val="20"/>
          <w:szCs w:val="20"/>
          <w:color w:val="auto"/>
        </w:rPr>
      </w:pPr>
    </w:p>
    <w:p>
      <w:pPr>
        <w:jc w:val="both"/>
        <w:ind w:firstLine="1074"/>
        <w:spacing w:after="0" w:line="257" w:lineRule="auto"/>
        <w:rPr>
          <w:sz w:val="20"/>
          <w:szCs w:val="20"/>
          <w:color w:val="auto"/>
        </w:rPr>
      </w:pPr>
      <w:r>
        <w:rPr>
          <w:rFonts w:ascii="Times New Roman" w:cs="Times New Roman" w:eastAsia="Times New Roman" w:hAnsi="Times New Roman"/>
          <w:sz w:val="22"/>
          <w:szCs w:val="22"/>
          <w:color w:val="auto"/>
        </w:rPr>
        <w:t>vi.unless otherwise agreed with the Company, the Restricted Stock Units and Shares subject to the Restricted Stock Units, and the income from and value of same, are not granted as consideration for, or in connection with, the service Participant may provide as a director of a Subsidiary; and</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vii.for Participants who reside outside the United States, the following additional provisions shall apply:</w:t>
      </w:r>
    </w:p>
    <w:p>
      <w:pPr>
        <w:spacing w:after="0" w:line="220" w:lineRule="exact"/>
        <w:rPr>
          <w:sz w:val="20"/>
          <w:szCs w:val="20"/>
          <w:color w:val="auto"/>
        </w:rPr>
      </w:pPr>
    </w:p>
    <w:p>
      <w:pPr>
        <w:ind w:firstLine="1952"/>
        <w:spacing w:after="0" w:line="271"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Shares acquired under the Plan are not intended to replace any pension rights or compensation;</w:t>
      </w:r>
    </w:p>
    <w:p>
      <w:pPr>
        <w:spacing w:after="0" w:line="157"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2"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Restricted Stock Units and any Shares acquired under the Plan, and the income from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3</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1952"/>
        <w:spacing w:after="0" w:line="252"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or entitlement to compensation or damages shall arise from the forfeiture of the Restricted Stock Units resulting from the termination of Participant’s status as a Service Provider (for any reason whatsoever, whether or not later found to be invalid or in breach of employment or similar laws in the jurisdiction where Participant is engaged or the terms of his or her service agreement, if any); and</w:t>
      </w:r>
    </w:p>
    <w:p>
      <w:pPr>
        <w:spacing w:after="0" w:line="17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9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affiliates shall be liable for any foreign exchange rate fluctuation between Participant’s local currency and the United States Dollar that may affect the value of the Restricted Stock Units or of any amounts due to Participant pursuant to the settlement of Restricted Stock Units or subsequent sale of Shares acquired upon settlement.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 and Acknowledgements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182"/>
        <w:spacing w:after="0" w:line="250" w:lineRule="auto"/>
        <w:rPr>
          <w:sz w:val="20"/>
          <w:szCs w:val="20"/>
          <w:color w:val="auto"/>
        </w:rPr>
      </w:pPr>
      <w:r>
        <w:rPr>
          <w:rFonts w:ascii="Times New Roman" w:cs="Times New Roman" w:eastAsia="Times New Roman" w:hAnsi="Times New Roman"/>
          <w:sz w:val="22"/>
          <w:szCs w:val="22"/>
          <w:color w:val="auto"/>
        </w:rPr>
        <w:t>i.Participant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81" w:lineRule="exact"/>
        <w:rPr>
          <w:sz w:val="20"/>
          <w:szCs w:val="20"/>
          <w:color w:val="auto"/>
        </w:rPr>
      </w:pPr>
    </w:p>
    <w:p>
      <w:pPr>
        <w:jc w:val="both"/>
        <w:ind w:firstLine="1122"/>
        <w:spacing w:after="0" w:line="248" w:lineRule="auto"/>
        <w:rPr>
          <w:sz w:val="20"/>
          <w:szCs w:val="20"/>
          <w:color w:val="auto"/>
        </w:rPr>
      </w:pPr>
      <w:r>
        <w:rPr>
          <w:rFonts w:ascii="Times New Roman" w:cs="Times New Roman" w:eastAsia="Times New Roman" w:hAnsi="Times New Roman"/>
          <w:sz w:val="22"/>
          <w:szCs w:val="22"/>
          <w:color w:val="auto"/>
        </w:rPr>
        <w:t>ii.Participant acknowledges that the Company and its affiliates (i)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(ii) do not commit to and are under no obligation to structure the terms of the grant or any aspect of the Restricted Stock Units to reduce or eliminate Participant’s liability for Tax Obligations or achieve any particular tax result.</w:t>
      </w:r>
    </w:p>
    <w:p>
      <w:pPr>
        <w:spacing w:after="0" w:line="181"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u w:val="single" w:color="auto"/>
          <w:color w:val="auto"/>
        </w:rPr>
        <w:t>Data Protection</w:t>
      </w:r>
      <w:r>
        <w:rPr>
          <w:rFonts w:ascii="Times New Roman" w:cs="Times New Roman" w:eastAsia="Times New Roman" w:hAnsi="Times New Roman"/>
          <w:sz w:val="22"/>
          <w:szCs w:val="22"/>
          <w:b w:val="1"/>
          <w:bCs w:val="1"/>
          <w:i w:val="1"/>
          <w:iCs w:val="1"/>
          <w:color w:val="auto"/>
        </w:rPr>
        <w:t>.</w:t>
      </w:r>
    </w:p>
    <w:p>
      <w:pPr>
        <w:spacing w:after="0" w:line="220" w:lineRule="exact"/>
        <w:rPr>
          <w:sz w:val="20"/>
          <w:szCs w:val="20"/>
          <w:color w:val="auto"/>
        </w:rPr>
      </w:pPr>
    </w:p>
    <w:p>
      <w:pPr>
        <w:jc w:val="both"/>
        <w:ind w:firstLine="1182"/>
        <w:spacing w:after="0" w:line="260" w:lineRule="auto"/>
        <w:rPr>
          <w:sz w:val="20"/>
          <w:szCs w:val="20"/>
          <w:color w:val="auto"/>
        </w:rPr>
      </w:pPr>
      <w:r>
        <w:rPr>
          <w:rFonts w:ascii="Times New Roman" w:cs="Times New Roman" w:eastAsia="Times New Roman" w:hAnsi="Times New Roman"/>
          <w:sz w:val="21"/>
          <w:szCs w:val="21"/>
          <w:b w:val="1"/>
          <w:bCs w:val="1"/>
          <w:i w:val="1"/>
          <w:iCs w:val="1"/>
          <w:color w:val="auto"/>
        </w:rPr>
        <w:t>i.</w:t>
      </w:r>
      <w:r>
        <w:rPr>
          <w:rFonts w:ascii="Times New Roman" w:cs="Times New Roman" w:eastAsia="Times New Roman" w:hAnsi="Times New Roman"/>
          <w:sz w:val="21"/>
          <w:szCs w:val="21"/>
          <w:b w:val="1"/>
          <w:bCs w:val="1"/>
          <w:i w:val="1"/>
          <w:iCs w:val="1"/>
          <w:u w:val="single" w:color="auto"/>
          <w:color w:val="auto"/>
        </w:rPr>
        <w:t>Data Processing</w:t>
      </w:r>
      <w:r>
        <w:rPr>
          <w:rFonts w:ascii="Times New Roman" w:cs="Times New Roman" w:eastAsia="Times New Roman" w:hAnsi="Times New Roman"/>
          <w:sz w:val="21"/>
          <w:szCs w:val="21"/>
          <w:b w:val="1"/>
          <w:bCs w:val="1"/>
          <w:i w:val="1"/>
          <w:iCs w:val="1"/>
          <w:color w:val="auto"/>
        </w:rPr>
        <w:t>. By participating in the Plan, Participant understands and acknowledges that it is necessary for the Company, Parent and any of their Subsidiaries or affiliates to collect, use, disclose, hold, transfer and otherwise process certain personal information about Participant as described in Section 28 of the Plan. This personal data (hereinafter “</w:t>
      </w:r>
      <w:r>
        <w:rPr>
          <w:rFonts w:ascii="Times New Roman" w:cs="Times New Roman" w:eastAsia="Times New Roman" w:hAnsi="Times New Roman"/>
          <w:sz w:val="21"/>
          <w:szCs w:val="21"/>
          <w:b w:val="1"/>
          <w:bCs w:val="1"/>
          <w:i w:val="1"/>
          <w:iCs w:val="1"/>
          <w:u w:val="single" w:color="auto"/>
          <w:color w:val="auto"/>
        </w:rPr>
        <w:t>Data</w:t>
      </w:r>
      <w:r>
        <w:rPr>
          <w:rFonts w:ascii="Times New Roman" w:cs="Times New Roman" w:eastAsia="Times New Roman" w:hAnsi="Times New Roman"/>
          <w:sz w:val="21"/>
          <w:szCs w:val="21"/>
          <w:b w:val="1"/>
          <w:bCs w:val="1"/>
          <w:i w:val="1"/>
          <w:iCs w:val="1"/>
          <w:color w:val="auto"/>
        </w:rPr>
        <w:t>”) includes but is not limited to, Participant’s name, home address, email address and telephone number, date of birth, social insurance number, passport or other identification number, salary, nationality, job title, any Shares or directorships held in the Company, details of all Restricted Stock Units or any other entitlement to Shares awarded, canceled, vested, unvested or outstanding in Participant’s favor, which the Company receives from Participant or any applicable affiliate of the Company. This may include the international transfer of Participant’s Data to a jurisdiction that might have enacted data privacy laws that are less protective or otherwise different from those applicable in the Participant's country of residence.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4</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1122"/>
        <w:spacing w:after="0" w:line="254" w:lineRule="auto"/>
        <w:rPr>
          <w:sz w:val="20"/>
          <w:szCs w:val="20"/>
          <w:color w:val="auto"/>
        </w:rPr>
      </w:pPr>
      <w:r>
        <w:rPr>
          <w:rFonts w:ascii="Times New Roman" w:cs="Times New Roman" w:eastAsia="Times New Roman" w:hAnsi="Times New Roman"/>
          <w:sz w:val="22"/>
          <w:szCs w:val="22"/>
          <w:b w:val="1"/>
          <w:bCs w:val="1"/>
          <w:i w:val="1"/>
          <w:iCs w:val="1"/>
          <w:color w:val="auto"/>
        </w:rPr>
        <w:t>ii.</w:t>
      </w:r>
      <w:r>
        <w:rPr>
          <w:rFonts w:ascii="Times New Roman" w:cs="Times New Roman" w:eastAsia="Times New Roman" w:hAnsi="Times New Roman"/>
          <w:sz w:val="22"/>
          <w:szCs w:val="22"/>
          <w:b w:val="1"/>
          <w:bCs w:val="1"/>
          <w:i w:val="1"/>
          <w:iCs w:val="1"/>
          <w:u w:val="single" w:color="auto"/>
          <w:color w:val="auto"/>
        </w:rPr>
        <w:t>Necessary Disclosure of Data</w:t>
      </w:r>
      <w:r>
        <w:rPr>
          <w:rFonts w:ascii="Times New Roman" w:cs="Times New Roman" w:eastAsia="Times New Roman" w:hAnsi="Times New Roman"/>
          <w:sz w:val="22"/>
          <w:szCs w:val="22"/>
          <w:b w:val="1"/>
          <w:bCs w:val="1"/>
          <w:i w:val="1"/>
          <w:iCs w:val="1"/>
          <w:color w:val="auto"/>
        </w:rPr>
        <w:t>. Participant understands that providing the Company with Data is necessary for performance of the Award Agreement and that Participant’s refusal to provide the Data would make it impossible for the Company to perform its contractual obligations and legitimate interests and may affect Participant’s ability to participate in the Plan.</w:t>
      </w:r>
    </w:p>
    <w:p>
      <w:pPr>
        <w:spacing w:after="0" w:line="171" w:lineRule="exact"/>
        <w:rPr>
          <w:sz w:val="20"/>
          <w:szCs w:val="20"/>
          <w:color w:val="auto"/>
        </w:rPr>
      </w:pPr>
    </w:p>
    <w:p>
      <w:pPr>
        <w:jc w:val="both"/>
        <w:ind w:firstLine="1062"/>
        <w:spacing w:after="0" w:line="246" w:lineRule="auto"/>
        <w:rPr>
          <w:sz w:val="20"/>
          <w:szCs w:val="20"/>
          <w:color w:val="auto"/>
        </w:rPr>
      </w:pPr>
      <w:r>
        <w:rPr>
          <w:rFonts w:ascii="Times New Roman" w:cs="Times New Roman" w:eastAsia="Times New Roman" w:hAnsi="Times New Roman"/>
          <w:sz w:val="22"/>
          <w:szCs w:val="22"/>
          <w:b w:val="1"/>
          <w:bCs w:val="1"/>
          <w:i w:val="1"/>
          <w:iCs w:val="1"/>
          <w:color w:val="auto"/>
        </w:rPr>
        <w:t>iii.</w:t>
      </w:r>
      <w:r>
        <w:rPr>
          <w:rFonts w:ascii="Times New Roman" w:cs="Times New Roman" w:eastAsia="Times New Roman" w:hAnsi="Times New Roman"/>
          <w:sz w:val="22"/>
          <w:szCs w:val="22"/>
          <w:b w:val="1"/>
          <w:bCs w:val="1"/>
          <w:i w:val="1"/>
          <w:iCs w:val="1"/>
          <w:u w:val="single" w:color="auto"/>
          <w:color w:val="auto"/>
        </w:rPr>
        <w:t>Data Processing and Transfer Consent</w:t>
      </w:r>
      <w:r>
        <w:rPr>
          <w:rFonts w:ascii="Times New Roman" w:cs="Times New Roman" w:eastAsia="Times New Roman" w:hAnsi="Times New Roman"/>
          <w:sz w:val="22"/>
          <w:szCs w:val="22"/>
          <w:b w:val="1"/>
          <w:bCs w:val="1"/>
          <w:i w:val="1"/>
          <w:iCs w:val="1"/>
          <w:color w:val="auto"/>
        </w:rPr>
        <w:t>. Notwithstanding the foregoing, if Participant is located in a jurisdiction for which the lawful bases for processing and transferring personal data described in the Plan are not recognized, then, to the extent applicable, Participant hereby unambiguously consents to the collection, use and transfer, in electronic or other form, of his or her Data, as described above and in any other grant materials, by and among, as applicable, the Company and any affiliate for the exclusive purpose of implementing, administering and managing Participant’s participation in the Plan. Participant understands that he or she may, at any time, refuse or withdraw the consents herein, in any case without cost, by contacting in writing his or her human resources representative. If Participant does not consent or later seeks to revoke his or her consent, Participant’s service with the Company or its applicable affiliate will not be affected; the only consequence of refusing or withdrawing consent is that the Company would not be able to grant Restricted Stock Units or other Awards to Participant under the Plan or administer or maintain such Awards. Therefore, Participant understands that refusing or withdrawing consent may affect his or her ability to participate in the Plan. For more information on the consequences of refusal to consent or withdrawal of consent, Participant should contact his or her local human resources representative.</w:t>
      </w:r>
    </w:p>
    <w:p>
      <w:pPr>
        <w:spacing w:after="0" w:line="186" w:lineRule="exact"/>
        <w:rPr>
          <w:sz w:val="20"/>
          <w:szCs w:val="20"/>
          <w:color w:val="auto"/>
        </w:rPr>
      </w:pPr>
    </w:p>
    <w:p>
      <w:pPr>
        <w:jc w:val="both"/>
        <w:ind w:firstLine="656"/>
        <w:spacing w:after="0" w:line="25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Advice Regarding Grant</w:t>
      </w:r>
      <w:r>
        <w:rPr>
          <w:rFonts w:ascii="Times New Roman" w:cs="Times New Roman" w:eastAsia="Times New Roman" w:hAnsi="Times New Roman"/>
          <w:sz w:val="22"/>
          <w:szCs w:val="22"/>
          <w:color w:val="auto"/>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his or her participation in the Plan before taking any action related to the Plan.</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 terms of this Award Agreement will be addressed to the Company at CrowdStrike Holdings, Inc., 150 Mathilda Place, Suite 300, Sunnyvale, CA 94086 United States or at such other address as the Company may hereafter designate in writing.</w:t>
      </w:r>
    </w:p>
    <w:p>
      <w:pPr>
        <w:spacing w:after="0" w:line="17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Language</w:t>
      </w:r>
      <w:r>
        <w:rPr>
          <w:rFonts w:ascii="Times New Roman" w:cs="Times New Roman" w:eastAsia="Times New Roman" w:hAnsi="Times New Roman"/>
          <w:sz w:val="22"/>
          <w:szCs w:val="22"/>
          <w:color w:val="auto"/>
        </w:rPr>
        <w:t>. Participant acknowledges that he or she is sufficiently proficient in English, or has consulted with an advisor who is sufficiently proficient in English, so as to allow Participant to understand the terms and conditions of the Award Agreement. If Participant has received the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Company may assign any of its rights under this Award Agreement to single or multiple assignees, and this Award Agreement shall be binding upon and inure to the benefit of any assignee or successor of the Company. Subject to the restrictions on transfer set forth herein and in the Plan, this Award Agreement shall be binding upon Participant and his or her heirs, executors, administrators, successors and assigns. The rights and obligations of</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5</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under this Award Agreement may only be assigned with the prior written consent of the Company.</w:t>
      </w:r>
    </w:p>
    <w:p>
      <w:pPr>
        <w:spacing w:after="0" w:line="220" w:lineRule="exact"/>
        <w:rPr>
          <w:sz w:val="20"/>
          <w:szCs w:val="20"/>
          <w:color w:val="auto"/>
        </w:rPr>
      </w:pPr>
    </w:p>
    <w:p>
      <w:pPr>
        <w:jc w:val="both"/>
        <w:ind w:firstLine="656"/>
        <w:spacing w:after="0" w:line="248" w:lineRule="auto"/>
        <w:tabs>
          <w:tab w:leader="none" w:pos="127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The Administrator’s decisions, determinations and interpretations will be final and binding on Participant and any other holders of the Restricted Stock Units or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1" w:lineRule="exact"/>
        <w:rPr>
          <w:rFonts w:ascii="Times New Roman" w:cs="Times New Roman" w:eastAsia="Times New Roman" w:hAnsi="Times New Roman"/>
          <w:sz w:val="22"/>
          <w:szCs w:val="22"/>
          <w:color w:val="auto"/>
        </w:rPr>
      </w:pPr>
    </w:p>
    <w:p>
      <w:pPr>
        <w:ind w:firstLine="656"/>
        <w:spacing w:after="0" w:line="271" w:lineRule="auto"/>
        <w:tabs>
          <w:tab w:leader="none" w:pos="128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this Award Agreement.</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8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Imposition of Other Requirements</w:t>
      </w:r>
      <w:r>
        <w:rPr>
          <w:rFonts w:ascii="Times New Roman" w:cs="Times New Roman" w:eastAsia="Times New Roman" w:hAnsi="Times New Roman"/>
          <w:sz w:val="22"/>
          <w:szCs w:val="22"/>
          <w:color w:val="auto"/>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79" w:lineRule="exact"/>
        <w:rPr>
          <w:rFonts w:ascii="Times New Roman" w:cs="Times New Roman" w:eastAsia="Times New Roman" w:hAnsi="Times New Roman"/>
          <w:sz w:val="22"/>
          <w:szCs w:val="22"/>
          <w:color w:val="auto"/>
        </w:rPr>
      </w:pPr>
    </w:p>
    <w:p>
      <w:pPr>
        <w:jc w:val="both"/>
        <w:ind w:firstLine="656"/>
        <w:spacing w:after="0" w:line="260" w:lineRule="auto"/>
        <w:tabs>
          <w:tab w:leader="none" w:pos="128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Insider Trading Restrictions/Market Abuse Laws</w:t>
      </w:r>
      <w:r>
        <w:rPr>
          <w:rFonts w:ascii="Times New Roman" w:cs="Times New Roman" w:eastAsia="Times New Roman" w:hAnsi="Times New Roman"/>
          <w:sz w:val="21"/>
          <w:szCs w:val="21"/>
          <w:color w:val="auto"/>
        </w:rPr>
        <w:t>. Participant may be subject to insider trading restrictions and/or market abuse laws in applicable jurisdictions including, but not limited to the United States and Participant’s country, the broker's country or the country in which the Shares are listed (if different), which may affect his or her ability to accept, acquire, sell or otherwise dispose of Shares or rights to Shares or rights linked to the value of Shares during such times as Participant is considered to have “inside information” regarding the Company (as defined by the laws or regulations in applicable jurisdictions).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Participant should consult his or her personal legal advisor on this matter.</w:t>
      </w:r>
    </w:p>
    <w:p>
      <w:pPr>
        <w:spacing w:after="0" w:line="175" w:lineRule="exact"/>
        <w:rPr>
          <w:rFonts w:ascii="Times New Roman" w:cs="Times New Roman" w:eastAsia="Times New Roman" w:hAnsi="Times New Roman"/>
          <w:sz w:val="21"/>
          <w:szCs w:val="21"/>
          <w:color w:val="auto"/>
        </w:rPr>
      </w:pPr>
    </w:p>
    <w:p>
      <w:pPr>
        <w:jc w:val="both"/>
        <w:ind w:firstLine="656"/>
        <w:spacing w:after="0" w:line="248" w:lineRule="auto"/>
        <w:tabs>
          <w:tab w:leader="none" w:pos="127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Exchange Control and Tax Requirements</w:t>
      </w:r>
      <w:r>
        <w:rPr>
          <w:rFonts w:ascii="Times New Roman" w:cs="Times New Roman" w:eastAsia="Times New Roman" w:hAnsi="Times New Roman"/>
          <w:sz w:val="22"/>
          <w:szCs w:val="22"/>
          <w:color w:val="auto"/>
        </w:rPr>
        <w:t>. Participant acknowledges that, depending on his or her country, there may be certain foreign asset and/or account reporting requirements or exchange control restrictions which may affect Participant’s ability to acquire or hold Shares or cash received from participating in the Plan (including proceeds from the sale of Shares and dividends paid on Shares) in, to and/or from a brokerage or bank account or legal entity outside Participant’s country. Participant may be required to report such accounts, assets or related transactions to the tax or other authorities in his or her country. Participant also may</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6</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be required to repatriate sale proceeds or other funds received as a result of participating in the Plan to Participant’s country through a designated bank or broker and/or within a certain time after receipt. Participant acknowledges that he or she is responsible for ensuring compliance with any applicable foreign asset/account, exchange control and tax reporting requirements and should consult his or her personal legal and tax advisors on this matter.</w:t>
      </w:r>
    </w:p>
    <w:p>
      <w:pPr>
        <w:spacing w:after="0" w:line="179" w:lineRule="exact"/>
        <w:rPr>
          <w:sz w:val="20"/>
          <w:szCs w:val="20"/>
          <w:color w:val="auto"/>
        </w:rPr>
      </w:pPr>
    </w:p>
    <w:p>
      <w:pPr>
        <w:jc w:val="both"/>
        <w:ind w:firstLine="656"/>
        <w:spacing w:after="0" w:line="252"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9" w:lineRule="exact"/>
        <w:rPr>
          <w:rFonts w:ascii="Times New Roman" w:cs="Times New Roman" w:eastAsia="Times New Roman" w:hAnsi="Times New Roman"/>
          <w:sz w:val="22"/>
          <w:szCs w:val="22"/>
          <w:color w:val="auto"/>
        </w:rPr>
      </w:pPr>
    </w:p>
    <w:p>
      <w:pPr>
        <w:jc w:val="both"/>
        <w:ind w:firstLine="656"/>
        <w:spacing w:after="0" w:line="261" w:lineRule="auto"/>
        <w:tabs>
          <w:tab w:leader="none" w:pos="128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the Award Agreement</w:t>
      </w:r>
      <w:r>
        <w:rPr>
          <w:rFonts w:ascii="Times New Roman" w:cs="Times New Roman" w:eastAsia="Times New Roman" w:hAnsi="Times New Roman"/>
          <w:sz w:val="21"/>
          <w:szCs w:val="21"/>
          <w:color w:val="auto"/>
        </w:rPr>
        <w:t>. Participant expressly warrants that he or she is not accepting this Award Agreement in reliance on any promises, representations, or inducements other than those contained herein. Subject to Sections 15 and 21 of the Plan,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of the Code or to otherwise avoid imposition of any additional tax or income recognition under Section 409A of the Code in connection with this Award of Restricted Stock Units.</w:t>
      </w:r>
    </w:p>
    <w:p>
      <w:pPr>
        <w:spacing w:after="0" w:line="173" w:lineRule="exact"/>
        <w:rPr>
          <w:rFonts w:ascii="Times New Roman" w:cs="Times New Roman" w:eastAsia="Times New Roman" w:hAnsi="Times New Roman"/>
          <w:sz w:val="21"/>
          <w:szCs w:val="21"/>
          <w:color w:val="auto"/>
        </w:rPr>
      </w:pPr>
    </w:p>
    <w:p>
      <w:pPr>
        <w:jc w:val="both"/>
        <w:ind w:firstLine="656"/>
        <w:spacing w:after="0" w:line="252" w:lineRule="auto"/>
        <w:tabs>
          <w:tab w:leader="none" w:pos="128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to both parties herein are cumulative and shall not constitute a waiver of either party’s right to assert all other legal remedies available to it under the circumstances.</w:t>
      </w:r>
    </w:p>
    <w:p>
      <w:pPr>
        <w:spacing w:after="0" w:line="179" w:lineRule="exact"/>
        <w:rPr>
          <w:sz w:val="20"/>
          <w:szCs w:val="20"/>
          <w:color w:val="auto"/>
        </w:rPr>
      </w:pPr>
    </w:p>
    <w:p>
      <w:pPr>
        <w:jc w:val="both"/>
        <w:ind w:firstLine="656"/>
        <w:spacing w:after="0" w:line="250" w:lineRule="auto"/>
        <w:tabs>
          <w:tab w:leader="none" w:pos="128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Award Agreement and the Restricted Stock Units will be governed by the laws of the State of Delaware, without giving effect to the conflict of law principles thereof. For purposes of litigating any dispute that arises under these Restricted Stock Units or this Award Agreement, the parties hereby submit to and consent to the jurisdiction of the State of Delaware, and agree that such litigation will be conducted in any United States federal court located in the State of Delaware or any other state court in the State of Delaware, and no other courts.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ab.</w:t>
            </w:r>
          </w:p>
        </w:tc>
        <w:tc>
          <w:tcPr>
            <w:tcW w:w="99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Waiver of Jury Trial. Each of the parties hereto hereby irrevocably waives any and all right to trial by jury in any</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89"/>
        </w:trPr>
        <w:tc>
          <w:tcPr>
            <w:tcW w:w="112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legal proceeding arising out of or related to this Award Agreement or the transactions contemplated hereby.</w:t>
            </w:r>
          </w:p>
        </w:tc>
      </w:tr>
      <w:tr>
        <w:trPr>
          <w:trHeight w:val="420"/>
        </w:trPr>
        <w:tc>
          <w:tcPr>
            <w:tcW w:w="13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ac.</w:t>
            </w:r>
          </w:p>
        </w:tc>
        <w:tc>
          <w:tcPr>
            <w:tcW w:w="99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Entire Agreement. The Plan is incorporated herein by reference. The Plan and this Award Agreement (including</w:t>
            </w:r>
          </w:p>
        </w:tc>
      </w:tr>
      <w:tr>
        <w:trPr>
          <w:trHeight w:val="20"/>
        </w:trPr>
        <w:tc>
          <w:tcPr>
            <w:tcW w:w="1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appendices and exhibits referenced herein) constitute the entire agreement of the parties with respect to the subject matter hereof and supersede in their entirety all prior undertakings and agreements of the Company and Participant with respect to the subject matter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7</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hereof, and may not be modified adversely to Participant’s interest except by means of a writing signed by the Company and Participant.</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ad.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Notwithstanding any provisions in this Award Agreement, the Restricted Stock Unit grant shall be subject to any special terms and conditions set forth in the appendix to this Award Agreement for any country whose laws are applicable to Participant and this Award of Restricted Stock Units (as determined by the Administrator in its sole discretion) (the “</w:t>
      </w:r>
      <w:r>
        <w:rPr>
          <w:rFonts w:ascii="Times New Roman" w:cs="Times New Roman" w:eastAsia="Times New Roman" w:hAnsi="Times New Roman"/>
          <w:sz w:val="22"/>
          <w:szCs w:val="22"/>
          <w:u w:val="single" w:color="auto"/>
          <w:color w:val="auto"/>
        </w:rPr>
        <w:t>Country Addendum</w:t>
      </w:r>
      <w:r>
        <w:rPr>
          <w:rFonts w:ascii="Times New Roman" w:cs="Times New Roman" w:eastAsia="Times New Roman" w:hAnsi="Times New Roman"/>
          <w:sz w:val="22"/>
          <w:szCs w:val="22"/>
          <w:color w:val="auto"/>
        </w:rPr>
        <w:t>”).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tax or administrative reasons. The Country Addendum constitutes part of this Award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1"/>
          <w:szCs w:val="21"/>
          <w:color w:val="auto"/>
        </w:rPr>
        <w:t>8</w:t>
      </w:r>
    </w:p>
    <w:p>
      <w:pPr>
        <w:spacing w:after="0" w:line="200" w:lineRule="exact"/>
        <w:rPr>
          <w:sz w:val="20"/>
          <w:szCs w:val="20"/>
          <w:color w:val="auto"/>
        </w:rPr>
      </w:pPr>
    </w:p>
    <w:p>
      <w:pPr>
        <w:spacing w:after="0" w:line="3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CROWDSTRIKE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2019 EQUITY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GLOBAL RESTRICTED STOCK UNIT 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COUNTRY ADDENDUM</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TERMS AND CONDITIONS</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This Country Addendum includes additional terms and conditions that govern the Award of Restricted Stock Units granted to Participant under the Plan if Participant provides services in one of the countries listed below. If Participant is a citizen or resident of a country (or is considered as such for local law purposes) other than the one in which he or she is currently providing services or if Participant relocates to another country after receiving the Award of Restricted Stock Units, the Company will, in its discretion, determine the extent to which the terms and conditions contained herein will be applicable to Participant.</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Certain capitalized terms used but not defined in this Country Addendum shall have the meanings set forth in the Plan, and/or the Global Restricted Stock Unit Agreement to which this Country Addendum is attached.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August 2019.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Restricted Stock Units and acquires Shares, or when Participant subsequently sell Shares acquired under the Plan.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 addition, the notifications are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Participant’s situation.</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Finally, if Participant is a citizen or resident of a country other than the one in which Participant is currently providing services (or is considered as such for local law purposes) or if Participant moves to another country after receiving the Award of Restricted Stock Units, the information contained herein may not be applicable to Participant.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u w:val="single" w:color="auto"/>
          <w:color w:val="auto"/>
        </w:rPr>
        <w:t>Exchange Control Information</w:t>
      </w:r>
      <w:r>
        <w:rPr>
          <w:rFonts w:ascii="Times New Roman" w:cs="Times New Roman" w:eastAsia="Times New Roman" w:hAnsi="Times New Roman"/>
          <w:sz w:val="22"/>
          <w:szCs w:val="22"/>
          <w:color w:val="auto"/>
        </w:rPr>
        <w:t>. German residents must report cross-border payments in excess of €12,500 on a monthly basis to the German Federal Bank (</w:t>
      </w:r>
      <w:r>
        <w:rPr>
          <w:rFonts w:ascii="Times New Roman" w:cs="Times New Roman" w:eastAsia="Times New Roman" w:hAnsi="Times New Roman"/>
          <w:sz w:val="22"/>
          <w:szCs w:val="22"/>
          <w:i w:val="1"/>
          <w:iCs w:val="1"/>
          <w:color w:val="auto"/>
        </w:rPr>
        <w:t>Bundesbank</w:t>
      </w:r>
      <w:r>
        <w:rPr>
          <w:rFonts w:ascii="Times New Roman" w:cs="Times New Roman" w:eastAsia="Times New Roman" w:hAnsi="Times New Roman"/>
          <w:sz w:val="22"/>
          <w:szCs w:val="22"/>
          <w:color w:val="auto"/>
        </w:rPr>
        <w:t>). In case of payments in connection with securities (including proceeds realized upon the sale of Shares), the report must be filed electronically by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month following the month in which the payment was received.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can be accessed via the Bundesbank’s website (</w:t>
      </w:r>
      <w:r>
        <w:rPr>
          <w:rFonts w:ascii="Times New Roman" w:cs="Times New Roman" w:eastAsia="Times New Roman" w:hAnsi="Times New Roman"/>
          <w:sz w:val="22"/>
          <w:szCs w:val="22"/>
          <w:u w:val="single" w:color="auto"/>
          <w:color w:val="0000FF"/>
        </w:rPr>
        <w:t>www.bundesbank.de</w:t>
      </w:r>
      <w:r>
        <w:rPr>
          <w:rFonts w:ascii="Times New Roman" w:cs="Times New Roman" w:eastAsia="Times New Roman" w:hAnsi="Times New Roman"/>
          <w:sz w:val="22"/>
          <w:szCs w:val="22"/>
          <w:color w:val="auto"/>
        </w:rPr>
        <w:t>) and is available in both German and English.</w:t>
      </w:r>
    </w:p>
    <w:p>
      <w:pPr>
        <w:spacing w:after="0" w:line="19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u w:val="single" w:color="auto"/>
          <w:color w:val="auto"/>
        </w:rPr>
        <w:t>Foreign Asset and Account Reporting Information</w:t>
      </w:r>
      <w:r>
        <w:rPr>
          <w:rFonts w:ascii="Times New Roman" w:cs="Times New Roman" w:eastAsia="Times New Roman" w:hAnsi="Times New Roman"/>
          <w:sz w:val="22"/>
          <w:szCs w:val="22"/>
          <w:color w:val="auto"/>
        </w:rPr>
        <w:t>. German residents holding Shares must notify their local tax office of the acquisition of Shares when they file their tax returns for the relevant year if the aggregate value of all Shares acquired exceeds €150,000, or in the unlikely event that the resident holds Shares exceeding 10% of the Company’s total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Notifications</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u w:val="single" w:color="auto"/>
          <w:color w:val="auto"/>
        </w:rPr>
        <w:t>Director Notification Requirement</w:t>
      </w:r>
      <w:r>
        <w:rPr>
          <w:rFonts w:ascii="Times New Roman" w:cs="Times New Roman" w:eastAsia="Times New Roman" w:hAnsi="Times New Roman"/>
          <w:sz w:val="22"/>
          <w:szCs w:val="22"/>
          <w:color w:val="auto"/>
        </w:rPr>
        <w:t>. If Participant is a director, shadow director or secretary of an Irish Subsidiary and has a 1% or more shareholding interest in the Company, he or she must notify the Irish Subsidiary in writing upon receiving or disposing of an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Restricted Stock Units,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#93423214v2</w:t>
      </w:r>
    </w:p>
    <w:p>
      <w:pPr>
        <w:sectPr>
          <w:pgSz w:w="11900" w:h="16838" w:orient="portrait"/>
          <w:cols w:equalWidth="0" w:num="1">
            <w:col w:w="11240"/>
          </w:cols>
          <w:pgMar w:left="320" w:top="342"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certify that:</w:t>
      </w:r>
    </w:p>
    <w:p>
      <w:pPr>
        <w:spacing w:after="0" w:line="225" w:lineRule="exact"/>
        <w:rPr>
          <w:sz w:val="20"/>
          <w:szCs w:val="20"/>
          <w:color w:val="auto"/>
        </w:rPr>
      </w:pPr>
    </w:p>
    <w:p>
      <w:pPr>
        <w:ind w:left="520" w:hanging="188"/>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5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5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c>
          <w:tcPr>
            <w:tcW w:w="0" w:type="dxa"/>
            <w:vAlign w:val="bottom"/>
          </w:tcPr>
          <w:p>
            <w:pPr>
              <w:spacing w:after="0"/>
              <w:rPr>
                <w:sz w:val="1"/>
                <w:szCs w:val="1"/>
                <w:color w:val="auto"/>
              </w:rPr>
            </w:pPr>
          </w:p>
        </w:tc>
      </w:tr>
      <w:tr>
        <w:trPr>
          <w:trHeight w:val="25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Burt W. Podbere,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CrowdStrike Holdings,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4"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CROWDSTRIKE HOLDINGS, INC.</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7"/>
        </w:trPr>
        <w:tc>
          <w:tcPr>
            <w:tcW w:w="84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7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92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Kurtz, the President and Chief Executive Officer of CrowdStrike Holdings, Inc., certify, pursuant to 18 U.S.C. Section 1350, as adopted pursuant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906 of the Sarbanes-Oxley Act of 2002, that the Quarterly Report on Form 10-Q of CrowdStrike Holdings, Inc. for the fiscal quarter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2020 fully complies with the requirements of Section 13(a) or 15(d) of the Securities Exchange Act of 1934 and that information contained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Report on Form 10-Q fairly presents, in all material respects, the financial condition and results of operations of CrowdStrike Holdings, Inc.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6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George Kurtz</w:t>
            </w:r>
          </w:p>
        </w:tc>
      </w:tr>
      <w:tr>
        <w:trPr>
          <w:trHeight w:val="27"/>
        </w:trPr>
        <w:tc>
          <w:tcPr>
            <w:tcW w:w="7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Kurtz</w:t>
            </w:r>
          </w:p>
        </w:tc>
      </w:tr>
      <w:tr>
        <w:trPr>
          <w:trHeight w:val="25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74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July 31, 2020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3, 2020</w:t>
      </w:r>
    </w:p>
    <w:p>
      <w:pPr>
        <w:spacing w:after="0" w:line="63"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Burt W. Podbere</w:t>
            </w:r>
          </w:p>
        </w:tc>
      </w:tr>
      <w:tr>
        <w:trPr>
          <w:trHeight w:val="27"/>
        </w:trPr>
        <w:tc>
          <w:tcPr>
            <w:tcW w:w="74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Burt W. Podbere</w:t>
            </w:r>
          </w:p>
        </w:tc>
      </w:tr>
      <w:tr>
        <w:trPr>
          <w:trHeight w:val="252"/>
        </w:trPr>
        <w:tc>
          <w:tcPr>
            <w:tcW w:w="7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Letter"/>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8"/>
    </w:lvl>
  </w:abstractNum>
  <w:abstractNum w:abstractNumId="8">
    <w:nsid w:val="8138641"/>
    <w:multiLevelType w:val="hybridMultilevel"/>
    <w:lvl w:ilvl="0">
      <w:lvlJc w:val="left"/>
      <w:lvlText w:val="%1."/>
      <w:numFmt w:val="decimal"/>
      <w:start w:val="9"/>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decimal"/>
      <w:start w:val="104"/>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lowerLetter"/>
      <w:start w:val="5"/>
    </w:lvl>
  </w:abstractNum>
  <w:abstractNum w:abstractNumId="40">
    <w:nsid w:val="4B588F54"/>
    <w:multiLevelType w:val="hybridMultilevel"/>
    <w:lvl w:ilvl="0">
      <w:lvlJc w:val="left"/>
      <w:lvlText w:val="%1."/>
      <w:numFmt w:val="lowerLetter"/>
      <w:start w:val="6"/>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lvl w:ilvl="1">
      <w:lvlJc w:val="left"/>
      <w:lvlText w:val="%2."/>
      <w:numFmt w:val="decimal"/>
      <w:start w:val="3"/>
    </w:lvl>
  </w:abstractNum>
  <w:abstractNum w:abstractNumId="43">
    <w:nsid w:val="38437FDB"/>
    <w:multiLevelType w:val="hybridMultilevel"/>
    <w:lvl w:ilvl="0">
      <w:lvlJc w:val="left"/>
      <w:lvlText w:val="%1."/>
      <w:numFmt w:val="lowerLetter"/>
      <w:start w:val="12"/>
    </w:lvl>
    <w:lvl w:ilvl="1">
      <w:lvlJc w:val="left"/>
      <w:lvlText w:val="%2"/>
      <w:numFmt w:val="decimal"/>
      <w:start w:val="1"/>
    </w:lvl>
  </w:abstractNum>
  <w:abstractNum w:abstractNumId="44">
    <w:nsid w:val="7644A45C"/>
    <w:multiLevelType w:val="hybridMultilevel"/>
    <w:lvl w:ilvl="0">
      <w:lvlJc w:val="left"/>
      <w:lvlText w:val="%1."/>
      <w:numFmt w:val="lowerLetter"/>
      <w:start w:val="13"/>
    </w:lvl>
  </w:abstractNum>
  <w:abstractNum w:abstractNumId="45">
    <w:nsid w:val="32FFF902"/>
    <w:multiLevelType w:val="hybridMultilevel"/>
    <w:lvl w:ilvl="0">
      <w:lvlJc w:val="left"/>
      <w:lvlText w:val="%1."/>
      <w:numFmt w:val="lowerLetter"/>
      <w:start w:val="14"/>
    </w:lvl>
  </w:abstractNum>
  <w:abstractNum w:abstractNumId="46">
    <w:nsid w:val="684A481A"/>
    <w:multiLevelType w:val="hybridMultilevel"/>
    <w:lvl w:ilvl="0">
      <w:lvlJc w:val="left"/>
      <w:lvlText w:val="%1."/>
      <w:numFmt w:val="lowerLetter"/>
      <w:start w:val="18"/>
    </w:lvl>
  </w:abstractNum>
  <w:abstractNum w:abstractNumId="47">
    <w:nsid w:val="579478FE"/>
    <w:multiLevelType w:val="hybridMultilevel"/>
    <w:lvl w:ilvl="0">
      <w:lvlJc w:val="left"/>
      <w:lvlText w:val="%1."/>
      <w:numFmt w:val="lowerLetter"/>
      <w:start w:val="24"/>
    </w:lvl>
  </w:abstractNum>
  <w:abstractNum w:abstractNumId="48">
    <w:nsid w:val="749ABB43"/>
    <w:multiLevelType w:val="hybridMultilevel"/>
    <w:lvl w:ilvl="0">
      <w:lvlJc w:val="left"/>
      <w:lvlText w:val="%1."/>
      <w:numFmt w:val="lowerLetter"/>
      <w:start w:val="27"/>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2020-09-03T15:11:45Z</dcterms:created>
  <dcterms:modified xsi:type="dcterms:W3CDTF">2020-09-03T15:11:45Z</dcterms:modified>
</cp:coreProperties>
</file>