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72026_080903.xml.htm"/>
      <w:bookmarkStart w:id="1" w:name="ksform409172026_0809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Watzinger Gerhard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7"/>
        <w:gridCol w:w="902"/>
        <w:gridCol w:w="773"/>
        <w:gridCol w:w="599"/>
        <w:gridCol w:w="344"/>
        <w:gridCol w:w="963"/>
        <w:gridCol w:w="442"/>
        <w:gridCol w:w="880"/>
        <w:gridCol w:w="1175"/>
        <w:gridCol w:w="982"/>
        <w:gridCol w:w="93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25,980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103,584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Clavius Capital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21,792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237.99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81,792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Clavius Capital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35,299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238.98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46,493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Clavius Capital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27,918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239.88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18,575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Clavius Capital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240.87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10,331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Clavius Capital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9,564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Clavius Capital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wife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Clavius AP,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34,116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(3)(10)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June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$235.79 to $236.75.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July 2, 2026, the Issuer executed a four-for-one stock split with a record date of June 25, 2026, effected in the form of a one-time special stock dividend on each share of the company's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Reporting Person disclaims beneficial ownership of the shares except to the extent of his pecuniary interest in such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$237.43 to $238.41.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$238.43 to $239.42.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$239.43 to $240.42.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$240.43 to $241.41.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$241.43 to $241.47.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Includes shares to be issued in connection with the vesting of one or more restricted stock units (&amp;quot;RSUs&amp;quot;).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45832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1136</Words>
  <Characters>6015</Characters>
  <CharactersWithSpaces>7018</CharactersWithSpaces>
  <Paragraphs>161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