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54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GANDHI SAMEER K</w:t>
              </w:r>
            </w:hyperlink>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6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206 E. 9TH ST., STE. 1400</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54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54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3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05/08/2026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5,510</w:t>
            </w:r>
            <w:r>
              <w:rPr>
                <w:rFonts w:ascii="Times New Roman" w:cs="Times New Roman" w:eastAsia="Times New Roman" w:hAnsi="Times New Roman"/>
                <w:sz w:val="22"/>
                <w:szCs w:val="22"/>
                <w:color w:val="008000"/>
                <w:w w:val="93"/>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525.44</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757,473</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05/08/2026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3,786</w:t>
            </w:r>
            <w:r>
              <w:rPr>
                <w:rFonts w:ascii="Times New Roman" w:cs="Times New Roman" w:eastAsia="Times New Roman" w:hAnsi="Times New Roman"/>
                <w:sz w:val="22"/>
                <w:szCs w:val="22"/>
                <w:color w:val="008000"/>
                <w:w w:val="93"/>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526.53</w:t>
            </w:r>
            <w:r>
              <w:rPr>
                <w:rFonts w:ascii="Times New Roman" w:cs="Times New Roman" w:eastAsia="Times New Roman" w:hAnsi="Times New Roman"/>
                <w:sz w:val="22"/>
                <w:szCs w:val="22"/>
                <w:color w:val="008000"/>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753,687</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05/08/2026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7,278</w:t>
            </w:r>
            <w:r>
              <w:rPr>
                <w:rFonts w:ascii="Times New Roman" w:cs="Times New Roman" w:eastAsia="Times New Roman" w:hAnsi="Times New Roman"/>
                <w:sz w:val="22"/>
                <w:szCs w:val="22"/>
                <w:color w:val="008000"/>
                <w:w w:val="93"/>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527.35</w:t>
            </w:r>
            <w:r>
              <w:rPr>
                <w:rFonts w:ascii="Times New Roman" w:cs="Times New Roman" w:eastAsia="Times New Roman" w:hAnsi="Times New Roman"/>
                <w:sz w:val="22"/>
                <w:szCs w:val="22"/>
                <w:color w:val="008000"/>
                <w:vertAlign w:val="superscript"/>
              </w:rPr>
              <w:t>(5)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746,409</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05/08/2026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953</w:t>
            </w:r>
            <w:r>
              <w:rPr>
                <w:rFonts w:ascii="Times New Roman" w:cs="Times New Roman" w:eastAsia="Times New Roman" w:hAnsi="Times New Roman"/>
                <w:sz w:val="22"/>
                <w:szCs w:val="22"/>
                <w:color w:val="008000"/>
                <w:w w:val="93"/>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528.17</w:t>
            </w:r>
            <w:r>
              <w:rPr>
                <w:rFonts w:ascii="Times New Roman" w:cs="Times New Roman" w:eastAsia="Times New Roman" w:hAnsi="Times New Roman"/>
                <w:sz w:val="22"/>
                <w:szCs w:val="22"/>
                <w:color w:val="008000"/>
                <w:vertAlign w:val="superscript"/>
              </w:rPr>
              <w:t>(6)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745,456</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29,189</w:t>
            </w:r>
            <w:r>
              <w:rPr>
                <w:rFonts w:ascii="Times New Roman" w:cs="Times New Roman" w:eastAsia="Times New Roman" w:hAnsi="Times New Roman"/>
                <w:sz w:val="22"/>
                <w:szCs w:val="22"/>
                <w:color w:val="008000"/>
                <w:w w:val="93"/>
                <w:vertAlign w:val="superscript"/>
              </w:rPr>
              <w:t>(7)</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dated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9/21/2001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29,868</w:t>
            </w:r>
            <w:r>
              <w:rPr>
                <w:rFonts w:ascii="Times New Roman" w:cs="Times New Roman" w:eastAsia="Times New Roman" w:hAnsi="Times New Roman"/>
                <w:sz w:val="22"/>
                <w:szCs w:val="22"/>
                <w:color w:val="008000"/>
                <w:w w:val="93"/>
                <w:vertAlign w:val="superscript"/>
              </w:rPr>
              <w:t>(8)</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2011</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3,483,559</w:t>
            </w:r>
            <w:r>
              <w:rPr>
                <w:rFonts w:ascii="Times New Roman" w:cs="Times New Roman" w:eastAsia="Times New Roman" w:hAnsi="Times New Roman"/>
                <w:sz w:val="22"/>
                <w:szCs w:val="22"/>
                <w:color w:val="008000"/>
                <w:w w:val="96"/>
                <w:vertAlign w:val="superscript"/>
              </w:rPr>
              <w:t>(9)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Leaders</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Leaders</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166,441</w:t>
            </w:r>
            <w:r>
              <w:rPr>
                <w:rFonts w:ascii="Times New Roman" w:cs="Times New Roman" w:eastAsia="Times New Roman" w:hAnsi="Times New Roman"/>
                <w:sz w:val="22"/>
                <w:szCs w:val="22"/>
                <w:color w:val="008000"/>
                <w:w w:val="95"/>
                <w:vertAlign w:val="superscript"/>
              </w:rPr>
              <w:t>(10)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2016</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55"/>
        </w:trPr>
        <w:tc>
          <w:tcPr>
            <w:tcW w:w="23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54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6104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610489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8,132</w:t>
            </w:r>
            <w:r>
              <w:rPr>
                <w:rFonts w:ascii="Times New Roman" w:cs="Times New Roman" w:eastAsia="Times New Roman" w:hAnsi="Times New Roman"/>
                <w:sz w:val="22"/>
                <w:szCs w:val="22"/>
                <w:color w:val="008000"/>
                <w:w w:val="89"/>
                <w:vertAlign w:val="superscript"/>
              </w:rPr>
              <w:t>(11)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Nonexempt</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dated</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10/31/2011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169,519</w:t>
            </w:r>
            <w:r>
              <w:rPr>
                <w:rFonts w:ascii="Times New Roman" w:cs="Times New Roman" w:eastAsia="Times New Roman" w:hAnsi="Times New Roman"/>
                <w:sz w:val="10"/>
                <w:szCs w:val="10"/>
                <w:color w:val="008000"/>
              </w:rPr>
              <w:t>(12)(13)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II L.P.</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12,281</w:t>
            </w:r>
            <w:r>
              <w:rPr>
                <w:rFonts w:ascii="Times New Roman" w:cs="Times New Roman" w:eastAsia="Times New Roman" w:hAnsi="Times New Roman"/>
                <w:sz w:val="22"/>
                <w:szCs w:val="22"/>
                <w:color w:val="008000"/>
                <w:w w:val="92"/>
                <w:vertAlign w:val="superscript"/>
              </w:rPr>
              <w:t>(14)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II</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060"/>
        <w:spacing w:after="0"/>
        <w:rPr>
          <w:sz w:val="20"/>
          <w:szCs w:val="20"/>
          <w:color w:val="auto"/>
        </w:rPr>
      </w:pPr>
      <w:r>
        <w:rPr>
          <w:rFonts w:ascii="Times New Roman" w:cs="Times New Roman" w:eastAsia="Times New Roman" w:hAnsi="Times New Roman"/>
          <w:sz w:val="17"/>
          <w:szCs w:val="17"/>
          <w:color w:val="0000FF"/>
        </w:rPr>
        <w:t>Partners</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L.P.</w:t>
      </w:r>
    </w:p>
    <w:p>
      <w:pPr>
        <w:spacing w:after="0" w:line="13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Growth</w:t>
      </w:r>
    </w:p>
    <w:p>
      <w:pPr>
        <w:spacing w:after="0" w:line="18" w:lineRule="exact"/>
        <w:rPr>
          <w:sz w:val="20"/>
          <w:szCs w:val="20"/>
          <w:color w:val="auto"/>
        </w:rPr>
      </w:pPr>
    </w:p>
    <w:p>
      <w:pPr>
        <w:ind w:left="8180" w:right="400" w:hanging="9966"/>
        <w:spacing w:after="0"/>
        <w:tabs>
          <w:tab w:leader="none" w:pos="816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18,200</w:t>
      </w:r>
      <w:r>
        <w:rPr>
          <w:rFonts w:ascii="Times New Roman" w:cs="Times New Roman" w:eastAsia="Times New Roman" w:hAnsi="Times New Roman"/>
          <w:sz w:val="22"/>
          <w:szCs w:val="22"/>
          <w:color w:val="008000"/>
          <w:vertAlign w:val="superscript"/>
        </w:rPr>
        <w:t>(15)</w:t>
      </w:r>
      <w:r>
        <w:rPr>
          <w:rFonts w:ascii="Times New Roman" w:cs="Times New Roman" w:eastAsia="Times New Roman" w:hAnsi="Times New Roman"/>
          <w:sz w:val="17"/>
          <w:szCs w:val="17"/>
          <w:color w:val="0000FF"/>
        </w:rPr>
        <w:t xml:space="preserve"> I </w:t>
      </w:r>
      <w:r>
        <w:rPr>
          <w:rFonts w:ascii="Times New Roman" w:cs="Times New Roman" w:eastAsia="Times New Roman" w:hAnsi="Times New Roman"/>
          <w:sz w:val="34"/>
          <w:szCs w:val="34"/>
          <w:color w:val="0000FF"/>
          <w:vertAlign w:val="superscript"/>
        </w:rPr>
        <w:t>Fund</w:t>
      </w:r>
      <w:r>
        <w:rPr>
          <w:rFonts w:ascii="Times New Roman" w:cs="Times New Roman" w:eastAsia="Times New Roman" w:hAnsi="Times New Roman"/>
          <w:sz w:val="17"/>
          <w:szCs w:val="17"/>
          <w:color w:val="0000FF"/>
        </w:rPr>
        <w:t xml:space="preserve"> Investors</w:t>
      </w:r>
    </w:p>
    <w:p>
      <w:pPr>
        <w:spacing w:after="0" w:line="42"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2013</w:t>
      </w:r>
    </w:p>
    <w:p>
      <w:pPr>
        <w:spacing w:after="0" w:line="11"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L.L.C.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7,580</w:t>
            </w:r>
            <w:r>
              <w:rPr>
                <w:rFonts w:ascii="Times New Roman" w:cs="Times New Roman" w:eastAsia="Times New Roman" w:hAnsi="Times New Roman"/>
                <w:sz w:val="22"/>
                <w:szCs w:val="22"/>
                <w:color w:val="008000"/>
                <w:vertAlign w:val="superscript"/>
              </w:rPr>
              <w:t>(16)</w:t>
            </w:r>
          </w:p>
        </w:tc>
        <w:tc>
          <w:tcPr>
            <w:tcW w:w="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ncludes shares sold pursuant to a 10b5-1 plan adopted on June 27, 2025.</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$525.01 to $525.99.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$526.00 to $526.97.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$527.00 to $527.92.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$528.01 to $528.52.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6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Trust, dated 9/21/2001,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p>
      <w:pPr>
        <w:spacing w:after="0" w:line="20" w:lineRule="exact"/>
        <w:rPr>
          <w:rFonts w:ascii="Times New Roman" w:cs="Times New Roman" w:eastAsia="Times New Roman" w:hAnsi="Times New Roman"/>
          <w:sz w:val="13"/>
          <w:szCs w:val="13"/>
          <w:color w:val="008000"/>
        </w:rPr>
      </w:pPr>
    </w:p>
    <w:p>
      <w:pPr>
        <w:jc w:val="both"/>
        <w:ind w:left="40" w:right="6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Irrevocable Trust,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L.P. Accel Leaders Fund Associates L.L.C. (&amp;quot;Accel Leaders Fund GP&amp;quot;) is the general partner of Accel Leaders Fund L.P. (the &amp;quot;Accel Leader Fund Entity&amp;quot;). Accel Leaders Fund GP has sole voting and dispositive power with regard to the shares held by the Accel Leaders Fund Entity. The Reporting Person is one of five Managing Members of Accel Leaders Fund GP, who share voting and dispositive powers over the shares held by the Accel Leaders Fund Entity. Each of such Managing Members, the Reporting Person and Accel Leaders Fund GP disclaims Section 16 beneficial ownership over the securities reported herein except to the extent of its pecuniary interest therein, if any, and this report shall not be deemed an admission that any such Managing Member, the Reporting Person or Accel Leaders Fund GP is the beneficial owner of such securities for Section 16 or any other purpose.</w:t>
      </w:r>
    </w:p>
    <w:p>
      <w:pPr>
        <w:spacing w:after="0" w:line="26" w:lineRule="exact"/>
        <w:rPr>
          <w:rFonts w:ascii="Times New Roman" w:cs="Times New Roman" w:eastAsia="Times New Roman" w:hAnsi="Times New Roman"/>
          <w:sz w:val="13"/>
          <w:szCs w:val="13"/>
          <w:color w:val="008000"/>
        </w:rPr>
      </w:pPr>
    </w:p>
    <w:p>
      <w:pPr>
        <w:jc w:val="center"/>
        <w:ind w:left="40" w:right="3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Investors 2016 L.L.C. The Reporting Person is one of five Managing Members of Accel Leaders Fund Investors 2016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Nonexempt Trust dated 10/31/2011,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L.P. Accel Growth Fund II Associates L.L.C. ("Accel Growth Fund II GP") is the general partner of each of Accel Growth Fund II L.P. and Accel Growth Fund II Strategic Partners L.P. (together, the "Accel Growth Fund II Entities"). Accel Growth Fund II GP has sole voting and dispositive power with regard to the shares held by the Accel Growth Fund II Entities. The Reporting Person is one of five Managing Members of Accel Growth Fund II GP, who share voting and dispositive powers over the shares held by the Accel Growth Fund II Entities (continued on Footnote 13).</w:t>
      </w:r>
    </w:p>
    <w:p>
      <w:pPr>
        <w:spacing w:after="0" w:line="24" w:lineRule="exact"/>
        <w:rPr>
          <w:rFonts w:ascii="Times New Roman" w:cs="Times New Roman" w:eastAsia="Times New Roman" w:hAnsi="Times New Roman"/>
          <w:sz w:val="13"/>
          <w:szCs w:val="13"/>
          <w:color w:val="008000"/>
        </w:rPr>
      </w:pPr>
    </w:p>
    <w:p>
      <w:pPr>
        <w:jc w:val="both"/>
        <w:ind w:left="40" w:right="42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12) Each of such Managing Members, the Reporting Person and Accel Growth Fund II GP disclaims Section 16 beneficial ownership over the securities reported herein except to the extent of its pecuniary interest therein, if any, and this report shall not be deemed an admission that any such Managing Member, the Reporting Person or Accel Growth Fund II GP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Strategic Partners L.P.</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one of five Managing Members of Accel Growth Fund Investors 2013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sectPr>
          <w:pgSz w:w="11900" w:h="16838" w:orient="portrait"/>
          <w:cols w:equalWidth="0" w:num="1">
            <w:col w:w="11080"/>
          </w:cols>
          <w:pgMar w:left="460" w:top="191" w:right="35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Remie Solano, Attorney-in- 05/11/2026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1326"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2026-05-11T19:31:19Z</dcterms:created>
  <dcterms:modified xsi:type="dcterms:W3CDTF">2026-05-11T19:31:19Z</dcterms:modified>
</cp:coreProperties>
</file>