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George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CROWDSTRIKE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206 E. 9TH ST., STE.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CrowdStrike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CRWD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2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225"/>
          </w:cols>
          <w:pgMar w:left="460" w:top="219" w:right="47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4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5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619.74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2,131,993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621.29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2,131,972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622.7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2,131,932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623.61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2,131,864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625.03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2,131,848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625.77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2,131,838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627.78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2,131,790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629.25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2,131,734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630.52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2,131,692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631.65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2,131,601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632.72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2,131,545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633.86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2,131,475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635.02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2,131,409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636.13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2,131,345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637.49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2,131,292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638.41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2,131,244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99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639.49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2,131,145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640.5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2,131,001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641.62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2,130,883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642.57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2,130,684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643.47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2,130,446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644.58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2,130,313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645.42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2,129,972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646.8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2,129,935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647.78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2,129,889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3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(27)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2,129,845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8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989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98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650.05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2,129,744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651.48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(29)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2,129,716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652.65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(30)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2,129,693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Kurtz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Dynasty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4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sold pursuant to a 10b-1 plan adopted on January 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$619.53 to $620.29.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to be issued in connection with the vesting of one or more restricted stock units (RSUs).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$622.32 to $623.11.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$623.36 to $623.98.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$624.55 to $625.29.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$625.71 to $625.86.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$627.51 to $627.92.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$628.70 to $629.50.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$630.25 to $631.18.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23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$631.30 to $632.23.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$632.38 to $633.08.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$633.52 to $634.17.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$634.65 to $635.63.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$635.67 to $636.63.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$636.96 to $637.90.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$637.96 to $638.80.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$638.96 to $639.92.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$639.98 to $640.97.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$640.98 to $641.96.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$642.04 to $643.03.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$643.07 to $644.05.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$644.10 to $645.08.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$645.14 to $646.10.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$646.27 to $647.21.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$647.30 to $648.18.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$648.52 to $649.48.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$649.57 to $650.54.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$651.00 to $651.96.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$652.00 to $652.97.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ectPr>
          <w:pgSz w:w="11900" w:h="16923" w:orient="portrait"/>
          <w:cols w:equalWidth="0" w:num="1">
            <w:col w:w="11080"/>
          </w:cols>
          <w:pgMar w:left="460" w:top="191" w:right="359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31. The Reporting Person disclaims beneficial ownership of these shares except to the extent of his pecuniary interest in such shares.</w:t>
      </w:r>
    </w:p>
    <w:p>
      <w:pPr>
        <w:ind w:left="654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Remie Solano,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5554980</wp:posOffset>
            </wp:positionH>
            <wp:positionV relativeFrom="paragraph">
              <wp:posOffset>-84455</wp:posOffset>
            </wp:positionV>
            <wp:extent cx="4972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53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8564" TargetMode="External"/><Relationship Id="rId14" Type="http://schemas.openxmlformats.org/officeDocument/2006/relationships/hyperlink" Target="http://www.sec.gov/cgi-bin/browse-edgar?action=getcompany&amp;CIK=00015355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2026-06-11T19:31:23Z</dcterms:created>
  <dcterms:modified xsi:type="dcterms:W3CDTF">2026-06-11T19:31:23Z</dcterms:modified>
</cp:coreProperties>
</file>