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31"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80"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July 31, 2022</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72"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transition period from to</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001-38933</w:t>
      </w:r>
    </w:p>
    <w:p>
      <w:pPr>
        <w:spacing w:after="0" w:line="2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CROWDSTRIKE HOLDINGS,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37" w:lineRule="exact"/>
        <w:rPr>
          <w:sz w:val="24"/>
          <w:szCs w:val="24"/>
          <w:color w:val="auto"/>
        </w:rPr>
      </w:pPr>
    </w:p>
    <w:tbl>
      <w:tblPr>
        <w:tblLayout w:type="fixed"/>
        <w:tblInd w:w="1060" w:type="dxa"/>
        <w:tblCellMar>
          <w:top w:w="0" w:type="dxa"/>
          <w:left w:w="0" w:type="dxa"/>
          <w:bottom w:w="0" w:type="dxa"/>
          <w:right w:w="0" w:type="dxa"/>
        </w:tblCellMar>
      </w:tblPr>
      <w:tr>
        <w:trPr>
          <w:trHeight w:val="210"/>
        </w:trPr>
        <w:tc>
          <w:tcPr>
            <w:tcW w:w="4680" w:type="dxa"/>
            <w:vAlign w:val="bottom"/>
          </w:tcPr>
          <w:p>
            <w:pPr>
              <w:jc w:val="center"/>
              <w:ind w:right="2659"/>
              <w:spacing w:after="0"/>
              <w:rPr>
                <w:sz w:val="20"/>
                <w:szCs w:val="20"/>
                <w:color w:val="auto"/>
              </w:rPr>
            </w:pPr>
            <w:r>
              <w:rPr>
                <w:rFonts w:ascii="Arial" w:cs="Arial" w:eastAsia="Arial" w:hAnsi="Arial"/>
                <w:sz w:val="16"/>
                <w:szCs w:val="16"/>
                <w:b w:val="1"/>
                <w:bCs w:val="1"/>
                <w:color w:val="auto"/>
                <w:w w:val="93"/>
              </w:rPr>
              <w:t>Delaware</w:t>
            </w:r>
          </w:p>
        </w:tc>
        <w:tc>
          <w:tcPr>
            <w:tcW w:w="4220" w:type="dxa"/>
            <w:vAlign w:val="bottom"/>
          </w:tcPr>
          <w:p>
            <w:pPr>
              <w:jc w:val="center"/>
              <w:ind w:left="2639"/>
              <w:spacing w:after="0"/>
              <w:rPr>
                <w:sz w:val="20"/>
                <w:szCs w:val="20"/>
                <w:color w:val="auto"/>
              </w:rPr>
            </w:pPr>
            <w:r>
              <w:rPr>
                <w:rFonts w:ascii="Arial" w:cs="Arial" w:eastAsia="Arial" w:hAnsi="Arial"/>
                <w:sz w:val="16"/>
                <w:szCs w:val="16"/>
                <w:b w:val="1"/>
                <w:bCs w:val="1"/>
                <w:color w:val="auto"/>
                <w:w w:val="91"/>
              </w:rPr>
              <w:t>45-3788918</w:t>
            </w:r>
          </w:p>
        </w:tc>
      </w:tr>
      <w:tr>
        <w:trPr>
          <w:trHeight w:val="172"/>
        </w:trPr>
        <w:tc>
          <w:tcPr>
            <w:tcW w:w="4680" w:type="dxa"/>
            <w:vAlign w:val="bottom"/>
          </w:tcPr>
          <w:p>
            <w:pPr>
              <w:jc w:val="center"/>
              <w:ind w:right="2719"/>
              <w:spacing w:after="0" w:line="171" w:lineRule="exact"/>
              <w:rPr>
                <w:sz w:val="20"/>
                <w:szCs w:val="20"/>
                <w:color w:val="auto"/>
              </w:rPr>
            </w:pPr>
            <w:r>
              <w:rPr>
                <w:rFonts w:ascii="Arial" w:cs="Arial" w:eastAsia="Arial" w:hAnsi="Arial"/>
                <w:sz w:val="16"/>
                <w:szCs w:val="16"/>
                <w:color w:val="auto"/>
                <w:w w:val="93"/>
              </w:rPr>
              <w:t>(State or other jurisdiction of</w:t>
            </w:r>
          </w:p>
        </w:tc>
        <w:tc>
          <w:tcPr>
            <w:tcW w:w="4220" w:type="dxa"/>
            <w:vAlign w:val="bottom"/>
          </w:tcPr>
          <w:p>
            <w:pPr>
              <w:jc w:val="center"/>
              <w:ind w:left="259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4680" w:type="dxa"/>
            <w:vAlign w:val="bottom"/>
          </w:tcPr>
          <w:p>
            <w:pPr>
              <w:jc w:val="center"/>
              <w:ind w:right="2659"/>
              <w:spacing w:after="0"/>
              <w:rPr>
                <w:sz w:val="20"/>
                <w:szCs w:val="20"/>
                <w:color w:val="auto"/>
              </w:rPr>
            </w:pPr>
            <w:r>
              <w:rPr>
                <w:rFonts w:ascii="Arial" w:cs="Arial" w:eastAsia="Arial" w:hAnsi="Arial"/>
                <w:sz w:val="16"/>
                <w:szCs w:val="16"/>
                <w:color w:val="auto"/>
                <w:w w:val="93"/>
              </w:rPr>
              <w:t>incorporation or organization)</w:t>
            </w:r>
          </w:p>
        </w:tc>
        <w:tc>
          <w:tcPr>
            <w:tcW w:w="4220" w:type="dxa"/>
            <w:vAlign w:val="bottom"/>
          </w:tcPr>
          <w:p>
            <w:pPr>
              <w:jc w:val="center"/>
              <w:ind w:left="2639"/>
              <w:spacing w:after="0"/>
              <w:rPr>
                <w:sz w:val="20"/>
                <w:szCs w:val="20"/>
                <w:color w:val="auto"/>
              </w:rPr>
            </w:pPr>
            <w:r>
              <w:rPr>
                <w:rFonts w:ascii="Arial" w:cs="Arial" w:eastAsia="Arial" w:hAnsi="Arial"/>
                <w:sz w:val="16"/>
                <w:szCs w:val="16"/>
                <w:color w:val="auto"/>
                <w:w w:val="95"/>
              </w:rPr>
              <w:t>Identification Number)</w:t>
            </w:r>
          </w:p>
        </w:tc>
      </w:tr>
    </w:tbl>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 E. 9th Street, Suite 1400, Austin, Texas 78701</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p>
    <w:p>
      <w:pPr>
        <w:ind w:left="29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(888) 512-8906</w:t>
      </w:r>
    </w:p>
    <w:p>
      <w:pPr>
        <w:spacing w:after="0" w:line="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Title of each class</w:t>
            </w:r>
          </w:p>
        </w:tc>
        <w:tc>
          <w:tcPr>
            <w:tcW w:w="37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3"/>
              </w:rPr>
              <w:t>Trading symbol(s)</w:t>
            </w:r>
          </w:p>
        </w:tc>
        <w:tc>
          <w:tcPr>
            <w:tcW w:w="37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Class A common stock, par value $0.0005 per share</w:t>
            </w:r>
          </w:p>
        </w:tc>
        <w:tc>
          <w:tcPr>
            <w:tcW w:w="1260" w:type="dxa"/>
            <w:vAlign w:val="bottom"/>
          </w:tcPr>
          <w:p>
            <w:pPr>
              <w:spacing w:after="0"/>
              <w:rPr>
                <w:sz w:val="17"/>
                <w:szCs w:val="17"/>
                <w:color w:val="auto"/>
              </w:rPr>
            </w:pPr>
          </w:p>
        </w:tc>
        <w:tc>
          <w:tcPr>
            <w:tcW w:w="2480" w:type="dxa"/>
            <w:vAlign w:val="bottom"/>
            <w:tcBorders>
              <w:right w:val="single" w:sz="8" w:color="auto"/>
            </w:tcBorders>
            <w:gridSpan w:val="2"/>
          </w:tcPr>
          <w:p>
            <w:pPr>
              <w:jc w:val="center"/>
              <w:ind w:right="1280"/>
              <w:spacing w:after="0"/>
              <w:rPr>
                <w:sz w:val="20"/>
                <w:szCs w:val="20"/>
                <w:color w:val="auto"/>
              </w:rPr>
            </w:pPr>
            <w:r>
              <w:rPr>
                <w:rFonts w:ascii="Arial" w:cs="Arial" w:eastAsia="Arial" w:hAnsi="Arial"/>
                <w:sz w:val="16"/>
                <w:szCs w:val="16"/>
                <w:color w:val="auto"/>
                <w:w w:val="96"/>
              </w:rPr>
              <w:t>CRWD</w:t>
            </w:r>
          </w:p>
        </w:tc>
        <w:tc>
          <w:tcPr>
            <w:tcW w:w="440" w:type="dxa"/>
            <w:vAlign w:val="bottom"/>
          </w:tcPr>
          <w:p>
            <w:pPr>
              <w:spacing w:after="0"/>
              <w:rPr>
                <w:sz w:val="17"/>
                <w:szCs w:val="17"/>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94"/>
              </w:rPr>
              <w:t>The Nasdaq Stock Market LLC</w:t>
            </w:r>
          </w:p>
        </w:tc>
      </w:tr>
      <w:tr>
        <w:trPr>
          <w:trHeight w:val="243"/>
        </w:trPr>
        <w:tc>
          <w:tcPr>
            <w:tcW w:w="130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92"/>
              </w:rPr>
              <w:t>(Nasdaq Global Select Market)</w:t>
            </w:r>
          </w:p>
        </w:tc>
      </w:tr>
      <w:tr>
        <w:trPr>
          <w:trHeight w:val="46"/>
        </w:trPr>
        <w:tc>
          <w:tcPr>
            <w:tcW w:w="13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bl>
    <w:p>
      <w:pPr>
        <w:spacing w:after="0" w:line="382" w:lineRule="exact"/>
        <w:rPr>
          <w:sz w:val="24"/>
          <w:szCs w:val="24"/>
          <w:color w:val="auto"/>
        </w:rPr>
      </w:pPr>
    </w:p>
    <w:p>
      <w:pPr>
        <w:jc w:val="both"/>
        <w:ind w:right="300" w:firstLine="648"/>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ind w:right="80" w:firstLine="648"/>
        <w:spacing w:after="0" w:line="22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ind w:right="120" w:firstLine="648"/>
        <w:spacing w:after="0" w:line="255" w:lineRule="auto"/>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7"/>
          <w:szCs w:val="17"/>
          <w:color w:val="auto"/>
        </w:rPr>
        <w:t>“</w:t>
      </w:r>
      <w:r>
        <w:rPr>
          <w:rFonts w:ascii="Arial" w:cs="Arial" w:eastAsia="Arial" w:hAnsi="Arial"/>
          <w:sz w:val="16"/>
          <w:szCs w:val="16"/>
          <w:color w:val="auto"/>
        </w:rPr>
        <w:t>large accelerated filer,</w:t>
      </w:r>
      <w:r>
        <w:rPr>
          <w:rFonts w:ascii="Arial" w:cs="Arial" w:eastAsia="Arial" w:hAnsi="Arial"/>
          <w:sz w:val="17"/>
          <w:szCs w:val="17"/>
          <w:color w:val="auto"/>
        </w:rPr>
        <w:t>” “</w:t>
      </w:r>
      <w:r>
        <w:rPr>
          <w:rFonts w:ascii="Arial" w:cs="Arial" w:eastAsia="Arial" w:hAnsi="Arial"/>
          <w:sz w:val="16"/>
          <w:szCs w:val="16"/>
          <w:color w:val="auto"/>
        </w:rPr>
        <w:t>accelerated filer,</w:t>
      </w:r>
      <w:r>
        <w:rPr>
          <w:rFonts w:ascii="Arial" w:cs="Arial" w:eastAsia="Arial" w:hAnsi="Arial"/>
          <w:sz w:val="17"/>
          <w:szCs w:val="17"/>
          <w:color w:val="auto"/>
        </w:rPr>
        <w:t>” “</w:t>
      </w:r>
      <w:r>
        <w:rPr>
          <w:rFonts w:ascii="Arial" w:cs="Arial" w:eastAsia="Arial" w:hAnsi="Arial"/>
          <w:sz w:val="16"/>
          <w:szCs w:val="16"/>
          <w:color w:val="auto"/>
        </w:rPr>
        <w:t>smaller reporting company</w:t>
      </w:r>
      <w:r>
        <w:rPr>
          <w:rFonts w:ascii="Arial" w:cs="Arial" w:eastAsia="Arial" w:hAnsi="Arial"/>
          <w:sz w:val="17"/>
          <w:szCs w:val="17"/>
          <w:color w:val="auto"/>
        </w:rPr>
        <w:t>”</w:t>
      </w:r>
      <w:r>
        <w:rPr>
          <w:rFonts w:ascii="Arial" w:cs="Arial" w:eastAsia="Arial" w:hAnsi="Arial"/>
          <w:sz w:val="16"/>
          <w:szCs w:val="16"/>
          <w:color w:val="auto"/>
        </w:rPr>
        <w:t xml:space="preserve"> and </w:t>
      </w:r>
      <w:r>
        <w:rPr>
          <w:rFonts w:ascii="Arial" w:cs="Arial" w:eastAsia="Arial" w:hAnsi="Arial"/>
          <w:sz w:val="17"/>
          <w:szCs w:val="17"/>
          <w:color w:val="auto"/>
        </w:rPr>
        <w:t>“</w:t>
      </w:r>
      <w:r>
        <w:rPr>
          <w:rFonts w:ascii="Arial" w:cs="Arial" w:eastAsia="Arial" w:hAnsi="Arial"/>
          <w:sz w:val="16"/>
          <w:szCs w:val="16"/>
          <w:color w:val="auto"/>
        </w:rPr>
        <w:t>emerging growth company</w:t>
      </w:r>
      <w:r>
        <w:rPr>
          <w:rFonts w:ascii="Arial" w:cs="Arial" w:eastAsia="Arial" w:hAnsi="Arial"/>
          <w:sz w:val="17"/>
          <w:szCs w:val="17"/>
          <w:color w:val="auto"/>
        </w:rPr>
        <w:t>”</w:t>
      </w:r>
      <w:r>
        <w:rPr>
          <w:rFonts w:ascii="Arial" w:cs="Arial" w:eastAsia="Arial" w:hAnsi="Arial"/>
          <w:sz w:val="16"/>
          <w:szCs w:val="16"/>
          <w:color w:val="auto"/>
        </w:rPr>
        <w:t xml:space="preserve"> in Rule 12b-2 of the Exchange Act.</w:t>
      </w:r>
    </w:p>
    <w:tbl>
      <w:tblPr>
        <w:tblLayout w:type="fixed"/>
        <w:tblInd w:w="1140" w:type="dxa"/>
        <w:tblCellMar>
          <w:top w:w="0" w:type="dxa"/>
          <w:left w:w="0" w:type="dxa"/>
          <w:bottom w:w="0" w:type="dxa"/>
          <w:right w:w="0" w:type="dxa"/>
        </w:tblCellMar>
      </w:tblPr>
      <w:tr>
        <w:trPr>
          <w:trHeight w:val="243"/>
        </w:trPr>
        <w:tc>
          <w:tcPr>
            <w:tcW w:w="3580" w:type="dxa"/>
            <w:vAlign w:val="bottom"/>
          </w:tcPr>
          <w:p>
            <w:pPr>
              <w:jc w:val="center"/>
              <w:ind w:right="499"/>
              <w:spacing w:after="0"/>
              <w:rPr>
                <w:sz w:val="20"/>
                <w:szCs w:val="20"/>
                <w:color w:val="auto"/>
              </w:rPr>
            </w:pPr>
            <w:r>
              <w:rPr>
                <w:rFonts w:ascii="Arial" w:cs="Arial" w:eastAsia="Arial" w:hAnsi="Arial"/>
                <w:sz w:val="16"/>
                <w:szCs w:val="16"/>
                <w:color w:val="auto"/>
                <w:w w:val="91"/>
              </w:rPr>
              <w:t>Large Accelerated Filer</w:t>
            </w:r>
          </w:p>
        </w:tc>
        <w:tc>
          <w:tcPr>
            <w:tcW w:w="16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3580" w:type="dxa"/>
            <w:vAlign w:val="bottom"/>
          </w:tcPr>
          <w:p>
            <w:pPr>
              <w:jc w:val="center"/>
              <w:ind w:right="499"/>
              <w:spacing w:after="0"/>
              <w:rPr>
                <w:sz w:val="20"/>
                <w:szCs w:val="20"/>
                <w:color w:val="auto"/>
              </w:rPr>
            </w:pPr>
            <w:r>
              <w:rPr>
                <w:rFonts w:ascii="Arial" w:cs="Arial" w:eastAsia="Arial" w:hAnsi="Arial"/>
                <w:sz w:val="16"/>
                <w:szCs w:val="16"/>
                <w:color w:val="auto"/>
                <w:w w:val="91"/>
              </w:rPr>
              <w:t>Non-accelerated Filer</w:t>
            </w:r>
          </w:p>
        </w:tc>
        <w:tc>
          <w:tcPr>
            <w:tcW w:w="16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3580" w:type="dxa"/>
            <w:vAlign w:val="bottom"/>
          </w:tcPr>
          <w:p>
            <w:pPr>
              <w:jc w:val="center"/>
              <w:ind w:right="499"/>
              <w:spacing w:after="0"/>
              <w:rPr>
                <w:sz w:val="20"/>
                <w:szCs w:val="20"/>
                <w:color w:val="auto"/>
              </w:rPr>
            </w:pPr>
            <w:r>
              <w:rPr>
                <w:rFonts w:ascii="Arial" w:cs="Arial" w:eastAsia="Arial" w:hAnsi="Arial"/>
                <w:sz w:val="16"/>
                <w:szCs w:val="16"/>
                <w:color w:val="auto"/>
                <w:w w:val="92"/>
              </w:rPr>
              <w:t>(Do not check if a smaller reporting company)</w:t>
            </w:r>
          </w:p>
        </w:tc>
        <w:tc>
          <w:tcPr>
            <w:tcW w:w="16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5" w:lineRule="exact"/>
        <w:rPr>
          <w:sz w:val="24"/>
          <w:szCs w:val="24"/>
          <w:color w:val="auto"/>
        </w:rPr>
      </w:pPr>
    </w:p>
    <w:p>
      <w:pPr>
        <w:ind w:right="460" w:firstLine="648"/>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660"/>
        <w:spacing w:after="0" w:line="189" w:lineRule="exact"/>
        <w:tabs>
          <w:tab w:leader="none" w:pos="8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No</w:t>
      </w:r>
      <w:r>
        <w:rPr>
          <w:rFonts w:ascii="MS PGothic" w:cs="MS PGothic" w:eastAsia="MS PGothic" w:hAnsi="MS PGothic"/>
          <w:sz w:val="18"/>
          <w:szCs w:val="18"/>
          <w:color w:val="auto"/>
        </w:rPr>
        <w:t xml:space="preserve">  ☑</w:t>
      </w:r>
    </w:p>
    <w:p>
      <w:pPr>
        <w:spacing w:after="0" w:line="159" w:lineRule="exact"/>
        <w:rPr>
          <w:sz w:val="24"/>
          <w:szCs w:val="24"/>
          <w:color w:val="auto"/>
        </w:rPr>
      </w:pPr>
    </w:p>
    <w:p>
      <w:pPr>
        <w:ind w:right="180" w:firstLine="648"/>
        <w:spacing w:after="0" w:line="275" w:lineRule="auto"/>
        <w:rPr>
          <w:sz w:val="20"/>
          <w:szCs w:val="20"/>
          <w:color w:val="auto"/>
        </w:rPr>
      </w:pPr>
      <w:r>
        <w:rPr>
          <w:rFonts w:ascii="Arial" w:cs="Arial" w:eastAsia="Arial" w:hAnsi="Arial"/>
          <w:sz w:val="16"/>
          <w:szCs w:val="16"/>
          <w:color w:val="auto"/>
        </w:rPr>
        <w:t>As of August 19, 2022, the number of shares of the registrant’s Class A common stock outstanding was 214,833,517, and the number of shares of the registrant’s Class B common stock outstanding was 18,546,987.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ind w:left="240"/>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80" w:type="dxa"/>
            <w:vAlign w:val="bottom"/>
            <w:gridSpan w:val="12"/>
          </w:tcPr>
          <w:p>
            <w:pPr>
              <w:jc w:val="center"/>
              <w:ind w:right="3180"/>
              <w:spacing w:after="0"/>
              <w:rPr>
                <w:sz w:val="20"/>
                <w:szCs w:val="20"/>
                <w:color w:val="auto"/>
              </w:rPr>
            </w:pPr>
            <w:r>
              <w:rPr>
                <w:rFonts w:ascii="Arial" w:cs="Arial" w:eastAsia="Arial" w:hAnsi="Arial"/>
                <w:sz w:val="18"/>
                <w:szCs w:val="18"/>
                <w:color w:val="0000FF"/>
                <w:w w:val="98"/>
              </w:rPr>
              <w:t>PART I. FINANCIAL INFORMATION</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1.</w:t>
            </w:r>
          </w:p>
        </w:tc>
        <w:tc>
          <w:tcPr>
            <w:tcW w:w="440" w:type="dxa"/>
            <w:vAlign w:val="bottom"/>
            <w:gridSpan w:val="2"/>
            <w:shd w:val="clear" w:color="auto" w:fill="CCEEFF"/>
          </w:tcPr>
          <w:p>
            <w:pPr>
              <w:spacing w:after="0"/>
              <w:rPr>
                <w:sz w:val="16"/>
                <w:szCs w:val="16"/>
                <w:color w:val="auto"/>
              </w:rPr>
            </w:pPr>
          </w:p>
        </w:tc>
        <w:tc>
          <w:tcPr>
            <w:tcW w:w="926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(unaudited)</w:t>
            </w: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60" w:type="dxa"/>
            <w:vAlign w:val="bottom"/>
            <w:gridSpan w:val="22"/>
          </w:tcPr>
          <w:p>
            <w:pPr>
              <w:spacing w:after="0" w:line="189" w:lineRule="exact"/>
              <w:rPr>
                <w:sz w:val="20"/>
                <w:szCs w:val="20"/>
                <w:color w:val="auto"/>
              </w:rPr>
            </w:pPr>
            <w:r>
              <w:rPr>
                <w:rFonts w:ascii="Arial" w:cs="Arial" w:eastAsia="Arial" w:hAnsi="Arial"/>
                <w:sz w:val="18"/>
                <w:szCs w:val="18"/>
                <w:color w:val="0000FF"/>
              </w:rPr>
              <w:t>Condensed Consolidated Balance Sheets as of July 31, 2022 and January 31, 2022</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0000FF"/>
            </w:tcBorders>
            <w:gridSpan w:val="20"/>
            <w:shd w:val="clear" w:color="auto" w:fill="CCEEFF"/>
          </w:tcPr>
          <w:p>
            <w:pPr>
              <w:spacing w:after="0" w:line="189" w:lineRule="exact"/>
              <w:rPr>
                <w:sz w:val="20"/>
                <w:szCs w:val="20"/>
                <w:color w:val="auto"/>
              </w:rPr>
            </w:pPr>
            <w:r>
              <w:rPr>
                <w:rFonts w:ascii="Arial" w:cs="Arial" w:eastAsia="Arial" w:hAnsi="Arial"/>
                <w:sz w:val="18"/>
                <w:szCs w:val="18"/>
                <w:color w:val="0000FF"/>
                <w:w w:val="89"/>
              </w:rPr>
              <w:t>Condensed Consolidated Statements of Operations for the Three and Six Months Ended July 31, 2022 and July 31, 2021</w:t>
            </w:r>
          </w:p>
        </w:tc>
        <w:tc>
          <w:tcPr>
            <w:tcW w:w="580" w:type="dxa"/>
            <w:vAlign w:val="bottom"/>
            <w:tcBorders>
              <w:bottom w:val="single" w:sz="8" w:color="CCEEFF"/>
            </w:tcBorders>
            <w:gridSpan w:val="2"/>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60" w:type="dxa"/>
            <w:vAlign w:val="bottom"/>
            <w:gridSpan w:val="22"/>
          </w:tcPr>
          <w:p>
            <w:pPr>
              <w:spacing w:after="0" w:line="189" w:lineRule="exact"/>
              <w:rPr>
                <w:sz w:val="20"/>
                <w:szCs w:val="20"/>
                <w:color w:val="auto"/>
              </w:rPr>
            </w:pPr>
            <w:r>
              <w:rPr>
                <w:rFonts w:ascii="Arial" w:cs="Arial" w:eastAsia="Arial" w:hAnsi="Arial"/>
                <w:sz w:val="18"/>
                <w:szCs w:val="18"/>
                <w:color w:val="0000FF"/>
                <w:w w:val="92"/>
              </w:rPr>
              <w:t>Condensed Consolidated Statements of Comprehensive Loss for the Three and Six Months Ended July 31, 2022 and July 31,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2021</w:t>
            </w: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6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w w:val="92"/>
              </w:rPr>
              <w:t>Condensed Consolidated Statements of Stockholders’ Equity for the Three and Six Months Ended July 31. 2022 and July 31,</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0000FF"/>
            </w:tcBorders>
            <w:gridSpan w:val="2"/>
            <w:shd w:val="clear" w:color="auto" w:fill="CCEEFF"/>
          </w:tcPr>
          <w:p>
            <w:pPr>
              <w:spacing w:after="0" w:line="169" w:lineRule="exact"/>
              <w:rPr>
                <w:sz w:val="20"/>
                <w:szCs w:val="20"/>
                <w:color w:val="auto"/>
              </w:rPr>
            </w:pPr>
            <w:r>
              <w:rPr>
                <w:rFonts w:ascii="Arial" w:cs="Arial" w:eastAsia="Arial" w:hAnsi="Arial"/>
                <w:sz w:val="18"/>
                <w:szCs w:val="18"/>
                <w:color w:val="0000FF"/>
              </w:rPr>
              <w:t>2021</w:t>
            </w:r>
          </w:p>
        </w:tc>
        <w:tc>
          <w:tcPr>
            <w:tcW w:w="1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40" w:type="dxa"/>
            <w:vAlign w:val="bottom"/>
            <w:tcBorders>
              <w:top w:val="single" w:sz="8" w:color="0000FF"/>
            </w:tcBorders>
            <w:shd w:val="clear" w:color="auto" w:fill="CCEEFF"/>
          </w:tcPr>
          <w:p>
            <w:pPr>
              <w:spacing w:after="0"/>
              <w:rPr>
                <w:sz w:val="14"/>
                <w:szCs w:val="14"/>
                <w:color w:val="auto"/>
              </w:rPr>
            </w:pPr>
          </w:p>
        </w:tc>
        <w:tc>
          <w:tcPr>
            <w:tcW w:w="5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4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1500" w:type="dxa"/>
            <w:vAlign w:val="bottom"/>
            <w:tcBorders>
              <w:top w:val="single" w:sz="8" w:color="0000FF"/>
            </w:tcBorders>
            <w:shd w:val="clear" w:color="auto" w:fill="CCEEFF"/>
          </w:tcPr>
          <w:p>
            <w:pPr>
              <w:spacing w:after="0"/>
              <w:rPr>
                <w:sz w:val="14"/>
                <w:szCs w:val="14"/>
                <w:color w:val="auto"/>
              </w:rPr>
            </w:pPr>
          </w:p>
        </w:tc>
        <w:tc>
          <w:tcPr>
            <w:tcW w:w="72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60" w:type="dxa"/>
            <w:vAlign w:val="bottom"/>
            <w:gridSpan w:val="22"/>
          </w:tcPr>
          <w:p>
            <w:pPr>
              <w:spacing w:after="0" w:line="189" w:lineRule="exact"/>
              <w:rPr>
                <w:sz w:val="20"/>
                <w:szCs w:val="20"/>
                <w:color w:val="auto"/>
              </w:rPr>
            </w:pPr>
            <w:r>
              <w:rPr>
                <w:rFonts w:ascii="Arial" w:cs="Arial" w:eastAsia="Arial" w:hAnsi="Arial"/>
                <w:sz w:val="18"/>
                <w:szCs w:val="18"/>
                <w:color w:val="0000FF"/>
              </w:rPr>
              <w:t>Condensed Consolidated Statements of Cash Flows for the Six Months Ended July 31, 2022 and July 31, 2021</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0000FF"/>
            </w:tcBorders>
            <w:gridSpan w:val="12"/>
            <w:shd w:val="clear" w:color="auto" w:fill="CCEEFF"/>
          </w:tcPr>
          <w:p>
            <w:pPr>
              <w:spacing w:after="0" w:line="189" w:lineRule="exact"/>
              <w:rPr>
                <w:sz w:val="20"/>
                <w:szCs w:val="20"/>
                <w:color w:val="auto"/>
              </w:rPr>
            </w:pPr>
            <w:r>
              <w:rPr>
                <w:rFonts w:ascii="Arial" w:cs="Arial" w:eastAsia="Arial" w:hAnsi="Arial"/>
                <w:sz w:val="18"/>
                <w:szCs w:val="18"/>
                <w:color w:val="0000FF"/>
                <w:w w:val="88"/>
              </w:rPr>
              <w:t>Notes to Condensed Consolidated Financial Statements</w:t>
            </w:r>
          </w:p>
        </w:tc>
        <w:tc>
          <w:tcPr>
            <w:tcW w:w="5260" w:type="dxa"/>
            <w:vAlign w:val="bottom"/>
            <w:tcBorders>
              <w:bottom w:val="single" w:sz="8" w:color="CCEEFF"/>
            </w:tcBorders>
            <w:gridSpan w:val="10"/>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Arial" w:cs="Arial" w:eastAsia="Arial" w:hAnsi="Arial"/>
                <w:sz w:val="18"/>
                <w:szCs w:val="18"/>
                <w:color w:val="0000FF"/>
              </w:rPr>
              <w:t>Item 2.</w:t>
            </w:r>
          </w:p>
        </w:tc>
        <w:tc>
          <w:tcPr>
            <w:tcW w:w="9260" w:type="dxa"/>
            <w:vAlign w:val="bottom"/>
            <w:gridSpan w:val="22"/>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0"/>
              </w:rPr>
              <w:t>Item 3.</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432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1"/>
              </w:rPr>
              <w:t>Quantitative and Qualitative Disclosures about Market Risk</w:t>
            </w:r>
          </w:p>
        </w:tc>
        <w:tc>
          <w:tcPr>
            <w:tcW w:w="4940" w:type="dxa"/>
            <w:vAlign w:val="bottom"/>
            <w:tcBorders>
              <w:bottom w:val="single" w:sz="8" w:color="CCEEFF"/>
            </w:tcBorders>
            <w:gridSpan w:val="9"/>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Arial" w:cs="Arial" w:eastAsia="Arial" w:hAnsi="Arial"/>
                <w:sz w:val="18"/>
                <w:szCs w:val="18"/>
                <w:color w:val="0000FF"/>
              </w:rPr>
              <w:t>Item 4.</w:t>
            </w:r>
          </w:p>
        </w:tc>
        <w:tc>
          <w:tcPr>
            <w:tcW w:w="9260" w:type="dxa"/>
            <w:vAlign w:val="bottom"/>
            <w:gridSpan w:val="22"/>
          </w:tcPr>
          <w:p>
            <w:pPr>
              <w:spacing w:after="0" w:line="189" w:lineRule="exact"/>
              <w:rPr>
                <w:sz w:val="20"/>
                <w:szCs w:val="20"/>
                <w:color w:val="auto"/>
              </w:rPr>
            </w:pPr>
            <w:r>
              <w:rPr>
                <w:rFonts w:ascii="Arial" w:cs="Arial" w:eastAsia="Arial" w:hAnsi="Arial"/>
                <w:sz w:val="18"/>
                <w:szCs w:val="18"/>
                <w:color w:val="0000FF"/>
              </w:rPr>
              <w:t>Controls and Procedures</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80" w:type="dxa"/>
            <w:vAlign w:val="bottom"/>
            <w:gridSpan w:val="12"/>
          </w:tcPr>
          <w:p>
            <w:pPr>
              <w:jc w:val="center"/>
              <w:ind w:right="3180"/>
              <w:spacing w:after="0" w:line="189" w:lineRule="exact"/>
              <w:rPr>
                <w:sz w:val="20"/>
                <w:szCs w:val="20"/>
                <w:color w:val="auto"/>
              </w:rPr>
            </w:pPr>
            <w:r>
              <w:rPr>
                <w:rFonts w:ascii="Arial" w:cs="Arial" w:eastAsia="Arial" w:hAnsi="Arial"/>
                <w:sz w:val="18"/>
                <w:szCs w:val="18"/>
                <w:color w:val="0000FF"/>
                <w:w w:val="96"/>
              </w:rPr>
              <w:t>PART II. OTHER INFORMATION</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Arial" w:cs="Arial" w:eastAsia="Arial" w:hAnsi="Arial"/>
                <w:sz w:val="18"/>
                <w:szCs w:val="18"/>
                <w:color w:val="0000FF"/>
              </w:rPr>
              <w:t>Item 1.</w:t>
            </w:r>
          </w:p>
        </w:tc>
        <w:tc>
          <w:tcPr>
            <w:tcW w:w="9260" w:type="dxa"/>
            <w:vAlign w:val="bottom"/>
            <w:gridSpan w:val="22"/>
          </w:tcPr>
          <w:p>
            <w:pPr>
              <w:spacing w:after="0" w:line="189" w:lineRule="exact"/>
              <w:rPr>
                <w:sz w:val="20"/>
                <w:szCs w:val="20"/>
                <w:color w:val="auto"/>
              </w:rPr>
            </w:pPr>
            <w:r>
              <w:rPr>
                <w:rFonts w:ascii="Arial" w:cs="Arial" w:eastAsia="Arial" w:hAnsi="Arial"/>
                <w:sz w:val="18"/>
                <w:szCs w:val="18"/>
                <w:color w:val="0000FF"/>
              </w:rPr>
              <w:t>Legal Proceedings</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1A.</w:t>
            </w:r>
          </w:p>
        </w:tc>
        <w:tc>
          <w:tcPr>
            <w:tcW w:w="926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Arial" w:cs="Arial" w:eastAsia="Arial" w:hAnsi="Arial"/>
                <w:sz w:val="18"/>
                <w:szCs w:val="18"/>
                <w:color w:val="0000FF"/>
              </w:rPr>
              <w:t>Item 2.</w:t>
            </w:r>
          </w:p>
        </w:tc>
        <w:tc>
          <w:tcPr>
            <w:tcW w:w="320" w:type="dxa"/>
            <w:vAlign w:val="bottom"/>
          </w:tcPr>
          <w:p>
            <w:pPr>
              <w:spacing w:after="0"/>
              <w:rPr>
                <w:sz w:val="16"/>
                <w:szCs w:val="16"/>
                <w:color w:val="auto"/>
              </w:rPr>
            </w:pPr>
          </w:p>
        </w:tc>
        <w:tc>
          <w:tcPr>
            <w:tcW w:w="9260" w:type="dxa"/>
            <w:vAlign w:val="bottom"/>
            <w:gridSpan w:val="22"/>
          </w:tcPr>
          <w:p>
            <w:pPr>
              <w:spacing w:after="0" w:line="189" w:lineRule="exact"/>
              <w:rPr>
                <w:sz w:val="20"/>
                <w:szCs w:val="20"/>
                <w:color w:val="auto"/>
              </w:rPr>
            </w:pPr>
            <w:r>
              <w:rPr>
                <w:rFonts w:ascii="Arial" w:cs="Arial" w:eastAsia="Arial" w:hAnsi="Arial"/>
                <w:sz w:val="18"/>
                <w:szCs w:val="18"/>
                <w:color w:val="0000FF"/>
              </w:rPr>
              <w:t>Unregistered Shares of Equity Securities and Use of Proceeds</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3.</w:t>
            </w:r>
          </w:p>
        </w:tc>
        <w:tc>
          <w:tcPr>
            <w:tcW w:w="440" w:type="dxa"/>
            <w:vAlign w:val="bottom"/>
            <w:gridSpan w:val="2"/>
            <w:shd w:val="clear" w:color="auto" w:fill="CCEEFF"/>
          </w:tcPr>
          <w:p>
            <w:pPr>
              <w:spacing w:after="0"/>
              <w:rPr>
                <w:sz w:val="20"/>
                <w:szCs w:val="20"/>
                <w:color w:val="auto"/>
              </w:rPr>
            </w:pPr>
          </w:p>
        </w:tc>
        <w:tc>
          <w:tcPr>
            <w:tcW w:w="926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0"/>
              </w:rPr>
              <w:t>Item 4.</w:t>
            </w:r>
          </w:p>
        </w:tc>
        <w:tc>
          <w:tcPr>
            <w:tcW w:w="440" w:type="dxa"/>
            <w:vAlign w:val="bottom"/>
            <w:tcBorders>
              <w:top w:val="single" w:sz="8" w:color="CCEEFF"/>
            </w:tcBorders>
            <w:gridSpan w:val="2"/>
          </w:tcPr>
          <w:p>
            <w:pPr>
              <w:spacing w:after="0"/>
              <w:rPr>
                <w:sz w:val="16"/>
                <w:szCs w:val="16"/>
                <w:color w:val="auto"/>
              </w:rPr>
            </w:pPr>
          </w:p>
        </w:tc>
        <w:tc>
          <w:tcPr>
            <w:tcW w:w="2320" w:type="dxa"/>
            <w:vAlign w:val="bottom"/>
            <w:tcBorders>
              <w:top w:val="single" w:sz="8" w:color="0000FF"/>
            </w:tcBorders>
            <w:gridSpan w:val="8"/>
          </w:tcPr>
          <w:p>
            <w:pPr>
              <w:spacing w:after="0" w:line="189" w:lineRule="exact"/>
              <w:rPr>
                <w:sz w:val="20"/>
                <w:szCs w:val="20"/>
                <w:color w:val="auto"/>
              </w:rPr>
            </w:pPr>
            <w:r>
              <w:rPr>
                <w:rFonts w:ascii="Arial" w:cs="Arial" w:eastAsia="Arial" w:hAnsi="Arial"/>
                <w:sz w:val="18"/>
                <w:szCs w:val="18"/>
                <w:color w:val="0000FF"/>
              </w:rPr>
              <w:t>Mine Safety Disclosures</w:t>
            </w:r>
          </w:p>
        </w:tc>
        <w:tc>
          <w:tcPr>
            <w:tcW w:w="6940" w:type="dxa"/>
            <w:vAlign w:val="bottom"/>
            <w:tcBorders>
              <w:top w:val="single" w:sz="8" w:color="CCEEFF"/>
            </w:tcBorders>
            <w:gridSpan w:val="14"/>
          </w:tcPr>
          <w:p>
            <w:pPr>
              <w:spacing w:after="0"/>
              <w:rPr>
                <w:sz w:val="16"/>
                <w:szCs w:val="16"/>
                <w:color w:val="auto"/>
              </w:rPr>
            </w:pPr>
          </w:p>
        </w:tc>
        <w:tc>
          <w:tcPr>
            <w:tcW w:w="100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0"/>
              </w:rPr>
              <w:t>Item 5.</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132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2"/>
              </w:rPr>
              <w:t>Other Information</w:t>
            </w:r>
          </w:p>
        </w:tc>
        <w:tc>
          <w:tcPr>
            <w:tcW w:w="7940" w:type="dxa"/>
            <w:vAlign w:val="bottom"/>
            <w:tcBorders>
              <w:bottom w:val="single" w:sz="8" w:color="CCEEFF"/>
            </w:tcBorders>
            <w:gridSpan w:val="17"/>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Arial" w:cs="Arial" w:eastAsia="Arial" w:hAnsi="Arial"/>
                <w:sz w:val="18"/>
                <w:szCs w:val="18"/>
                <w:color w:val="0000FF"/>
              </w:rPr>
              <w:t>Item 6.</w:t>
            </w:r>
          </w:p>
        </w:tc>
        <w:tc>
          <w:tcPr>
            <w:tcW w:w="9260" w:type="dxa"/>
            <w:vAlign w:val="bottom"/>
            <w:gridSpan w:val="22"/>
          </w:tcPr>
          <w:p>
            <w:pPr>
              <w:spacing w:after="0" w:line="189" w:lineRule="exact"/>
              <w:rPr>
                <w:sz w:val="20"/>
                <w:szCs w:val="20"/>
                <w:color w:val="auto"/>
              </w:rPr>
            </w:pPr>
            <w:r>
              <w:rPr>
                <w:rFonts w:ascii="Arial" w:cs="Arial" w:eastAsia="Arial" w:hAnsi="Arial"/>
                <w:sz w:val="18"/>
                <w:szCs w:val="18"/>
                <w:color w:val="0000FF"/>
              </w:rPr>
              <w:t>Exhibits</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6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225" w:lineRule="exact"/>
        <w:rPr>
          <w:sz w:val="20"/>
          <w:szCs w:val="20"/>
          <w:color w:val="auto"/>
        </w:rPr>
      </w:pPr>
    </w:p>
    <w:p>
      <w:pPr>
        <w:jc w:val="both"/>
        <w:ind w:left="1140" w:right="20" w:hanging="322"/>
        <w:spacing w:after="0" w:line="263"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83" w:lineRule="exact"/>
        <w:rPr>
          <w:rFonts w:ascii="Arial" w:cs="Arial" w:eastAsia="Arial" w:hAnsi="Arial"/>
          <w:sz w:val="18"/>
          <w:szCs w:val="18"/>
          <w:color w:val="auto"/>
        </w:rPr>
      </w:pPr>
    </w:p>
    <w:p>
      <w:pPr>
        <w:ind w:left="1140" w:right="360" w:hanging="322"/>
        <w:spacing w:after="0" w:line="27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cloud platform;</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cloud platform;</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solutions, or enhancements to our existing solutions, and bring them to market in a timely manner;</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 and technology alliance partners;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and cash equivalents to meet cash needs for at least the next 12 months;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internationally;</w:t>
      </w:r>
    </w:p>
    <w:p>
      <w:pPr>
        <w:spacing w:after="0" w:line="225" w:lineRule="exact"/>
        <w:rPr>
          <w:rFonts w:ascii="Arial" w:cs="Arial" w:eastAsia="Arial" w:hAnsi="Arial"/>
          <w:sz w:val="18"/>
          <w:szCs w:val="18"/>
          <w:color w:val="auto"/>
        </w:rPr>
      </w:pPr>
    </w:p>
    <w:p>
      <w:pPr>
        <w:ind w:left="1140" w:right="380" w:hanging="322"/>
        <w:spacing w:after="0" w:line="27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maintain, and improve our internal control over financial reporting;</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close and integrate acquisitions to contribute to our growth objectives;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ectPr>
          <w:pgSz w:w="11900" w:h="16838" w:orient="portrait"/>
          <w:cols w:equalWidth="0" w:num="1">
            <w:col w:w="11220"/>
          </w:cols>
          <w:pgMar w:left="320" w:top="3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67" w:lineRule="exact"/>
        <w:rPr>
          <w:sz w:val="20"/>
          <w:szCs w:val="20"/>
          <w:color w:val="auto"/>
        </w:rPr>
      </w:pPr>
    </w:p>
    <w:p>
      <w:pPr>
        <w:ind w:right="60" w:firstLine="648"/>
        <w:spacing w:after="0" w:line="269" w:lineRule="auto"/>
        <w:rPr>
          <w:sz w:val="20"/>
          <w:szCs w:val="20"/>
          <w:color w:val="auto"/>
        </w:rPr>
      </w:pPr>
      <w:r>
        <w:rPr>
          <w:rFonts w:ascii="Arial" w:cs="Arial" w:eastAsia="Arial" w:hAnsi="Arial"/>
          <w:sz w:val="16"/>
          <w:szCs w:val="16"/>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jc w:val="both"/>
        <w:ind w:right="60" w:firstLine="648"/>
        <w:spacing w:after="0" w:line="238" w:lineRule="auto"/>
        <w:rPr>
          <w:sz w:val="20"/>
          <w:szCs w:val="20"/>
          <w:color w:val="auto"/>
        </w:rPr>
      </w:pPr>
      <w:r>
        <w:rPr>
          <w:rFonts w:ascii="Arial" w:cs="Arial" w:eastAsia="Arial" w:hAnsi="Arial"/>
          <w:sz w:val="18"/>
          <w:szCs w:val="18"/>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91" w:lineRule="exact"/>
        <w:rPr>
          <w:sz w:val="20"/>
          <w:szCs w:val="20"/>
          <w:color w:val="auto"/>
        </w:rPr>
      </w:pPr>
    </w:p>
    <w:p>
      <w:pPr>
        <w:ind w:left="1140" w:right="60" w:hanging="322"/>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and if we do not manage our future growth, our business and results of operations will be adversely affected.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be able to achieve or sustain profitability in the future.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COVID-19 pandemic could adversely affect global economic conditions and our business, operating results and future revenue.</w:t>
      </w:r>
    </w:p>
    <w:p>
      <w:pPr>
        <w:spacing w:after="0" w:line="236" w:lineRule="exact"/>
        <w:rPr>
          <w:rFonts w:ascii="Arial" w:cs="Arial" w:eastAsia="Arial" w:hAnsi="Arial"/>
          <w:sz w:val="17"/>
          <w:szCs w:val="17"/>
          <w:color w:val="auto"/>
        </w:rPr>
      </w:pPr>
    </w:p>
    <w:p>
      <w:pPr>
        <w:ind w:left="1140" w:right="600" w:hanging="322"/>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organizations do not adopt cloud-based SaaS-delivered endpoint security solutions, our ability to grow our business and results of operations may be adversely affected.</w:t>
      </w:r>
    </w:p>
    <w:p>
      <w:pPr>
        <w:spacing w:after="0" w:line="170" w:lineRule="exact"/>
        <w:rPr>
          <w:rFonts w:ascii="Arial" w:cs="Arial" w:eastAsia="Arial" w:hAnsi="Arial"/>
          <w:sz w:val="18"/>
          <w:szCs w:val="18"/>
          <w:color w:val="auto"/>
        </w:rPr>
      </w:pPr>
    </w:p>
    <w:p>
      <w:pPr>
        <w:ind w:left="1140" w:hanging="322"/>
        <w:spacing w:after="0" w:line="342" w:lineRule="auto"/>
        <w:tabs>
          <w:tab w:leader="none" w:pos="1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23" w:lineRule="exact"/>
        <w:rPr>
          <w:rFonts w:ascii="Arial" w:cs="Arial" w:eastAsia="Arial" w:hAnsi="Arial"/>
          <w:sz w:val="16"/>
          <w:szCs w:val="16"/>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attract new customers, our future results of operations could be harmed.</w:t>
      </w:r>
    </w:p>
    <w:p>
      <w:pPr>
        <w:spacing w:after="0" w:line="225"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customers do not renew their subscriptions for our products and add additional cloud modules to their subscriptions, our future results of operations could be harmed.</w:t>
      </w:r>
    </w:p>
    <w:p>
      <w:pPr>
        <w:spacing w:after="0" w:line="170" w:lineRule="exact"/>
        <w:rPr>
          <w:rFonts w:ascii="Arial" w:cs="Arial" w:eastAsia="Arial" w:hAnsi="Arial"/>
          <w:sz w:val="18"/>
          <w:szCs w:val="18"/>
          <w:color w:val="auto"/>
        </w:rPr>
      </w:pPr>
    </w:p>
    <w:p>
      <w:pPr>
        <w:ind w:left="1140" w:right="60" w:hanging="322"/>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 which could adversely affect our business, financial condition, and results of operations.</w:t>
      </w:r>
    </w:p>
    <w:p>
      <w:pPr>
        <w:spacing w:after="0" w:line="170" w:lineRule="exact"/>
        <w:rPr>
          <w:rFonts w:ascii="Arial" w:cs="Arial" w:eastAsia="Arial" w:hAnsi="Arial"/>
          <w:sz w:val="18"/>
          <w:szCs w:val="18"/>
          <w:color w:val="auto"/>
        </w:rPr>
      </w:pPr>
    </w:p>
    <w:p>
      <w:pPr>
        <w:ind w:left="1140" w:right="140" w:hanging="322"/>
        <w:spacing w:after="0" w:line="308" w:lineRule="auto"/>
        <w:tabs>
          <w:tab w:leader="none" w:pos="11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46" w:lineRule="exact"/>
        <w:rPr>
          <w:rFonts w:ascii="Arial" w:cs="Arial" w:eastAsia="Arial" w:hAnsi="Arial"/>
          <w:sz w:val="17"/>
          <w:szCs w:val="17"/>
          <w:color w:val="auto"/>
        </w:rPr>
      </w:pPr>
    </w:p>
    <w:p>
      <w:pPr>
        <w:ind w:left="1140" w:right="140" w:hanging="322"/>
        <w:spacing w:after="0" w:line="342" w:lineRule="auto"/>
        <w:tabs>
          <w:tab w:leader="none" w:pos="1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23" w:lineRule="exact"/>
        <w:rPr>
          <w:rFonts w:ascii="Arial" w:cs="Arial" w:eastAsia="Arial" w:hAnsi="Arial"/>
          <w:sz w:val="16"/>
          <w:szCs w:val="16"/>
          <w:color w:val="auto"/>
        </w:rPr>
      </w:pPr>
    </w:p>
    <w:p>
      <w:pPr>
        <w:ind w:left="1140" w:right="80" w:hanging="322"/>
        <w:spacing w:after="0" w:line="263"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our key technical, sales and management personnel to grow our business, and the loss of one or more key employees could harm our business.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attract and retain qualified personnel, our business could be harmed.</w:t>
      </w:r>
    </w:p>
    <w:p>
      <w:pPr>
        <w:spacing w:after="0" w:line="225" w:lineRule="exact"/>
        <w:rPr>
          <w:rFonts w:ascii="Arial" w:cs="Arial" w:eastAsia="Arial" w:hAnsi="Arial"/>
          <w:sz w:val="18"/>
          <w:szCs w:val="18"/>
          <w:color w:val="auto"/>
        </w:rPr>
      </w:pPr>
    </w:p>
    <w:p>
      <w:pPr>
        <w:ind w:left="1140" w:right="120" w:hanging="322"/>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which could make our future results difficult to predict and could cause our results of operations to fall below expectations.</w:t>
      </w:r>
    </w:p>
    <w:p>
      <w:pPr>
        <w:spacing w:after="0" w:line="170" w:lineRule="exact"/>
        <w:rPr>
          <w:rFonts w:ascii="Arial" w:cs="Arial" w:eastAsia="Arial" w:hAnsi="Arial"/>
          <w:sz w:val="18"/>
          <w:szCs w:val="18"/>
          <w:color w:val="auto"/>
        </w:rPr>
      </w:pPr>
    </w:p>
    <w:p>
      <w:pPr>
        <w:ind w:left="1140" w:right="460" w:hanging="322"/>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70" w:lineRule="exact"/>
        <w:rPr>
          <w:rFonts w:ascii="Arial" w:cs="Arial" w:eastAsia="Arial" w:hAnsi="Arial"/>
          <w:sz w:val="18"/>
          <w:szCs w:val="18"/>
          <w:color w:val="auto"/>
        </w:rPr>
      </w:pPr>
    </w:p>
    <w:p>
      <w:pPr>
        <w:ind w:left="1140" w:right="820" w:hanging="322"/>
        <w:spacing w:after="0" w:line="308" w:lineRule="auto"/>
        <w:tabs>
          <w:tab w:leader="none" w:pos="11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not able to comply with applicable data protection, security, privacy, and other government- and industry-specific laws, regulations, standards or requirements, our business, results of operations, and financial condition could be harmed.</w:t>
      </w:r>
    </w:p>
    <w:p>
      <w:pPr>
        <w:spacing w:after="0" w:line="146" w:lineRule="exact"/>
        <w:rPr>
          <w:rFonts w:ascii="Arial" w:cs="Arial" w:eastAsia="Arial" w:hAnsi="Arial"/>
          <w:sz w:val="17"/>
          <w:szCs w:val="17"/>
          <w:color w:val="auto"/>
        </w:rPr>
      </w:pPr>
    </w:p>
    <w:p>
      <w:pPr>
        <w:ind w:left="1140" w:right="40" w:hanging="322"/>
        <w:spacing w:after="0" w:line="342" w:lineRule="auto"/>
        <w:tabs>
          <w:tab w:leader="none" w:pos="1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July 31,</w:t>
            </w:r>
          </w:p>
        </w:tc>
        <w:tc>
          <w:tcPr>
            <w:tcW w:w="240" w:type="dxa"/>
            <w:vAlign w:val="bottom"/>
          </w:tcPr>
          <w:p>
            <w:pPr>
              <w:spacing w:after="0"/>
              <w:rPr>
                <w:sz w:val="18"/>
                <w:szCs w:val="18"/>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31,</w:t>
            </w: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2,318,858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1,996,633</w:t>
            </w:r>
          </w:p>
        </w:tc>
        <w:tc>
          <w:tcPr>
            <w:tcW w:w="0" w:type="dxa"/>
            <w:vAlign w:val="bottom"/>
          </w:tcPr>
          <w:p>
            <w:pPr>
              <w:spacing w:after="0"/>
              <w:rPr>
                <w:sz w:val="1"/>
                <w:szCs w:val="1"/>
                <w:color w:val="auto"/>
              </w:rPr>
            </w:pPr>
          </w:p>
        </w:tc>
      </w:tr>
      <w:tr>
        <w:trPr>
          <w:trHeight w:val="135"/>
        </w:trPr>
        <w:tc>
          <w:tcPr>
            <w:tcW w:w="8100" w:type="dxa"/>
            <w:vAlign w:val="bottom"/>
          </w:tcPr>
          <w:p>
            <w:pPr>
              <w:ind w:left="140"/>
              <w:spacing w:after="0" w:line="135" w:lineRule="exact"/>
              <w:rPr>
                <w:sz w:val="20"/>
                <w:szCs w:val="20"/>
                <w:color w:val="auto"/>
              </w:rPr>
            </w:pPr>
            <w:r>
              <w:rPr>
                <w:rFonts w:ascii="Arial" w:cs="Arial" w:eastAsia="Arial" w:hAnsi="Arial"/>
                <w:sz w:val="14"/>
                <w:szCs w:val="14"/>
                <w:color w:val="auto"/>
              </w:rPr>
              <w:t>Accounts receivable, net of allowance for credit losses of $1.8 million and $1.6 million as of July 31, 2022 and January 31, 2022,</w:t>
            </w:r>
          </w:p>
        </w:tc>
        <w:tc>
          <w:tcPr>
            <w:tcW w:w="3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418,799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368,145</w:t>
            </w:r>
          </w:p>
        </w:tc>
        <w:tc>
          <w:tcPr>
            <w:tcW w:w="0" w:type="dxa"/>
            <w:vAlign w:val="bottom"/>
          </w:tcPr>
          <w:p>
            <w:pPr>
              <w:spacing w:after="0"/>
              <w:rPr>
                <w:sz w:val="1"/>
                <w:szCs w:val="1"/>
                <w:color w:val="auto"/>
              </w:rPr>
            </w:pPr>
          </w:p>
        </w:tc>
      </w:tr>
      <w:tr>
        <w:trPr>
          <w:trHeight w:val="200"/>
        </w:trPr>
        <w:tc>
          <w:tcPr>
            <w:tcW w:w="810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contract acquisition costs, 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126,822</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79,352</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2,975,980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2,570,952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4"/>
                <w:szCs w:val="14"/>
                <w:color w:val="auto"/>
              </w:rPr>
              <w:t>Strategic investments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23,632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260,577</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28,463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31,735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192,358</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416,066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416,445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97,336</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25,346</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4,154,236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3,618,381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53,817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47,634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83,382</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4"/>
                <w:szCs w:val="14"/>
                <w:color w:val="auto"/>
              </w:rPr>
              <w:t>Accrued payroll and benefits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104,563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9,820</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1,363,558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1,136,502</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24,929</w:t>
            </w:r>
          </w:p>
        </w:tc>
        <w:tc>
          <w:tcPr>
            <w:tcW w:w="0" w:type="dxa"/>
            <w:vAlign w:val="bottom"/>
          </w:tcPr>
          <w:p>
            <w:pPr>
              <w:spacing w:after="0"/>
              <w:rPr>
                <w:sz w:val="1"/>
                <w:szCs w:val="1"/>
                <w:color w:val="auto"/>
              </w:rPr>
            </w:pPr>
          </w:p>
        </w:tc>
      </w:tr>
      <w:tr>
        <w:trPr>
          <w:trHeight w:val="209"/>
        </w:trPr>
        <w:tc>
          <w:tcPr>
            <w:tcW w:w="810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1,649,250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1,406,830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739,517</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480,594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392,819</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25,379</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noncurrent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16,193</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2,910,889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2,580,738</w:t>
            </w:r>
          </w:p>
        </w:tc>
        <w:tc>
          <w:tcPr>
            <w:tcW w:w="0" w:type="dxa"/>
            <w:vAlign w:val="bottom"/>
          </w:tcPr>
          <w:p>
            <w:pPr>
              <w:spacing w:after="0"/>
              <w:rPr>
                <w:sz w:val="1"/>
                <w:szCs w:val="1"/>
                <w:color w:val="auto"/>
              </w:rPr>
            </w:pPr>
          </w:p>
        </w:tc>
      </w:tr>
      <w:tr>
        <w:trPr>
          <w:trHeight w:val="162"/>
        </w:trPr>
        <w:tc>
          <w:tcPr>
            <w:tcW w:w="810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00" w:type="dxa"/>
            <w:vAlign w:val="bottom"/>
          </w:tcPr>
          <w:p>
            <w:pPr>
              <w:ind w:left="20"/>
              <w:spacing w:after="0" w:line="135" w:lineRule="exact"/>
              <w:rPr>
                <w:sz w:val="20"/>
                <w:szCs w:val="20"/>
                <w:color w:val="auto"/>
              </w:rPr>
            </w:pPr>
            <w:r>
              <w:rPr>
                <w:rFonts w:ascii="Arial" w:cs="Arial" w:eastAsia="Arial" w:hAnsi="Arial"/>
                <w:sz w:val="14"/>
                <w:szCs w:val="14"/>
                <w:color w:val="auto"/>
                <w:w w:val="93"/>
              </w:rPr>
              <w:t>Preferred stock, $0.0005 par value; 100,000 shares authorized as of July 31, 2022 and January 31, 2022; no shares issued and outstanding</w:t>
            </w:r>
          </w:p>
        </w:tc>
        <w:tc>
          <w:tcPr>
            <w:tcW w:w="300" w:type="dxa"/>
            <w:vAlign w:val="bottom"/>
          </w:tcPr>
          <w:p>
            <w:pPr>
              <w:spacing w:after="0"/>
              <w:rPr>
                <w:sz w:val="11"/>
                <w:szCs w:val="11"/>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100" w:type="dxa"/>
            <w:vAlign w:val="bottom"/>
          </w:tcPr>
          <w:p>
            <w:pPr>
              <w:ind w:left="20"/>
              <w:spacing w:after="0"/>
              <w:rPr>
                <w:sz w:val="20"/>
                <w:szCs w:val="20"/>
                <w:color w:val="auto"/>
              </w:rPr>
            </w:pPr>
            <w:r>
              <w:rPr>
                <w:rFonts w:ascii="Arial" w:cs="Arial" w:eastAsia="Arial" w:hAnsi="Arial"/>
                <w:sz w:val="14"/>
                <w:szCs w:val="14"/>
                <w:color w:val="auto"/>
              </w:rPr>
              <w:t>as of July 31, 2022 and January 31, 2022.</w:t>
            </w:r>
          </w:p>
        </w:tc>
        <w:tc>
          <w:tcPr>
            <w:tcW w:w="3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5"/>
              </w:rPr>
              <w:t>Class A common stock, $0.0005 par value; 2,000,000 shares authorized as of July 31, 2022 and January 31, 2022; 214,821 shares and</w:t>
            </w:r>
          </w:p>
        </w:tc>
        <w:tc>
          <w:tcPr>
            <w:tcW w:w="3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1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3"/>
              </w:rPr>
              <w:t>209,996 shares issued and outstanding as of July 31, 2022 and January 31, 2022, respectively; Class B common stock, $0.0005 par value;</w:t>
            </w:r>
          </w:p>
        </w:tc>
        <w:tc>
          <w:tcPr>
            <w:tcW w:w="3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1"/>
              </w:rPr>
              <w:t>300,000 shares authorized as of July 31, 2022 and January 31, 2022; 18,547 shares and 20,710 shares issued and outstanding as of July 31,</w:t>
            </w:r>
          </w:p>
        </w:tc>
        <w:tc>
          <w:tcPr>
            <w:tcW w:w="3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and January 31, 2022, respectively.</w:t>
            </w:r>
          </w:p>
        </w:tc>
        <w:tc>
          <w:tcPr>
            <w:tcW w:w="3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2,276,704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1,991,807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(964,918)</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CrowdStrike Holdings, Inc. stockholders’ equity</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1,225,419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1,025,764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11,879</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1,243,347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1,037,643</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4,154,236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3,618,381</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July 31,</w:t>
            </w:r>
          </w:p>
        </w:tc>
        <w:tc>
          <w:tcPr>
            <w:tcW w:w="300" w:type="dxa"/>
            <w:vAlign w:val="bottom"/>
          </w:tcPr>
          <w:p>
            <w:pPr>
              <w:spacing w:after="0"/>
              <w:rPr>
                <w:sz w:val="20"/>
                <w:szCs w:val="20"/>
                <w:color w:val="auto"/>
              </w:rPr>
            </w:pPr>
          </w:p>
        </w:tc>
        <w:tc>
          <w:tcPr>
            <w:tcW w:w="28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Six Months Ended July 31,</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506,199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315,836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966,021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597,064</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43,469</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640,533</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140,896</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28,041</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168,937</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471,596</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224,766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288,992</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168,635</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92,719</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550,346</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(78,750)</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(12,526)</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(85,889)</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54,300</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(140,189)</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CrowdStrike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(142,367)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per share attributable to CrowdStrike common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Weighted-average shares used in computing net loss per share</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232,554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226,362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231,850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225,276</w:t>
            </w:r>
          </w:p>
        </w:tc>
        <w:tc>
          <w:tcPr>
            <w:tcW w:w="0" w:type="dxa"/>
            <w:vAlign w:val="bottom"/>
          </w:tcPr>
          <w:p>
            <w:pPr>
              <w:spacing w:after="0"/>
              <w:rPr>
                <w:sz w:val="1"/>
                <w:szCs w:val="1"/>
                <w:color w:val="auto"/>
              </w:rPr>
            </w:pPr>
          </w:p>
        </w:tc>
      </w:tr>
      <w:tr>
        <w:trPr>
          <w:trHeight w:val="23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attributable to CrowdStrike common stockholders, basic and diluted</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July 31,</w:t>
            </w:r>
          </w:p>
        </w:tc>
        <w:tc>
          <w:tcPr>
            <w:tcW w:w="300" w:type="dxa"/>
            <w:vAlign w:val="bottom"/>
          </w:tcPr>
          <w:p>
            <w:pPr>
              <w:spacing w:after="0"/>
              <w:rPr>
                <w:sz w:val="20"/>
                <w:szCs w:val="20"/>
                <w:color w:val="auto"/>
              </w:rPr>
            </w:pPr>
          </w:p>
        </w:tc>
        <w:tc>
          <w:tcPr>
            <w:tcW w:w="27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Six Months Ended July 31,</w:t>
            </w:r>
          </w:p>
        </w:tc>
      </w:tr>
      <w:tr>
        <w:trPr>
          <w:trHeight w:val="223"/>
        </w:trPr>
        <w:tc>
          <w:tcPr>
            <w:tcW w:w="49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(140,189)</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23"/>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23"/>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Less: Comprehensive income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r>
      <w:tr>
        <w:trPr>
          <w:trHeight w:val="223"/>
        </w:trPr>
        <w:tc>
          <w:tcPr>
            <w:tcW w:w="4980" w:type="dxa"/>
            <w:vAlign w:val="bottom"/>
          </w:tcPr>
          <w:p>
            <w:pPr>
              <w:ind w:left="40"/>
              <w:spacing w:after="0"/>
              <w:rPr>
                <w:sz w:val="20"/>
                <w:szCs w:val="20"/>
                <w:color w:val="auto"/>
              </w:rPr>
            </w:pPr>
            <w:r>
              <w:rPr>
                <w:rFonts w:ascii="Arial" w:cs="Arial" w:eastAsia="Arial" w:hAnsi="Arial"/>
                <w:sz w:val="18"/>
                <w:szCs w:val="18"/>
                <w:color w:val="auto"/>
              </w:rPr>
              <w:t>Total comprehensive loss attributable to CrowdStrike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(143,136)</w:t>
            </w:r>
          </w:p>
        </w:tc>
      </w:tr>
      <w:tr>
        <w:trPr>
          <w:trHeight w:val="21"/>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CrowdStrike Holdings, Inc.</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Three Months Ended July 31, 2022 and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tcPr>
          <w:p>
            <w:pPr>
              <w:ind w:left="20"/>
              <w:spacing w:after="0" w:line="61" w:lineRule="exact"/>
              <w:rPr>
                <w:sz w:val="20"/>
                <w:szCs w:val="20"/>
                <w:color w:val="auto"/>
              </w:rPr>
            </w:pPr>
            <w:r>
              <w:rPr>
                <w:rFonts w:ascii="Arial" w:cs="Arial" w:eastAsia="Arial" w:hAnsi="Arial"/>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Accumulated</w:t>
            </w:r>
          </w:p>
        </w:tc>
        <w:tc>
          <w:tcPr>
            <w:tcW w:w="1300" w:type="dxa"/>
            <w:vAlign w:val="bottom"/>
            <w:gridSpan w:val="3"/>
          </w:tcPr>
          <w:p>
            <w:pPr>
              <w:jc w:val="center"/>
              <w:ind w:right="120"/>
              <w:spacing w:after="0" w:line="61" w:lineRule="exact"/>
              <w:rPr>
                <w:sz w:val="20"/>
                <w:szCs w:val="20"/>
                <w:color w:val="auto"/>
              </w:rPr>
            </w:pPr>
            <w:r>
              <w:rPr>
                <w:rFonts w:ascii="Arial" w:cs="Arial" w:eastAsia="Arial" w:hAnsi="Arial"/>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Arial" w:cs="Arial" w:eastAsia="Arial" w:hAnsi="Arial"/>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April 30,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232,018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2,103,054</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(996,441)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14,456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1,116,997</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34,445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34,445</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options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w w:val="99"/>
              </w:rPr>
              <w:t>Issuance of common stock for founders holdbacks related to</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1,422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1,422</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129,783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129,783</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5,451</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(48,313)</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Balances at July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233,368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2,276,704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(1,045,726)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(5,675)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17,928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1,243,347</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 Other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tcPr>
          <w:p>
            <w:pPr>
              <w:ind w:left="20"/>
              <w:spacing w:after="0" w:line="61" w:lineRule="exact"/>
              <w:rPr>
                <w:sz w:val="20"/>
                <w:szCs w:val="20"/>
                <w:color w:val="auto"/>
              </w:rPr>
            </w:pPr>
            <w:r>
              <w:rPr>
                <w:rFonts w:ascii="Arial" w:cs="Arial" w:eastAsia="Arial" w:hAnsi="Arial"/>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Arial" w:cs="Arial" w:eastAsia="Arial" w:hAnsi="Arial"/>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Arial" w:cs="Arial" w:eastAsia="Arial" w:hAnsi="Arial"/>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April 30,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225,743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1,662,199</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(815,165)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853,397</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Arial" w:cs="Arial" w:eastAsia="Arial" w:hAnsi="Arial"/>
                <w:sz w:val="13"/>
                <w:szCs w:val="13"/>
                <w:color w:val="auto"/>
              </w:rPr>
              <w:t>992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6,461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6,462</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RSU release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689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27,452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27,452</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options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75,364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75,364</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2,814</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(57,318)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(57,318)</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214"/>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July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228,152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(872,483)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911,401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CrowdStrike Holdings, Inc.</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Six Months Ended July 31, 2022 and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tcPr>
          <w:p>
            <w:pPr>
              <w:ind w:left="20"/>
              <w:spacing w:after="0" w:line="61" w:lineRule="exact"/>
              <w:rPr>
                <w:sz w:val="20"/>
                <w:szCs w:val="20"/>
                <w:color w:val="auto"/>
              </w:rPr>
            </w:pPr>
            <w:r>
              <w:rPr>
                <w:rFonts w:ascii="Arial" w:cs="Arial" w:eastAsia="Arial" w:hAnsi="Arial"/>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Accumulated</w:t>
            </w:r>
          </w:p>
        </w:tc>
        <w:tc>
          <w:tcPr>
            <w:tcW w:w="1300" w:type="dxa"/>
            <w:vAlign w:val="bottom"/>
            <w:gridSpan w:val="3"/>
          </w:tcPr>
          <w:p>
            <w:pPr>
              <w:jc w:val="center"/>
              <w:ind w:right="120"/>
              <w:spacing w:after="0" w:line="61" w:lineRule="exact"/>
              <w:rPr>
                <w:sz w:val="20"/>
                <w:szCs w:val="20"/>
                <w:color w:val="auto"/>
              </w:rPr>
            </w:pPr>
            <w:r>
              <w:rPr>
                <w:rFonts w:ascii="Arial" w:cs="Arial" w:eastAsia="Arial" w:hAnsi="Arial"/>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Arial" w:cs="Arial" w:eastAsia="Arial" w:hAnsi="Arial"/>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January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230,706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1,991,807</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(964,918)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11,879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1,037,643</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Arial" w:cs="Arial" w:eastAsia="Arial" w:hAnsi="Arial"/>
                <w:sz w:val="13"/>
                <w:szCs w:val="13"/>
                <w:color w:val="auto"/>
              </w:rPr>
              <w:t>633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4,919</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34,445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34,445</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options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w w:val="99"/>
              </w:rPr>
              <w:t>Issuance of common stock for founders holdbacks related to</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5,126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5,126</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230,559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230,559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8,379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8,379</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(78,722)</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3,963</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(4,435)</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Balances at July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233,368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2,276,704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(1,045,726)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(5,675)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17,928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1,243,347</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 Other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tcPr>
          <w:p>
            <w:pPr>
              <w:ind w:left="20"/>
              <w:spacing w:after="0" w:line="61" w:lineRule="exact"/>
              <w:rPr>
                <w:sz w:val="20"/>
                <w:szCs w:val="20"/>
                <w:color w:val="auto"/>
              </w:rPr>
            </w:pPr>
            <w:r>
              <w:rPr>
                <w:rFonts w:ascii="Arial" w:cs="Arial" w:eastAsia="Arial" w:hAnsi="Arial"/>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Arial" w:cs="Arial" w:eastAsia="Arial" w:hAnsi="Arial"/>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Arial" w:cs="Arial" w:eastAsia="Arial" w:hAnsi="Arial"/>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January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223,724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1,598,259</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(730,116)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871,874</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Arial" w:cs="Arial" w:eastAsia="Arial" w:hAnsi="Arial"/>
                <w:sz w:val="13"/>
                <w:szCs w:val="13"/>
                <w:color w:val="auto"/>
              </w:rPr>
              <w:t>1,761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10,214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10,216</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RSU release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689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27,452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27,452</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Issuance of common stock related to early exercised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Vesting of early exercised options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1,594</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129,010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129,010</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4,547</w:t>
            </w:r>
          </w:p>
        </w:tc>
        <w:tc>
          <w:tcPr>
            <w:tcW w:w="0" w:type="dxa"/>
            <w:vAlign w:val="bottom"/>
          </w:tcPr>
          <w:p>
            <w:pPr>
              <w:spacing w:after="0"/>
              <w:rPr>
                <w:sz w:val="1"/>
                <w:szCs w:val="1"/>
                <w:color w:val="auto"/>
              </w:rPr>
            </w:pPr>
          </w:p>
        </w:tc>
      </w:tr>
      <w:tr>
        <w:trPr>
          <w:trHeight w:val="145"/>
        </w:trPr>
        <w:tc>
          <w:tcPr>
            <w:tcW w:w="35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Fair value of replacement equity awards attributable to pre-</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4,011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4,011</w:t>
            </w:r>
          </w:p>
        </w:tc>
        <w:tc>
          <w:tcPr>
            <w:tcW w:w="0" w:type="dxa"/>
            <w:vAlign w:val="bottom"/>
          </w:tcPr>
          <w:p>
            <w:pPr>
              <w:spacing w:after="0"/>
              <w:rPr>
                <w:sz w:val="1"/>
                <w:szCs w:val="1"/>
                <w:color w:val="auto"/>
              </w:rPr>
            </w:pPr>
          </w:p>
        </w:tc>
      </w:tr>
      <w:tr>
        <w:trPr>
          <w:trHeight w:val="18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service</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(142,367)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(140,189)</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3,655</w:t>
            </w: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214"/>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July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228,152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(872,483)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911,401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CrowdStrike Holdings, Inc.</w:t>
      </w:r>
    </w:p>
    <w:p>
      <w:pPr>
        <w:ind w:left="4060"/>
        <w:spacing w:after="0" w:line="206" w:lineRule="auto"/>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21" w:lineRule="auto"/>
        <w:rPr>
          <w:sz w:val="20"/>
          <w:szCs w:val="20"/>
          <w:color w:val="auto"/>
        </w:rPr>
      </w:pPr>
      <w:r>
        <w:rPr>
          <w:rFonts w:ascii="Arial" w:cs="Arial" w:eastAsia="Arial" w:hAnsi="Arial"/>
          <w:sz w:val="14"/>
          <w:szCs w:val="14"/>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0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rPr>
              <w:t>Six Months Ended July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(78,722)</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(140,189)</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34,146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24,969</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intangible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5,735</w:t>
            </w: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Amortization of 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77,554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50,419</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operating lease cost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4,469</w:t>
            </w: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234,044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130,649</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Non-cash interest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1,366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(4,356)</w:t>
            </w: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Changes in operating assets and liabilities, net of impact of acquisitions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receivable, net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(50,728)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(23,903)</w:t>
            </w:r>
          </w:p>
        </w:tc>
        <w:tc>
          <w:tcPr>
            <w:tcW w:w="0" w:type="dxa"/>
            <w:vAlign w:val="bottom"/>
          </w:tcPr>
          <w:p>
            <w:pPr>
              <w:spacing w:after="0"/>
              <w:rPr>
                <w:sz w:val="1"/>
                <w:szCs w:val="1"/>
                <w:color w:val="auto"/>
              </w:rPr>
            </w:pPr>
          </w:p>
        </w:tc>
      </w:tr>
      <w:tr>
        <w:trPr>
          <w:trHeight w:val="168"/>
        </w:trPr>
        <w:tc>
          <w:tcPr>
            <w:tcW w:w="8100" w:type="dxa"/>
            <w:vAlign w:val="bottom"/>
          </w:tcPr>
          <w:p>
            <w:pPr>
              <w:ind w:left="220"/>
              <w:spacing w:after="0"/>
              <w:rPr>
                <w:sz w:val="20"/>
                <w:szCs w:val="20"/>
                <w:color w:val="auto"/>
              </w:rPr>
            </w:pPr>
            <w:r>
              <w:rPr>
                <w:rFonts w:ascii="Arial" w:cs="Arial" w:eastAsia="Arial" w:hAnsi="Arial"/>
                <w:sz w:val="13"/>
                <w:szCs w:val="13"/>
                <w:color w:val="auto"/>
              </w:rPr>
              <w:t>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(108,940)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(87,576)</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expenses and other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(46,687)</w:t>
            </w:r>
          </w:p>
        </w:tc>
        <w:tc>
          <w:tcPr>
            <w:tcW w:w="0" w:type="dxa"/>
            <w:vAlign w:val="bottom"/>
          </w:tcPr>
          <w:p>
            <w:pPr>
              <w:spacing w:after="0"/>
              <w:rPr>
                <w:sz w:val="1"/>
                <w:szCs w:val="1"/>
                <w:color w:val="auto"/>
              </w:rPr>
            </w:pPr>
          </w:p>
        </w:tc>
      </w:tr>
      <w:tr>
        <w:trPr>
          <w:trHeight w:val="168"/>
        </w:trPr>
        <w:tc>
          <w:tcPr>
            <w:tcW w:w="810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794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5,383</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expenses and other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67,290</w:t>
            </w:r>
          </w:p>
        </w:tc>
        <w:tc>
          <w:tcPr>
            <w:tcW w:w="0" w:type="dxa"/>
            <w:vAlign w:val="bottom"/>
          </w:tcPr>
          <w:p>
            <w:pPr>
              <w:spacing w:after="0"/>
              <w:rPr>
                <w:sz w:val="1"/>
                <w:szCs w:val="1"/>
                <w:color w:val="auto"/>
              </w:rPr>
            </w:pPr>
          </w:p>
        </w:tc>
      </w:tr>
      <w:tr>
        <w:trPr>
          <w:trHeight w:val="168"/>
        </w:trPr>
        <w:tc>
          <w:tcPr>
            <w:tcW w:w="8100" w:type="dxa"/>
            <w:vAlign w:val="bottom"/>
          </w:tcPr>
          <w:p>
            <w:pPr>
              <w:ind w:left="220"/>
              <w:spacing w:after="0"/>
              <w:rPr>
                <w:sz w:val="20"/>
                <w:szCs w:val="20"/>
                <w:color w:val="auto"/>
              </w:rPr>
            </w:pPr>
            <w:r>
              <w:rPr>
                <w:rFonts w:ascii="Arial" w:cs="Arial" w:eastAsia="Arial" w:hAnsi="Arial"/>
                <w:sz w:val="13"/>
                <w:szCs w:val="13"/>
                <w:color w:val="auto"/>
              </w:rPr>
              <w:t>Accrued payroll and benefits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22,853</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(5,022)</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Deferred revenue</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314,831</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251,742</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424,863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256,008</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(118,339)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(55,793)</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Capitalized internal-use software and website development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(13,235)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(9,273)</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(7,309)</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Business acquisitions, net of cash acquired</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(353,746)</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intangible assets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100" w:type="dxa"/>
            <w:vAlign w:val="bottom"/>
          </w:tcPr>
          <w:p>
            <w:pPr>
              <w:ind w:left="360"/>
              <w:spacing w:after="0" w:line="141" w:lineRule="exact"/>
              <w:rPr>
                <w:sz w:val="20"/>
                <w:szCs w:val="20"/>
                <w:color w:val="auto"/>
              </w:rPr>
            </w:pPr>
            <w:r>
              <w:rPr>
                <w:rFonts w:ascii="Arial" w:cs="Arial" w:eastAsia="Arial" w:hAnsi="Arial"/>
                <w:sz w:val="13"/>
                <w:szCs w:val="13"/>
                <w:color w:val="auto"/>
              </w:rPr>
              <w:t>Net cash used in investing activities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(140,099)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(426,121)</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Payment of debt issuance costs related to revolving line of credit</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debt issuance costs related to Senior Notes</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Proceeds from issuance of common stock upon exercise of stock options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4,919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9,492</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34,445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27,452</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Capital contributions from non-controlling interest holders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3,655</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Net cash provided by 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43,327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38,799</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foreign exchange rates on cash, cash equivalents and restricted cash</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(4,330)</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Net increase (decrease) in cash, cash equivalents and restricted cash</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323,761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(131,557)</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1,996,633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1,918,608</w:t>
            </w:r>
          </w:p>
        </w:tc>
        <w:tc>
          <w:tcPr>
            <w:tcW w:w="0" w:type="dxa"/>
            <w:vAlign w:val="bottom"/>
          </w:tcPr>
          <w:p>
            <w:pPr>
              <w:spacing w:after="0"/>
              <w:rPr>
                <w:sz w:val="1"/>
                <w:szCs w:val="1"/>
                <w:color w:val="auto"/>
              </w:rPr>
            </w:pPr>
          </w:p>
        </w:tc>
      </w:tr>
      <w:tr>
        <w:trPr>
          <w:trHeight w:val="194"/>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Cash, cash equivalents and restricted cash at end of period</w:t>
            </w: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2,320,394</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1,787,051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Cash, cash equivalents and restricted cash at the end of period: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20" w:type="dxa"/>
            <w:vAlign w:val="bottom"/>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2,318,858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1,787,051</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included in prepaid expenses and other assets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1,536</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cash equivalents and restricted cash shown in the condensed consolidated statements of cash flows</w:t>
            </w: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2,320,394</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1,787,051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920" w:type="dxa"/>
            <w:vAlign w:val="bottom"/>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Income taxes paid, net of refunds received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4,967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2,337</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Net increase in property and equipment included in accounts payable and accrued expenses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18,810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4,480</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Equity consideration for acquisitions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4,011</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 arising from obtaining operating right of-use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right="6580" w:hanging="652"/>
        <w:spacing w:after="0" w:line="500" w:lineRule="auto"/>
        <w:tabs>
          <w:tab w:leader="none" w:pos="192"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 and Significant Accounting Policies Business</w:t>
      </w:r>
    </w:p>
    <w:p>
      <w:pPr>
        <w:spacing w:after="0" w:line="2"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CrowdStrike Holdings, Inc. (the “Company”) was formed on November 7, 2011. The Company is a global cybersecurity leader that provides cloud-delivered protection of endpoints, cloud workloads, identity, and data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Company’s principal executive offices are in Austin, Texas. The Company conducts its business in the United States, as well as locations internationally, including in Australia, Germany, India, Israel, Romania, and the United Kingdom.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2022,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Certain prior year amounts in the condensed consolidated statements of cash flows were reclassified to conform to the current period presentation. These reclassifications had no effect on net cash provided by (used in) operating, investing, and financing activities and cash and cash equivalent amounts. The results of operations for the three and six months ended July 31, 2022 are not necessarily indicative of the results to be expected for the year ending January 31, 2023 or for any other interim period or for any other future year.</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2022, filed with the SEC on March 16,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88"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measurement and disclosure of contingent liabilities, income taxes, stock-based compensation, the fair value of assets acquired and liabilities assumed for business combinations.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Geographic Information</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cash equivalents, accounts receivable, and strategic investments. The Company’s cash is placed with high-credit-quality financial institutions and issuers, and at times exceed federally insured limits. The Company limits its concentration of risk in cash equivalents by diversifying its investments among a variety of financial institutions. The Company has not experienced any credit loss relating to its cash equivalents and strategic investments. The Company performs periodic credit evaluations of its customers and generally does not require collateral.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Channel partners or direct customers who represented 10% or more of the Company’s accounts receivable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4"/>
                <w:szCs w:val="14"/>
                <w:b w:val="1"/>
                <w:bCs w:val="1"/>
                <w:color w:val="auto"/>
                <w:w w:val="92"/>
              </w:rPr>
              <w:t>July 31, 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216"/>
              <w:spacing w:after="0"/>
              <w:rPr>
                <w:sz w:val="20"/>
                <w:szCs w:val="20"/>
                <w:color w:val="auto"/>
              </w:rPr>
            </w:pPr>
            <w:r>
              <w:rPr>
                <w:rFonts w:ascii="Arial" w:cs="Arial" w:eastAsia="Arial" w:hAnsi="Arial"/>
                <w:sz w:val="14"/>
                <w:szCs w:val="14"/>
                <w:b w:val="1"/>
                <w:bCs w:val="1"/>
                <w:color w:val="auto"/>
              </w:rPr>
              <w:t>January 31, 2022</w:t>
            </w:r>
          </w:p>
        </w:tc>
      </w:tr>
      <w:tr>
        <w:trPr>
          <w:trHeight w:val="26"/>
        </w:trPr>
        <w:tc>
          <w:tcPr>
            <w:tcW w:w="7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partner A</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Customer A</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10 %</w:t>
            </w:r>
          </w:p>
        </w:tc>
      </w:tr>
    </w:tbl>
    <w:p>
      <w:pPr>
        <w:spacing w:after="0" w:line="29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direct customers or channel partners who represented 10% or more of the Company’s total revenue during the three and six months ended July 31, 2022 and July 31,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the Company’s Annual Report on Form 10-K for the year ended January 31, 2022. There have been no significant changes to these policies that have had a material impact on the Company’s condensed consolidated financial statements and related notes for the three and six months ended July 31,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October 2021, the Financial Accounting Standards Board (the “FASB”) issued Accounting Standards Update (“ASU”) 2021-08, Business Combinations (Topic 805):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For public business entities, this ASU is effective for fiscal years beginning after December 15, 2022, and interim periods within those fiscal years. The Company is currently evaluating the impact of the adoption of this ASU on its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Investments and Fair Value Measurements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follows ASC 820</w:t>
      </w:r>
      <w:r>
        <w:rPr>
          <w:rFonts w:ascii="Arial" w:cs="Arial" w:eastAsia="Arial" w:hAnsi="Arial"/>
          <w:sz w:val="17"/>
          <w:szCs w:val="17"/>
          <w:i w:val="1"/>
          <w:iCs w:val="1"/>
          <w:color w:val="auto"/>
        </w:rPr>
        <w:t>, Fair Value Measurements</w:t>
      </w:r>
      <w:r>
        <w:rPr>
          <w:rFonts w:ascii="Arial" w:cs="Arial" w:eastAsia="Arial" w:hAnsi="Arial"/>
          <w:sz w:val="17"/>
          <w:szCs w:val="17"/>
          <w:color w:val="auto"/>
        </w:rPr>
        <w:t>, with respect to cash equivalents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hierarchy is broken down into three levels as follows:</w:t>
      </w:r>
    </w:p>
    <w:p>
      <w:pPr>
        <w:spacing w:after="0" w:line="225" w:lineRule="exact"/>
        <w:rPr>
          <w:sz w:val="20"/>
          <w:szCs w:val="20"/>
          <w:color w:val="auto"/>
        </w:rPr>
      </w:pPr>
    </w:p>
    <w:p>
      <w:pPr>
        <w:ind w:left="660" w:right="380"/>
        <w:spacing w:after="0" w:line="291" w:lineRule="auto"/>
        <w:rPr>
          <w:sz w:val="20"/>
          <w:szCs w:val="20"/>
          <w:color w:val="auto"/>
        </w:rPr>
      </w:pPr>
      <w:r>
        <w:rPr>
          <w:rFonts w:ascii="Arial" w:cs="Arial" w:eastAsia="Arial" w:hAnsi="Arial"/>
          <w:sz w:val="16"/>
          <w:szCs w:val="16"/>
          <w:color w:val="auto"/>
        </w:rPr>
        <w:t>Level 1 Assets and liabilities whose values are based on unadjusted quoted market prices for identical assets and liabilities in active markets Level 2 Assets and liabilities whose values are based on quoted prices in markets that are not active or inputs that are observable for</w:t>
      </w:r>
    </w:p>
    <w:p>
      <w:pPr>
        <w:ind w:left="1460"/>
        <w:spacing w:after="0"/>
        <w:rPr>
          <w:sz w:val="20"/>
          <w:szCs w:val="20"/>
          <w:color w:val="auto"/>
        </w:rPr>
      </w:pPr>
      <w:r>
        <w:rPr>
          <w:rFonts w:ascii="Arial" w:cs="Arial" w:eastAsia="Arial" w:hAnsi="Arial"/>
          <w:sz w:val="18"/>
          <w:szCs w:val="18"/>
          <w:color w:val="auto"/>
        </w:rPr>
        <w:t>substantially the full term of the asset or liability</w:t>
      </w:r>
    </w:p>
    <w:p>
      <w:pPr>
        <w:spacing w:after="0" w:line="9" w:lineRule="exact"/>
        <w:rPr>
          <w:sz w:val="20"/>
          <w:szCs w:val="20"/>
          <w:color w:val="auto"/>
        </w:rPr>
      </w:pPr>
    </w:p>
    <w:p>
      <w:pPr>
        <w:ind w:left="1380" w:right="620" w:hanging="809"/>
        <w:spacing w:after="0" w:line="260" w:lineRule="auto"/>
        <w:tabs>
          <w:tab w:leader="none" w:pos="1360" w:val="left"/>
        </w:tabs>
        <w:rPr>
          <w:sz w:val="20"/>
          <w:szCs w:val="20"/>
          <w:color w:val="auto"/>
        </w:rPr>
      </w:pPr>
      <w:r>
        <w:rPr>
          <w:rFonts w:ascii="Arial" w:cs="Arial" w:eastAsia="Arial" w:hAnsi="Arial"/>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right="400" w:firstLine="648"/>
        <w:spacing w:after="0" w:line="269" w:lineRule="auto"/>
        <w:rPr>
          <w:sz w:val="20"/>
          <w:szCs w:val="20"/>
          <w:color w:val="auto"/>
        </w:rPr>
      </w:pPr>
      <w:r>
        <w:rPr>
          <w:rFonts w:ascii="Arial" w:cs="Arial" w:eastAsia="Arial" w:hAnsi="Arial"/>
          <w:sz w:val="18"/>
          <w:szCs w:val="18"/>
          <w:color w:val="auto"/>
        </w:rPr>
        <w:t>The Company’s fair value hierarchy for its financial assets and liabilities that are measured at fair value on a recurring basis are as follows (in thousands):</w:t>
      </w: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ind w:left="340"/>
              <w:spacing w:after="0"/>
              <w:rPr>
                <w:sz w:val="20"/>
                <w:szCs w:val="20"/>
                <w:color w:val="auto"/>
              </w:rPr>
            </w:pPr>
            <w:r>
              <w:rPr>
                <w:rFonts w:ascii="Arial" w:cs="Arial" w:eastAsia="Arial" w:hAnsi="Arial"/>
                <w:sz w:val="14"/>
                <w:szCs w:val="14"/>
                <w:b w:val="1"/>
                <w:bCs w:val="1"/>
                <w:color w:val="auto"/>
              </w:rPr>
              <w:t>July 31, 2022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b w:val="1"/>
                <w:bCs w:val="1"/>
                <w:color w:val="auto"/>
              </w:rPr>
              <w:t>January 31, 2022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6"/>
        </w:trPr>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9"/>
        </w:trPr>
        <w:tc>
          <w:tcPr>
            <w:tcW w:w="2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Total</w:t>
            </w:r>
          </w:p>
        </w:tc>
      </w:tr>
      <w:tr>
        <w:trPr>
          <w:trHeight w:val="20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16"/>
        </w:trPr>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300,027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300,027</w:t>
            </w: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84,979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84,979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300,027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300,027</w:t>
            </w:r>
          </w:p>
        </w:tc>
      </w:tr>
      <w:tr>
        <w:trPr>
          <w:trHeight w:val="21"/>
        </w:trPr>
        <w:tc>
          <w:tcPr>
            <w:tcW w:w="2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12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“Cash and cash equivalents” on the condensed consolidated balance sheets.</w:t>
      </w:r>
    </w:p>
    <w:p>
      <w:pPr>
        <w:spacing w:after="0" w:line="21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 were no transfers between the levels of the fair value hierarchy during the periods presented.</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 following summarizes the net carrying value of the strategic investments, which are Level 3 within the fair value hierarchy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July 31, 2022</w:t>
            </w:r>
          </w:p>
        </w:tc>
        <w:tc>
          <w:tcPr>
            <w:tcW w:w="180" w:type="dxa"/>
            <w:vAlign w:val="bottom"/>
          </w:tcPr>
          <w:p>
            <w:pPr>
              <w:spacing w:after="0"/>
              <w:rPr>
                <w:sz w:val="16"/>
                <w:szCs w:val="16"/>
                <w:color w:val="auto"/>
              </w:rPr>
            </w:pPr>
          </w:p>
        </w:tc>
        <w:tc>
          <w:tcPr>
            <w:tcW w:w="13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January 31, 2022</w:t>
            </w:r>
          </w:p>
        </w:tc>
        <w:tc>
          <w:tcPr>
            <w:tcW w:w="0" w:type="dxa"/>
            <w:vAlign w:val="bottom"/>
          </w:tcPr>
          <w:p>
            <w:pPr>
              <w:spacing w:after="0"/>
              <w:rPr>
                <w:sz w:val="1"/>
                <w:szCs w:val="1"/>
                <w:color w:val="auto"/>
              </w:rPr>
            </w:pPr>
          </w:p>
        </w:tc>
      </w:tr>
      <w:tr>
        <w:trPr>
          <w:trHeight w:val="26"/>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initial cost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18,809</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gains due to changes in fair value</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Carrying value</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3. Balance Sheet Components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1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ind w:left="66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July 31, 2022</w:t>
            </w:r>
          </w:p>
        </w:tc>
        <w:tc>
          <w:tcPr>
            <w:tcW w:w="180" w:type="dxa"/>
            <w:vAlign w:val="bottom"/>
          </w:tcPr>
          <w:p>
            <w:pPr>
              <w:spacing w:after="0"/>
              <w:rPr>
                <w:sz w:val="17"/>
                <w:szCs w:val="17"/>
                <w:color w:val="auto"/>
              </w:rPr>
            </w:pPr>
          </w:p>
        </w:tc>
        <w:tc>
          <w:tcPr>
            <w:tcW w:w="13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January 31, 2022</w:t>
            </w:r>
          </w:p>
        </w:tc>
        <w:tc>
          <w:tcPr>
            <w:tcW w:w="0" w:type="dxa"/>
            <w:vAlign w:val="bottom"/>
          </w:tcPr>
          <w:p>
            <w:pPr>
              <w:spacing w:after="0"/>
              <w:rPr>
                <w:sz w:val="1"/>
                <w:szCs w:val="1"/>
                <w:color w:val="auto"/>
              </w:rPr>
            </w:pPr>
          </w:p>
        </w:tc>
      </w:tr>
      <w:tr>
        <w:trPr>
          <w:trHeight w:val="25"/>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 and other computer equipment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198,297</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Capitalized internal-use software and website development costs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86,640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70,476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22,029</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process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99,030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402,355</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(173,962)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(141,778)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383,012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260,577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Construction in process mainly includes data center equipment purchased that has not yet been placed in service. Data center equipment that was purchased but not yet been placed into service was $183.8 million as of July 31, 2022.</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Depreciation and amortization expense of property and equipment was $17.8 million and $12.7 million during the three months ended July 31, 2022 and July 31, 2021, respectively, and $34.1 million and $24.7 million during the six months ended July 31, 2022 and July 31, 2021, respectively.</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There was no impairment of property and equipment during the three and six months ended July 31, 2022 and July 31, 2021. The Company capitalized $13.5 million and $7.6 million in internal-use software and website development costs during the three months ended July 31, 2022 and July 31, 2021, respectively, and $21.6 million and $13.8 million during the six months ended July 31, 2022 and July 31, 2021, respectively. Amortization expense associated with internal-use software and website development costs totaled $4.9 million and $2.8 million during the three months ended July 31, 2022 and July 31, 2021,</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respectively, and $9.2 million and $5.3 million during the six months ended July 31, 2022 and July 31, 2021, respectively. The net book value of capitalized internal-use software and website development costs was $51.0 million and $38.6 million as of July 31, 2022 and January 31, 2022,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intangible assets, net consisted of the following (dollars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July 31, 2022</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1"/>
                <w:szCs w:val="11"/>
                <w:color w:val="auto"/>
              </w:rPr>
            </w:pPr>
          </w:p>
        </w:tc>
        <w:tc>
          <w:tcPr>
            <w:tcW w:w="12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1"/>
                <w:szCs w:val="11"/>
                <w:color w:val="auto"/>
              </w:rPr>
            </w:pPr>
          </w:p>
        </w:tc>
        <w:tc>
          <w:tcPr>
            <w:tcW w:w="1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7"/>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4"/>
        </w:trPr>
        <w:tc>
          <w:tcPr>
            <w:tcW w:w="4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months)</w:t>
            </w:r>
          </w:p>
        </w:tc>
        <w:tc>
          <w:tcPr>
            <w:tcW w:w="0" w:type="dxa"/>
            <w:vAlign w:val="bottom"/>
          </w:tcPr>
          <w:p>
            <w:pPr>
              <w:spacing w:after="0"/>
              <w:rPr>
                <w:sz w:val="1"/>
                <w:szCs w:val="1"/>
                <w:color w:val="auto"/>
              </w:rPr>
            </w:pPr>
          </w:p>
        </w:tc>
      </w:tr>
      <w:tr>
        <w:trPr>
          <w:trHeight w:val="23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9,116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89,840</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493"/>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January 31, 2022</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1"/>
                <w:szCs w:val="11"/>
                <w:color w:val="auto"/>
              </w:rPr>
            </w:pPr>
          </w:p>
        </w:tc>
        <w:tc>
          <w:tcPr>
            <w:tcW w:w="12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1"/>
                <w:szCs w:val="11"/>
                <w:color w:val="auto"/>
              </w:rPr>
            </w:pPr>
          </w:p>
        </w:tc>
        <w:tc>
          <w:tcPr>
            <w:tcW w:w="1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4"/>
        </w:trPr>
        <w:tc>
          <w:tcPr>
            <w:tcW w:w="4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months)</w:t>
            </w:r>
          </w:p>
        </w:tc>
        <w:tc>
          <w:tcPr>
            <w:tcW w:w="0" w:type="dxa"/>
            <w:vAlign w:val="bottom"/>
          </w:tcPr>
          <w:p>
            <w:pPr>
              <w:spacing w:after="0"/>
              <w:rPr>
                <w:sz w:val="1"/>
                <w:szCs w:val="1"/>
                <w:color w:val="auto"/>
              </w:rPr>
            </w:pPr>
          </w:p>
        </w:tc>
      </w:tr>
      <w:tr>
        <w:trPr>
          <w:trHeight w:val="23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10,072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900" w:type="dxa"/>
            <w:vAlign w:val="bottom"/>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97,336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Amortization expense of intangible assets was $4.1 million and $3.3 million during the three months ended July 31, 2022 and July 31, 2021, respectively, and $8.2 million and $5.7 million during the six months ended July 31, 2022 and July 31, 2021,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660"/>
              <w:spacing w:after="0"/>
              <w:rPr>
                <w:sz w:val="20"/>
                <w:szCs w:val="20"/>
                <w:color w:val="auto"/>
              </w:rPr>
            </w:pPr>
            <w:r>
              <w:rPr>
                <w:rFonts w:ascii="Arial" w:cs="Arial" w:eastAsia="Arial" w:hAnsi="Arial"/>
                <w:sz w:val="18"/>
                <w:szCs w:val="18"/>
                <w:color w:val="auto"/>
                <w:w w:val="93"/>
              </w:rPr>
              <w:t>The estimated aggregate future amortization expense of intangible assets as of July 31, 2022 is as follows (in thousands):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97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 (remaining six months)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15,631</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14,460</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23,785</w:t>
            </w:r>
          </w:p>
        </w:tc>
      </w:tr>
      <w:tr>
        <w:trPr>
          <w:trHeight w:val="248"/>
        </w:trPr>
        <w:tc>
          <w:tcPr>
            <w:tcW w:w="9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developed technology, customer relationships, and other acquired intangible assets are amortized over their estimated useful lives, generally on a straight-line basis for periods ranging from 2 to 20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Goodwill</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9720" w:type="dxa"/>
            <w:vAlign w:val="bottom"/>
          </w:tcPr>
          <w:p>
            <w:pPr>
              <w:ind w:left="660"/>
              <w:spacing w:after="0"/>
              <w:rPr>
                <w:sz w:val="20"/>
                <w:szCs w:val="20"/>
                <w:color w:val="auto"/>
              </w:rPr>
            </w:pPr>
            <w:r>
              <w:rPr>
                <w:rFonts w:ascii="Arial" w:cs="Arial" w:eastAsia="Arial" w:hAnsi="Arial"/>
                <w:sz w:val="18"/>
                <w:szCs w:val="18"/>
                <w:color w:val="auto"/>
              </w:rPr>
              <w:t>The changes in goodwill during the six months ended July 31, 2022 consisted of the following (in thousands):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9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as of January 31, 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416,445</w:t>
            </w:r>
          </w:p>
        </w:tc>
      </w:tr>
      <w:tr>
        <w:trPr>
          <w:trHeight w:val="230"/>
        </w:trPr>
        <w:tc>
          <w:tcPr>
            <w:tcW w:w="9720" w:type="dxa"/>
            <w:vAlign w:val="bottom"/>
          </w:tcPr>
          <w:p>
            <w:pPr>
              <w:ind w:left="140"/>
              <w:spacing w:after="0"/>
              <w:rPr>
                <w:sz w:val="20"/>
                <w:szCs w:val="20"/>
                <w:color w:val="auto"/>
              </w:rPr>
            </w:pPr>
            <w:r>
              <w:rPr>
                <w:rFonts w:ascii="Arial" w:cs="Arial" w:eastAsia="Arial" w:hAnsi="Arial"/>
                <w:sz w:val="18"/>
                <w:szCs w:val="18"/>
                <w:color w:val="auto"/>
              </w:rPr>
              <w:t>Goodwill adjustment for the SecureCircle acquisition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9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color w:val="auto"/>
              </w:rPr>
              <w:t>Goodwill as of July 31, 2022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416,066</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2022</w:t>
            </w:r>
          </w:p>
        </w:tc>
        <w:tc>
          <w:tcPr>
            <w:tcW w:w="180" w:type="dxa"/>
            <w:vAlign w:val="bottom"/>
          </w:tcPr>
          <w:p>
            <w:pPr>
              <w:spacing w:after="0"/>
              <w:rPr>
                <w:sz w:val="16"/>
                <w:szCs w:val="16"/>
                <w:color w:val="auto"/>
              </w:rPr>
            </w:pPr>
          </w:p>
        </w:tc>
        <w:tc>
          <w:tcPr>
            <w:tcW w:w="13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January 31, 2022</w:t>
            </w:r>
          </w:p>
        </w:tc>
        <w:tc>
          <w:tcPr>
            <w:tcW w:w="0" w:type="dxa"/>
            <w:vAlign w:val="bottom"/>
          </w:tcPr>
          <w:p>
            <w:pPr>
              <w:spacing w:after="0"/>
              <w:rPr>
                <w:sz w:val="1"/>
                <w:szCs w:val="1"/>
                <w:color w:val="auto"/>
              </w:rPr>
            </w:pPr>
          </w:p>
        </w:tc>
      </w:tr>
      <w:tr>
        <w:trPr>
          <w:trHeight w:val="26"/>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Web hosting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23,711</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Accrued purchases of property and equipment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Accrued marketing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9,801</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expense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Accrued consulting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partner commissions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83,382</w:t>
            </w:r>
          </w:p>
        </w:tc>
        <w:tc>
          <w:tcPr>
            <w:tcW w:w="0" w:type="dxa"/>
            <w:vAlign w:val="bottom"/>
          </w:tcPr>
          <w:p>
            <w:pPr>
              <w:spacing w:after="0"/>
              <w:rPr>
                <w:sz w:val="1"/>
                <w:szCs w:val="1"/>
                <w:color w:val="auto"/>
              </w:rPr>
            </w:pPr>
          </w:p>
        </w:tc>
      </w:tr>
      <w:tr>
        <w:trPr>
          <w:trHeight w:val="21"/>
        </w:trPr>
        <w:tc>
          <w:tcPr>
            <w:tcW w:w="8100" w:type="dxa"/>
            <w:vAlign w:val="bottom"/>
            <w:vMerge w:val="restart"/>
          </w:tcPr>
          <w:p>
            <w:pPr>
              <w:ind w:left="660"/>
              <w:spacing w:after="0"/>
              <w:rPr>
                <w:sz w:val="20"/>
                <w:szCs w:val="20"/>
                <w:color w:val="auto"/>
              </w:rPr>
            </w:pPr>
            <w:r>
              <w:rPr>
                <w:rFonts w:ascii="Arial" w:cs="Arial" w:eastAsia="Arial" w:hAnsi="Arial"/>
                <w:sz w:val="18"/>
                <w:szCs w:val="18"/>
                <w:b w:val="1"/>
                <w:bCs w:val="1"/>
                <w:i w:val="1"/>
                <w:iCs w:val="1"/>
                <w:color w:val="auto"/>
              </w:rPr>
              <w:t>Accrued Payroll and Benefits</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ind w:left="660"/>
              <w:spacing w:after="0"/>
              <w:rPr>
                <w:sz w:val="20"/>
                <w:szCs w:val="20"/>
                <w:color w:val="auto"/>
              </w:rPr>
            </w:pPr>
            <w:r>
              <w:rPr>
                <w:rFonts w:ascii="Arial" w:cs="Arial" w:eastAsia="Arial" w:hAnsi="Arial"/>
                <w:sz w:val="18"/>
                <w:szCs w:val="18"/>
                <w:color w:val="auto"/>
              </w:rPr>
              <w:t>Accrued payroll and benefits consisted of the following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2022</w:t>
            </w:r>
          </w:p>
        </w:tc>
        <w:tc>
          <w:tcPr>
            <w:tcW w:w="180" w:type="dxa"/>
            <w:vAlign w:val="bottom"/>
          </w:tcPr>
          <w:p>
            <w:pPr>
              <w:spacing w:after="0"/>
              <w:rPr>
                <w:sz w:val="17"/>
                <w:szCs w:val="17"/>
                <w:color w:val="auto"/>
              </w:rPr>
            </w:pPr>
          </w:p>
        </w:tc>
        <w:tc>
          <w:tcPr>
            <w:tcW w:w="13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January 31, 2022</w:t>
            </w:r>
          </w:p>
        </w:tc>
        <w:tc>
          <w:tcPr>
            <w:tcW w:w="0" w:type="dxa"/>
            <w:vAlign w:val="bottom"/>
          </w:tcPr>
          <w:p>
            <w:pPr>
              <w:spacing w:after="0"/>
              <w:rPr>
                <w:sz w:val="1"/>
                <w:szCs w:val="1"/>
                <w:color w:val="auto"/>
              </w:rPr>
            </w:pPr>
          </w:p>
        </w:tc>
      </w:tr>
      <w:tr>
        <w:trPr>
          <w:trHeight w:val="26"/>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30,404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24,910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14,764</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payroll and benefits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In April 2020, the Company began deferring payment on its share of payroll taxes owed, as permitted by the CARES Act through December 31, 2020. As of July 31, 2022 and January 31, 2022, the Company had deferred $5.1 million of payroll taxes in other current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Secured Revolving Credit Facility</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164"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6"/>
          <w:szCs w:val="16"/>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w:t>
      </w:r>
    </w:p>
    <w:p>
      <w:pPr>
        <w:spacing w:after="0" w:line="1" w:lineRule="exact"/>
        <w:rPr>
          <w:sz w:val="20"/>
          <w:szCs w:val="20"/>
          <w:color w:val="auto"/>
        </w:rPr>
      </w:pPr>
    </w:p>
    <w:p>
      <w:pPr>
        <w:ind w:right="120" w:firstLine="8"/>
        <w:spacing w:after="0" w:line="298"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Secured Overnight Finance Rate (the “Term SOFR”) for a one-month tenor in effect on such day plus 1.00%, in each case plus a margin between (0.25)% and 0.25%, depending on the senior secured leverage ratio. The Company will be charged a commitment fee of 0.15% to 0.25% per year</w:t>
      </w:r>
    </w:p>
    <w:p>
      <w:pPr>
        <w:spacing w:after="0" w:line="1" w:lineRule="exact"/>
        <w:rPr>
          <w:rFonts w:ascii="Arial" w:cs="Arial" w:eastAsia="Arial" w:hAnsi="Arial"/>
          <w:sz w:val="16"/>
          <w:szCs w:val="16"/>
          <w:color w:val="auto"/>
        </w:rPr>
      </w:pPr>
    </w:p>
    <w:p>
      <w:pPr>
        <w:ind w:right="180"/>
        <w:spacing w:after="0" w:line="293" w:lineRule="auto"/>
        <w:rPr>
          <w:rFonts w:ascii="Arial" w:cs="Arial" w:eastAsia="Arial" w:hAnsi="Arial"/>
          <w:sz w:val="16"/>
          <w:szCs w:val="16"/>
          <w:color w:val="auto"/>
        </w:rPr>
      </w:pPr>
      <w:r>
        <w:rPr>
          <w:rFonts w:ascii="Arial" w:cs="Arial" w:eastAsia="Arial" w:hAnsi="Arial"/>
          <w:sz w:val="18"/>
          <w:szCs w:val="18"/>
          <w:color w:val="auto"/>
        </w:rPr>
        <w:t>for committed but unused amounts, depending on the senior secured leverage ratio. The financial covenants require the Company to maintain a minimum consolidated interest coverage ratio of 3.00:1.00, a maximum senior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secured leverage ratio of 3.00:1.00 (through January 31, 2023), and a maximum total leverage ratio of 5.50:1.00 stepping down to 3.50:1.00 over time. The Company was in compliance with the financial covenants as of July 31, 2022.</w:t>
      </w:r>
    </w:p>
    <w:p>
      <w:pPr>
        <w:spacing w:after="0" w:line="157"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outstanding under the Amended A&amp;R Credit Agreement as of July 31, 2022 and January 31,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6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and $12.0 million during both the three and six months ended July 31, 2022 and 2021.</w:t>
      </w:r>
    </w:p>
    <w:p>
      <w:pPr>
        <w:spacing w:after="0" w:line="18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indenture governing the Senior Notes (the “Indenture”) contain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July 31, 2022, the Company was in compliance with all of its financial covenants under the Indenture associated with the Senior Notes.</w:t>
      </w:r>
    </w:p>
    <w:p>
      <w:pPr>
        <w:spacing w:after="0" w:line="23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Based on the trading prices of the Senior Notes, the fair value of the Senior Notes was approximately $685.8 million and $708.7 million as of July 31, 2022 and January 31, 2022,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Income Taxes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recognized income tax expense of $4.8 million and $4.2 million for the three months ended July 31, 2022 and July 31, 2021, respectively, and $8.2 million and $54.3 million for the six months ended July 31, 2022 and July 31, 2021, respectively. The tax expense for the three and six months ended July 31, 2022 was primarily attributable to pre-tax foreign earnings and withholding taxes related to customer payments in certain foreign jurisdictions in which the Company conducts business. The tax expense for the three months ended July 31, 2021 was primarily attributable to pre-tax foreign earnings. The tax</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expense for the six months ended July 31, 2021 was primarily attributable to pre-tax foreign earnings and the intercompany sale of intellectual property from Humio. The Company’s effective tax rates of (11.0)% and (8.0)% for the three months ended July 31, 2022 and July 31, 2021, respectively, and (11.7)% and (61.7)% for the six months ended July 31, 2022 and July 31, 2021, respectively, differ from the U.S. statutory tax rate primarily due to U.S. losses for which there is no benefit and the tax impact from the intercompany sale of intellectual property from Humio for the six months ended July 31, 2021.</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has a full valuation allowance on its U.S. federal and state and its U.K. deferred tax assets. As a result, the Company does not record a tax benefit on these losses because it is more likely than not that the benefit will not be realized.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balance of gross unrecognized tax benefits was $35.1 million and $26.3 million as of July 31, 2022 and January 31, 2022,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 was primarily due to establishing an uncertain tax position associated with research &amp; development tax credits. As of July 31, 2022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31, 2022, approximately $2.8 million and $1.9 million, respectively of the unrecognized tax benefits including interest and penalties would affect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tax rate if favorably resolved. The Company is subject to examination by tax authorities both domestically and internationally.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believes that adequate amounts have been reserved for any adjustments that may result from these examinations, although the Company cannot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assure that this will be the case given the inherent uncertainties in these examinations. It is impractical to determine the amount and timing of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adjustments. The potential change in unrecognized tax benefits during the next 12 months is not expected to be material.</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w:t>
      </w:r>
    </w:p>
    <w:p>
      <w:pPr>
        <w:spacing w:after="0" w:line="177" w:lineRule="exact"/>
        <w:rPr>
          <w:sz w:val="20"/>
          <w:szCs w:val="20"/>
          <w:color w:val="auto"/>
        </w:rPr>
      </w:pPr>
    </w:p>
    <w:p>
      <w:pPr>
        <w:jc w:val="right"/>
        <w:ind w:left="660" w:right="9020" w:hanging="652"/>
        <w:spacing w:after="0" w:line="601" w:lineRule="auto"/>
        <w:tabs>
          <w:tab w:leader="none" w:pos="192"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Stock-Based Compensation Stock Incentive Plan</w:t>
      </w:r>
    </w:p>
    <w:p>
      <w:pPr>
        <w:ind w:firstLine="648"/>
        <w:spacing w:after="0" w:line="272" w:lineRule="auto"/>
        <w:rPr>
          <w:sz w:val="20"/>
          <w:szCs w:val="20"/>
          <w:color w:val="auto"/>
        </w:rPr>
      </w:pPr>
      <w:r>
        <w:rPr>
          <w:rFonts w:ascii="Arial" w:cs="Arial" w:eastAsia="Arial" w:hAnsi="Arial"/>
          <w:sz w:val="17"/>
          <w:szCs w:val="17"/>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17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was estimated on the date of grant using the following assumptions during the period: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Six Months Ended July 31,</w:t>
            </w:r>
          </w:p>
        </w:tc>
        <w:tc>
          <w:tcPr>
            <w:tcW w:w="0" w:type="dxa"/>
            <w:vAlign w:val="bottom"/>
          </w:tcPr>
          <w:p>
            <w:pPr>
              <w:spacing w:after="0"/>
              <w:rPr>
                <w:sz w:val="1"/>
                <w:szCs w:val="1"/>
                <w:color w:val="auto"/>
              </w:rPr>
            </w:pPr>
          </w:p>
        </w:tc>
      </w:tr>
      <w:tr>
        <w:trPr>
          <w:trHeight w:val="192"/>
        </w:trPr>
        <w:tc>
          <w:tcPr>
            <w:tcW w:w="8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3.82 - 5.63</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 - 1.0%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- 37.1%</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526"/>
        </w:trPr>
        <w:tc>
          <w:tcPr>
            <w:tcW w:w="8100" w:type="dxa"/>
            <w:vAlign w:val="bottom"/>
          </w:tcPr>
          <w:p>
            <w:pPr>
              <w:ind w:left="660"/>
              <w:spacing w:after="0"/>
              <w:rPr>
                <w:sz w:val="20"/>
                <w:szCs w:val="20"/>
                <w:color w:val="auto"/>
              </w:rPr>
            </w:pPr>
            <w:r>
              <w:rPr>
                <w:rFonts w:ascii="Arial" w:cs="Arial" w:eastAsia="Arial" w:hAnsi="Arial"/>
                <w:sz w:val="18"/>
                <w:szCs w:val="18"/>
                <w:color w:val="auto"/>
              </w:rPr>
              <w:t>There were no stock options granted during the three and six months ended July 31, 2022.</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ind w:left="660"/>
              <w:spacing w:after="0"/>
              <w:rPr>
                <w:sz w:val="20"/>
                <w:szCs w:val="20"/>
                <w:color w:val="auto"/>
              </w:rPr>
            </w:pPr>
            <w:r>
              <w:rPr>
                <w:rFonts w:ascii="Arial" w:cs="Arial" w:eastAsia="Arial" w:hAnsi="Arial"/>
                <w:sz w:val="18"/>
                <w:szCs w:val="18"/>
                <w:color w:val="auto"/>
                <w:w w:val="97"/>
              </w:rPr>
              <w:t>The following table is a summary of stock option activity for the six months ended July 31, 2022:</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94"/>
        </w:trPr>
        <w:tc>
          <w:tcPr>
            <w:tcW w:w="810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31, 2022</w:t>
            </w:r>
          </w:p>
        </w:tc>
        <w:tc>
          <w:tcPr>
            <w:tcW w:w="1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3,938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July 31, 2022</w:t>
            </w:r>
          </w:p>
        </w:tc>
        <w:tc>
          <w:tcPr>
            <w:tcW w:w="15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3,275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vested and expected to vest at July 31, 2022</w:t>
            </w:r>
          </w:p>
        </w:tc>
        <w:tc>
          <w:tcPr>
            <w:tcW w:w="15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3,275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Options exercisable at July 31, 2022</w:t>
            </w:r>
          </w:p>
        </w:tc>
        <w:tc>
          <w:tcPr>
            <w:tcW w:w="1520" w:type="dxa"/>
            <w:vAlign w:val="bottom"/>
            <w:tcBorders>
              <w:bottom w:val="single" w:sz="8" w:color="auto"/>
            </w:tcBorders>
            <w:gridSpan w:val="2"/>
          </w:tcPr>
          <w:p>
            <w:pPr>
              <w:jc w:val="right"/>
              <w:ind w:right="8"/>
              <w:spacing w:after="0" w:line="203" w:lineRule="exact"/>
              <w:rPr>
                <w:sz w:val="20"/>
                <w:szCs w:val="20"/>
                <w:color w:val="auto"/>
              </w:rPr>
            </w:pPr>
            <w:r>
              <w:rPr>
                <w:rFonts w:ascii="Arial" w:cs="Arial" w:eastAsia="Arial" w:hAnsi="Arial"/>
                <w:sz w:val="18"/>
                <w:szCs w:val="18"/>
                <w:color w:val="auto"/>
              </w:rPr>
              <w:t>2,661</w:t>
            </w:r>
          </w:p>
        </w:tc>
        <w:tc>
          <w:tcPr>
            <w:tcW w:w="2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Options outstanding include 351,989 options that were unvested and exercisable as of July 31, 2022.</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aggregate intrinsic value of options vested and exercisable was $467.9 million and $480.5 million as of July 31, 2022 and January 31, 2022, respectively. The weighted-average remaining contractual term of options vested and exercisable was 5.4 years and 5.7 years as of July 31, 2022 and January 31, 2022, respectively.</w:t>
      </w:r>
    </w:p>
    <w:p>
      <w:pPr>
        <w:spacing w:after="0" w:line="18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weighted-average grant date fair values of all options granted was $180.08 per share during the six months ended July 31, 2021. The total intrinsic value of all options exercised was $36.4 million and $234.0 million during the three months ended July 31, 2022 and July 31, 2021, respectively, and $117.7 million and $388.4 million during the six months ended July 31, 2022 and July 31, 2021, respectively.</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aggregate intrinsic value of stock options outstanding as of July 31, 2022 and January 31, 2022 was $573.2 million and $678.0 million, respectively, which represents the excess of the fair value of the Company’s common stock over the exercise price of the options multiplied by the number of options outstanding. The weighted-average remaining contractual term of stock options outstanding was 5.6 years and 6.1 years as of July 31, 2022 and January 31, 2022, respectively.</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Total unrecognized stock-based compensation expense related to unvested options was $9.4 million as of July 31, 2022. This expense is expected to be amortized on a straight-line basis over a weighted-average vesting period of 1.5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during the three and six months ended July 31, 2022 or July 31, 2021. As of July 31, 2022, the number of shares of common stock related to early exercised stock options subject to repurchase was 65,998 shares for $0.7 million. As of January 31, 2022, the number of shares of common stock related to early exercised stock options subject to repurchase was 197,994 shares for $2.2 million. Common stock purchased pursuant to an early exercise of stock options is not deemed to be outstanding for accounting purposes until those shares vest. The Company includes unvested shares subject to repurchase in the number of shares outstanding in the condensed consolidated balance sheet and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Restricted Stock Units (“RSUs”) granted under the 2019 Plan are generally subject to only service-based vesting condition. The service-based vesting condition is generally satisfied based on one of four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(iii) vesting in eight equal quarterly installments, subject to continued service, or (iv) vesting sixteen quarterly installments with 10% in the first year, 15% in the second year, 25% in the third year and 50% in the fourth year, subject to continued service. The valuation of such RSUs is based solely on the fair value of the Company’s stock price on the date of grant.</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Expense for RSUs is generally amortized on a straight-line basis. Total unrecognized stock-based compensation expense related to unvested RSUs was $980.6 million as of July 31, 2022. This expense is expected to be amortized (subject to acceleration or straight-line basis) over a weighted-average vesting period of 2.5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Performance-based Stock Units</w:t>
      </w:r>
    </w:p>
    <w:p>
      <w:pPr>
        <w:spacing w:after="0" w:line="225" w:lineRule="exact"/>
        <w:rPr>
          <w:sz w:val="20"/>
          <w:szCs w:val="20"/>
          <w:color w:val="auto"/>
        </w:rPr>
      </w:pPr>
    </w:p>
    <w:p>
      <w:pPr>
        <w:ind w:right="180" w:firstLine="648"/>
        <w:spacing w:after="0" w:line="249" w:lineRule="auto"/>
        <w:rPr>
          <w:sz w:val="20"/>
          <w:szCs w:val="20"/>
          <w:color w:val="auto"/>
        </w:rPr>
      </w:pPr>
      <w:r>
        <w:rPr>
          <w:rFonts w:ascii="Arial" w:cs="Arial" w:eastAsia="Arial" w:hAnsi="Arial"/>
          <w:sz w:val="18"/>
          <w:szCs w:val="18"/>
          <w:color w:val="auto"/>
        </w:rPr>
        <w:t>Performance-based stock units (“PSUs”)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compensation cost is recognized over the requisite service period when it is probable that the performance condition will be satisfied.</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Expense for PSUs is amortized under the accelerated attribution method and may be adjusted over the vesting period based on interim estimates of performance against pre-set objectives.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Total unrecognized stock-based compensation expense related to unvested PSUs was $101.1 million as of July 31, 2022. This expense is expected to be amortized over a weighted-average vesting period of 1.4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PSU Awards</w:t>
      </w:r>
    </w:p>
    <w:p>
      <w:pPr>
        <w:spacing w:after="0" w:line="21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In fiscal 2022 the Company’s Board of Directors granted 655,000 performance stock units (the “Special PSU Awards”) to certain executives under the 2019 Plan. The Special PSU Awards will vest upon the satisfaction of the Company’s achievement of specified stock price hurdles, which is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w:t>
      </w:r>
      <w:r>
        <w:rPr>
          <w:rFonts w:ascii="Arial" w:cs="Arial" w:eastAsia="Arial" w:hAnsi="Arial"/>
          <w:sz w:val="17"/>
          <w:szCs w:val="17"/>
          <w:i w:val="1"/>
          <w:iCs w:val="1"/>
          <w:color w:val="auto"/>
        </w:rPr>
        <w:t>i.e.</w:t>
      </w:r>
      <w:r>
        <w:rPr>
          <w:rFonts w:ascii="Arial" w:cs="Arial" w:eastAsia="Arial" w:hAnsi="Arial"/>
          <w:sz w:val="17"/>
          <w:szCs w:val="17"/>
          <w:color w:val="auto"/>
        </w:rPr>
        <w:t>, February 1, 2022, February 1, 2023, February 1, 2024 and February 1, 2025) and (ii) the remaining PSUs with respect to such tranche will thereafter service vest in four equal quarterly installments of 12.5%.</w:t>
      </w:r>
    </w:p>
    <w:p>
      <w:pPr>
        <w:spacing w:after="0" w:line="127"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Company measured the fair value of the Special PSU Awards on the grant date using a Monte Carlo simulation valuation model. The risk-free interest rates used were 0.85% -1.51%, which was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w:t>
      </w:r>
    </w:p>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Stock-based compensation expense relating to the Special PSU Awards is recognized using the accelerated attribution method over the longer of the derived service period and the explicit service period.</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Total unrecognized stock-based compensation expense related to the unvested portion of the Special PSU Awards was $92.5 million as of July 31, 2022. This expense is expected to be amortized over a weighted-average vesting period of 2.3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RSUs, PSUs and the Special PSU Awards activities for the six months ended July 31,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4"/>
        </w:trPr>
        <w:tc>
          <w:tcPr>
            <w:tcW w:w="8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5"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94"/>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RSUs and PSUs outstanding at January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2,675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3"/>
                <w:szCs w:val="23"/>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194.14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162.51</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RSUs and PSUs outstanding at July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234" w:lineRule="exact"/>
        <w:rPr>
          <w:sz w:val="20"/>
          <w:szCs w:val="20"/>
          <w:color w:val="auto"/>
        </w:rPr>
      </w:pPr>
    </w:p>
    <w:p>
      <w:pPr>
        <w:ind w:left="660" w:right="12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performance adjustment represents adjustments in shares outstanding due to the actual achievement of performance-based awards, the achievement of which was based upon predefined financial performance targets.</w:t>
      </w:r>
    </w:p>
    <w:p>
      <w:pPr>
        <w:spacing w:after="0" w:line="16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8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65"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pre- and post-modification fair values are calculated on the date of the modification, and the total incremental expense was $11.4 million as of July 31, 2022 to be amortized over the remaining purchase periods.</w:t>
      </w:r>
    </w:p>
    <w:p>
      <w:pPr>
        <w:spacing w:after="0" w:line="19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ESPP offers a two-year look-back feature as well as a rollover feature that provides for an offering period to be rolled over to a new lower-priced offering if the offering price of the new offering period is less than that of the current offering period. An ESPP rollover occurred on June 13, 2022 because the Company’s closing stock price on the purchase date, June 10, 2022, was lower than the Company’s closing stock price on December 11, 2020, June 11, 2021, and December 13, 2021, which were the first days of each offering period. As a result, these offering dates were rolled over to a new 24-month offering period through June 10, 2024. This rollover was accounted for as a modification to the original offerings. The total incremental expense as a result of such modification was $30.9 million to be amortized from June 13, 2022 to June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Employee payroll contributions ultimately used to purchase shares are reclassified to stockholders’ equity on the purchase date. ESPP employee payroll contributions accrued at July 31, 2022 and January 31, 2022 totaled $9.9 million and $14.8 million respectively, and are included within accrued payroll and benefits in the condensed consolidated balance sheets.</w:t>
      </w:r>
    </w:p>
    <w:p>
      <w:pPr>
        <w:spacing w:after="0" w:line="18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to be issued under the ESPP for the offering periods beginning in June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July 31,</w:t>
            </w:r>
          </w:p>
        </w:tc>
        <w:tc>
          <w:tcPr>
            <w:tcW w:w="620" w:type="dxa"/>
            <w:vAlign w:val="bottom"/>
            <w:tcBorders>
              <w:bottom w:val="single" w:sz="8" w:color="auto"/>
            </w:tcBorders>
          </w:tcPr>
          <w:p>
            <w:pPr>
              <w:spacing w:after="0"/>
              <w:rPr>
                <w:sz w:val="20"/>
                <w:szCs w:val="20"/>
                <w:color w:val="auto"/>
              </w:rPr>
            </w:pPr>
          </w:p>
        </w:tc>
      </w:tr>
      <w:tr>
        <w:trPr>
          <w:trHeight w:val="223"/>
        </w:trPr>
        <w:tc>
          <w:tcPr>
            <w:tcW w:w="78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0.5 - 2.0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0.5 - 2.0</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0.1% - 3.4%</w:t>
            </w:r>
          </w:p>
        </w:tc>
        <w:tc>
          <w:tcPr>
            <w:tcW w:w="8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0.0% - 1.9%</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- 67.4%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- 55.9%</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included in the condensed consolidated statements of operations is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July 31,</w:t>
            </w:r>
          </w:p>
        </w:tc>
        <w:tc>
          <w:tcPr>
            <w:tcW w:w="300" w:type="dxa"/>
            <w:vAlign w:val="bottom"/>
          </w:tcPr>
          <w:p>
            <w:pPr>
              <w:spacing w:after="0"/>
              <w:rPr>
                <w:sz w:val="20"/>
                <w:szCs w:val="20"/>
                <w:color w:val="auto"/>
              </w:rPr>
            </w:pPr>
          </w:p>
        </w:tc>
        <w:tc>
          <w:tcPr>
            <w:tcW w:w="28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Six Months Ended July 31,</w:t>
            </w:r>
          </w:p>
        </w:tc>
      </w:tr>
      <w:tr>
        <w:trPr>
          <w:trHeight w:val="223"/>
        </w:trPr>
        <w:tc>
          <w:tcPr>
            <w:tcW w:w="49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Professional services cost of revenue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4,417</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42,679</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43,609</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30,365</w:t>
            </w:r>
          </w:p>
        </w:tc>
      </w:tr>
      <w:tr>
        <w:trPr>
          <w:trHeight w:val="223"/>
        </w:trPr>
        <w:tc>
          <w:tcPr>
            <w:tcW w:w="492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130,649</w:t>
            </w:r>
          </w:p>
        </w:tc>
      </w:tr>
      <w:tr>
        <w:trPr>
          <w:trHeight w:val="21"/>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Revenue, Deferred Revenue and Remaining Performance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revenue from contracts by type of customer (in thousands, except percentages):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July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rPr>
              <w:t>Six Months Ended July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2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r>
      <w:tr>
        <w:trPr>
          <w:trHeight w:val="189"/>
        </w:trPr>
        <w:tc>
          <w:tcPr>
            <w:tcW w:w="2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6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85"/>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2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 Revenue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 Revenue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 Revenue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 Revenue</w:t>
            </w:r>
          </w:p>
        </w:tc>
      </w:tr>
      <w:tr>
        <w:trPr>
          <w:trHeight w:val="216"/>
        </w:trPr>
        <w:tc>
          <w:tcPr>
            <w:tcW w:w="2240" w:type="dxa"/>
            <w:vAlign w:val="bottom"/>
            <w:shd w:val="clear" w:color="auto" w:fill="CCEEFF"/>
          </w:tcPr>
          <w:p>
            <w:pPr>
              <w:jc w:val="center"/>
              <w:ind w:right="999"/>
              <w:spacing w:after="0"/>
              <w:rPr>
                <w:sz w:val="20"/>
                <w:szCs w:val="20"/>
                <w:color w:val="auto"/>
              </w:rPr>
            </w:pPr>
            <w:r>
              <w:rPr>
                <w:rFonts w:ascii="Arial" w:cs="Arial" w:eastAsia="Arial" w:hAnsi="Arial"/>
                <w:sz w:val="16"/>
                <w:szCs w:val="16"/>
                <w:color w:val="auto"/>
                <w:w w:val="89"/>
              </w:rPr>
              <w:t>Channel Partners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439,365</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251,768</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478,823</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213"/>
        </w:trPr>
        <w:tc>
          <w:tcPr>
            <w:tcW w:w="2240" w:type="dxa"/>
            <w:vAlign w:val="bottom"/>
            <w:tcBorders>
              <w:bottom w:val="single" w:sz="8" w:color="CCEEFF"/>
            </w:tcBorders>
          </w:tcPr>
          <w:p>
            <w:pPr>
              <w:jc w:val="center"/>
              <w:ind w:right="979"/>
              <w:spacing w:after="0"/>
              <w:rPr>
                <w:sz w:val="20"/>
                <w:szCs w:val="20"/>
                <w:color w:val="auto"/>
              </w:rPr>
            </w:pPr>
            <w:r>
              <w:rPr>
                <w:rFonts w:ascii="Arial" w:cs="Arial" w:eastAsia="Arial" w:hAnsi="Arial"/>
                <w:sz w:val="16"/>
                <w:szCs w:val="16"/>
                <w:color w:val="auto"/>
                <w:w w:val="92"/>
              </w:rPr>
              <w:t>Direct Customers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95,788</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190,287</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161,710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r>
      <w:tr>
        <w:trPr>
          <w:trHeight w:val="233"/>
        </w:trPr>
        <w:tc>
          <w:tcPr>
            <w:tcW w:w="2240" w:type="dxa"/>
            <w:vAlign w:val="bottom"/>
            <w:shd w:val="clear" w:color="auto" w:fill="CCEEFF"/>
          </w:tcPr>
          <w:p>
            <w:pPr>
              <w:jc w:val="center"/>
              <w:ind w:right="979"/>
              <w:spacing w:after="0"/>
              <w:rPr>
                <w:sz w:val="20"/>
                <w:szCs w:val="20"/>
                <w:color w:val="auto"/>
              </w:rPr>
            </w:pPr>
            <w:r>
              <w:rPr>
                <w:rFonts w:ascii="Arial" w:cs="Arial" w:eastAsia="Arial" w:hAnsi="Arial"/>
                <w:sz w:val="16"/>
                <w:szCs w:val="16"/>
                <w:color w:val="auto"/>
                <w:w w:val="91"/>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535,153</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337,690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1,022,987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640,533</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7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firstLine="648"/>
        <w:spacing w:after="0" w:line="269" w:lineRule="auto"/>
        <w:rPr>
          <w:sz w:val="20"/>
          <w:szCs w:val="20"/>
          <w:color w:val="auto"/>
        </w:rPr>
      </w:pPr>
      <w:r>
        <w:rPr>
          <w:rFonts w:ascii="Arial" w:cs="Arial" w:eastAsia="Arial" w:hAnsi="Arial"/>
          <w:sz w:val="18"/>
          <w:szCs w:val="18"/>
          <w:color w:val="auto"/>
        </w:rPr>
        <w:t>The following table summarizes the revenue by region based on the shipping address of customers who have contracted to use the Company’s platform or service (in thousands, except percentages):</w:t>
      </w: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w w:val="95"/>
              </w:rPr>
              <w:t>Three Months Ended July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rPr>
              <w:t>Six Months Ended July 31,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89"/>
        </w:trPr>
        <w:tc>
          <w:tcPr>
            <w:tcW w:w="2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85"/>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24"/>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2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3"/>
              </w:rPr>
              <w:t>% Revenue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 Revenue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 Revenue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 Revenue</w:t>
            </w: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244,668</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719,851</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464,470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13"/>
        </w:trPr>
        <w:tc>
          <w:tcPr>
            <w:tcW w:w="2260" w:type="dxa"/>
            <w:vAlign w:val="bottom"/>
          </w:tcPr>
          <w:p>
            <w:pPr>
              <w:ind w:left="20"/>
              <w:spacing w:after="0"/>
              <w:rPr>
                <w:sz w:val="20"/>
                <w:szCs w:val="20"/>
                <w:color w:val="auto"/>
              </w:rPr>
            </w:pPr>
            <w:r>
              <w:rPr>
                <w:rFonts w:ascii="Arial" w:cs="Arial" w:eastAsia="Arial" w:hAnsi="Arial"/>
                <w:sz w:val="16"/>
                <w:szCs w:val="16"/>
                <w:color w:val="auto"/>
                <w:w w:val="98"/>
              </w:rPr>
              <w:t>Europe, Middle East, and Africa</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77,096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46,550</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147,721</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88,199</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32,998</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102,702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61,998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13"/>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52,713</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25,866</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r>
      <w:tr>
        <w:trPr>
          <w:trHeight w:val="233"/>
        </w:trPr>
        <w:tc>
          <w:tcPr>
            <w:tcW w:w="2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535,153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337,690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1,022,987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640,533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revenue during the three and six months ended July 31, 2022 and July 31,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Contract liabilities consist of deferred revenue and include payments received in advance of performance under the contract. Such amounts are recognized as revenue over the contractual period. The Company recognized revenue of $454.1 million and $281.4 million for the three months ended July 31, 2022 and July 31, 2021, respectively, and $728.9 million and $447.2 million for the six months ended July 31, 2022 and July 31, 2021, respectively, that were included in the corresponding contract liability balance at the beginning of the period.</w:t>
      </w:r>
    </w:p>
    <w:p>
      <w:pPr>
        <w:spacing w:after="0" w:line="171"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deferred revenue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July 31,</w:t>
            </w:r>
          </w:p>
        </w:tc>
        <w:tc>
          <w:tcPr>
            <w:tcW w:w="580" w:type="dxa"/>
            <w:vAlign w:val="bottom"/>
          </w:tcPr>
          <w:p>
            <w:pPr>
              <w:spacing w:after="0"/>
              <w:rPr>
                <w:sz w:val="18"/>
                <w:szCs w:val="18"/>
                <w:color w:val="auto"/>
              </w:rPr>
            </w:pPr>
          </w:p>
        </w:tc>
        <w:tc>
          <w:tcPr>
            <w:tcW w:w="252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w w:val="93"/>
              </w:rPr>
              <w:t>Six Months Ended July 31,</w:t>
            </w:r>
          </w:p>
        </w:tc>
      </w:tr>
      <w:tr>
        <w:trPr>
          <w:trHeight w:val="210"/>
        </w:trPr>
        <w:tc>
          <w:tcPr>
            <w:tcW w:w="49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w w:val="84"/>
              </w:rPr>
              <w:t>2022</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50"/>
        </w:trPr>
        <w:tc>
          <w:tcPr>
            <w:tcW w:w="49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Carrying Amount</w:t>
            </w: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2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1,021,991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1,529,321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911,895</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Additions to deferred revenue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480,056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1,337,818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892,995</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(337,690)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(1,022,987)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(640,533)</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1,844,152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1,164,357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1,844,152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1,164,357</w:t>
            </w: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July 31, 2022, the aggregate amount of the transaction price allocated to remaining performance obligations was $2.5 billion. The Company expects to recognize approximately 65% of the remaining performance obligations in the 12 months following July 31, 2022 and 34% between 13 to 36 months, with the remainder to be recognized thereafter.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to Obtain and Fulfill a Contract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capitalizes referral fees paid to partners and sales commission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renewal contracts are amortized over the contractual term of the renewals. Sales commissions associated with professional service contracts are amortized ratably over an estimated period of benefit of eight months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six months ended July 31, 2022 and July 31, 2021.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of deferred contract acquisition costs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July 31,</w:t>
            </w:r>
          </w:p>
        </w:tc>
        <w:tc>
          <w:tcPr>
            <w:tcW w:w="320" w:type="dxa"/>
            <w:vAlign w:val="bottom"/>
          </w:tcPr>
          <w:p>
            <w:pPr>
              <w:spacing w:after="0"/>
              <w:rPr>
                <w:sz w:val="20"/>
                <w:szCs w:val="20"/>
                <w:color w:val="auto"/>
              </w:rPr>
            </w:pPr>
          </w:p>
        </w:tc>
        <w:tc>
          <w:tcPr>
            <w:tcW w:w="2780" w:type="dxa"/>
            <w:vAlign w:val="bottom"/>
            <w:gridSpan w:val="4"/>
          </w:tcPr>
          <w:p>
            <w:pPr>
              <w:ind w:left="200"/>
              <w:spacing w:after="0"/>
              <w:rPr>
                <w:sz w:val="20"/>
                <w:szCs w:val="20"/>
                <w:color w:val="auto"/>
              </w:rPr>
            </w:pPr>
            <w:r>
              <w:rPr>
                <w:rFonts w:ascii="Arial" w:cs="Arial" w:eastAsia="Arial" w:hAnsi="Arial"/>
                <w:sz w:val="18"/>
                <w:szCs w:val="18"/>
                <w:b w:val="1"/>
                <w:bCs w:val="1"/>
                <w:color w:val="auto"/>
              </w:rPr>
              <w:t>Six Months Ended July 31,</w:t>
            </w:r>
          </w:p>
        </w:tc>
      </w:tr>
      <w:tr>
        <w:trPr>
          <w:trHeight w:val="223"/>
        </w:trPr>
        <w:tc>
          <w:tcPr>
            <w:tcW w:w="49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319,180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198,756</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57,586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Arial" w:cs="Arial" w:eastAsia="Arial" w:hAnsi="Arial"/>
                <w:sz w:val="18"/>
                <w:szCs w:val="18"/>
                <w:color w:val="auto"/>
                <w:w w:val="95"/>
              </w:rPr>
              <w:t>108,940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87,576</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2"/>
              </w:rPr>
              <w:t>(77,554)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(50,419)</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235,913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5"/>
              </w:rPr>
              <w:t>350,566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235,913</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148,125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95,470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540"/>
              <w:spacing w:after="0"/>
              <w:rPr>
                <w:sz w:val="20"/>
                <w:szCs w:val="20"/>
                <w:color w:val="auto"/>
              </w:rPr>
            </w:pPr>
            <w:r>
              <w:rPr>
                <w:rFonts w:ascii="Arial" w:cs="Arial" w:eastAsia="Arial" w:hAnsi="Arial"/>
                <w:sz w:val="18"/>
                <w:szCs w:val="18"/>
                <w:color w:val="auto"/>
                <w:w w:val="95"/>
              </w:rPr>
              <w:t>148,125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95,470</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5"/>
              </w:rPr>
              <w:t>202,441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140,443</w:t>
            </w:r>
          </w:p>
        </w:tc>
      </w:tr>
      <w:tr>
        <w:trPr>
          <w:trHeight w:val="223"/>
        </w:trPr>
        <w:tc>
          <w:tcPr>
            <w:tcW w:w="4940" w:type="dxa"/>
            <w:vAlign w:val="bottom"/>
          </w:tcPr>
          <w:p>
            <w:pPr>
              <w:ind w:left="140"/>
              <w:spacing w:after="0"/>
              <w:rPr>
                <w:sz w:val="20"/>
                <w:szCs w:val="20"/>
                <w:color w:val="auto"/>
              </w:rPr>
            </w:pPr>
            <w:r>
              <w:rPr>
                <w:rFonts w:ascii="Arial" w:cs="Arial" w:eastAsia="Arial" w:hAnsi="Arial"/>
                <w:sz w:val="18"/>
                <w:szCs w:val="18"/>
                <w:color w:val="auto"/>
              </w:rPr>
              <w:t>Total deferred contract acquisition costs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235,913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5"/>
              </w:rPr>
              <w:t>350,566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235,913</w:t>
            </w: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Commitments and 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2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enters into long-term non-cancelable agreements with providers to purchase data center capacity, such as bandwidth and colocation space, for the Company’s cloud platform. As of July 31, 2022, the Company is committed to spend $84.9 million on such agreements through fiscal 2030. These obligations are included in purchase obligations below.</w:t>
      </w:r>
    </w:p>
    <w:p>
      <w:pPr>
        <w:spacing w:after="0" w:line="130" w:lineRule="exact"/>
        <w:rPr>
          <w:sz w:val="20"/>
          <w:szCs w:val="20"/>
          <w:color w:val="auto"/>
        </w:rPr>
      </w:pPr>
    </w:p>
    <w:p>
      <w:pPr>
        <w:jc w:val="both"/>
        <w:ind w:right="180" w:firstLine="648"/>
        <w:spacing w:after="0" w:line="280" w:lineRule="auto"/>
        <w:rPr>
          <w:sz w:val="20"/>
          <w:szCs w:val="20"/>
          <w:color w:val="auto"/>
        </w:rPr>
      </w:pPr>
      <w:r>
        <w:rPr>
          <w:rFonts w:ascii="Arial" w:cs="Arial" w:eastAsia="Arial" w:hAnsi="Arial"/>
          <w:sz w:val="17"/>
          <w:szCs w:val="17"/>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non-cancelable purchase obligations in excess of one year as of July 31, 2022 with expected date of payment is as follows (in thousands):</w:t>
      </w:r>
    </w:p>
    <w:tbl>
      <w:tblPr>
        <w:tblLayout w:type="fixed"/>
        <w:tblInd w:w="0" w:type="dxa"/>
        <w:tblCellMar>
          <w:top w:w="0" w:type="dxa"/>
          <w:left w:w="0" w:type="dxa"/>
          <w:bottom w:w="0" w:type="dxa"/>
          <w:right w:w="0" w:type="dxa"/>
        </w:tblCellMar>
      </w:tblPr>
      <w:tr>
        <w:trPr>
          <w:trHeight w:val="181"/>
        </w:trPr>
        <w:tc>
          <w:tcPr>
            <w:tcW w:w="9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470"/>
              <w:spacing w:after="0" w:line="181" w:lineRule="exact"/>
              <w:rPr>
                <w:sz w:val="20"/>
                <w:szCs w:val="20"/>
                <w:color w:val="auto"/>
              </w:rPr>
            </w:pPr>
            <w:r>
              <w:rPr>
                <w:rFonts w:ascii="Arial" w:cs="Arial" w:eastAsia="Arial" w:hAnsi="Arial"/>
                <w:sz w:val="18"/>
                <w:szCs w:val="18"/>
                <w:b w:val="1"/>
                <w:bCs w:val="1"/>
                <w:color w:val="auto"/>
              </w:rPr>
              <w:t>Total</w:t>
            </w:r>
          </w:p>
        </w:tc>
      </w:tr>
      <w:tr>
        <w:trPr>
          <w:trHeight w:val="239"/>
        </w:trPr>
        <w:tc>
          <w:tcPr>
            <w:tcW w:w="9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Commitments</w:t>
            </w:r>
          </w:p>
        </w:tc>
      </w:tr>
      <w:tr>
        <w:trPr>
          <w:trHeight w:val="227"/>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 (remaining six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59,888</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76,436</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8,859</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purchase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184,957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October 2021, the Company entered into a new private pricing addendum with Amazon Web Services (“AWS”), which provides the Company with cloud computing infrastructure. Under the new pricing addendum, the minimum commitment is $600.0 million of cloud services from AWS through September 2026. As of July 31, 2022, the Company had utilized $158.4 million of this commitment. The remaining commitment is excluded from the table above and the Company expects to meet its remaining commitment with 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July 31, 2022 and January 31, 2022, the Company had unused standby letters of credit for $0.4 million securing its facility in Sunnyvale, California, and $0.8 million securing its principal executive offices in Austin, Texas.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239" w:lineRule="exact"/>
        <w:rPr>
          <w:sz w:val="20"/>
          <w:szCs w:val="20"/>
          <w:color w:val="auto"/>
        </w:rPr>
      </w:pPr>
    </w:p>
    <w:p>
      <w:pPr>
        <w:ind w:right="380" w:firstLine="648"/>
        <w:spacing w:after="0" w:line="324" w:lineRule="auto"/>
        <w:rPr>
          <w:sz w:val="20"/>
          <w:szCs w:val="20"/>
          <w:color w:val="auto"/>
        </w:rPr>
      </w:pPr>
      <w:r>
        <w:rPr>
          <w:rFonts w:ascii="Arial" w:cs="Arial" w:eastAsia="Arial" w:hAnsi="Arial"/>
          <w:sz w:val="16"/>
          <w:szCs w:val="16"/>
          <w:color w:val="auto"/>
        </w:rPr>
        <w:t>In June 2022, the Company and Fair Isaac Corporation (FICO) resolved a trademark dispute that was pending before the Trademark Trial and Appellate Board (“TTAB”) at the U.S. Patent and Trademark Office. The TTAB dismissed all proceedings between the parties in July 2022.</w:t>
      </w:r>
    </w:p>
    <w:p>
      <w:pPr>
        <w:spacing w:after="0" w:line="165" w:lineRule="exact"/>
        <w:rPr>
          <w:sz w:val="20"/>
          <w:szCs w:val="20"/>
          <w:color w:val="auto"/>
        </w:rPr>
      </w:pPr>
    </w:p>
    <w:p>
      <w:pPr>
        <w:ind w:firstLine="648"/>
        <w:spacing w:after="0" w:line="299" w:lineRule="auto"/>
        <w:rPr>
          <w:sz w:val="20"/>
          <w:szCs w:val="20"/>
          <w:color w:val="auto"/>
        </w:rPr>
      </w:pPr>
      <w:r>
        <w:rPr>
          <w:rFonts w:ascii="Arial" w:cs="Arial" w:eastAsia="Arial" w:hAnsi="Arial"/>
          <w:sz w:val="16"/>
          <w:szCs w:val="16"/>
          <w:color w:val="auto"/>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The Company intends to vigorously defend against them. In May 2022, CrowdStrike, Inc.</w:t>
      </w:r>
    </w:p>
    <w:p>
      <w:pPr>
        <w:spacing w:after="0" w:line="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asserted counterclaims alleging that certain of Webroot’s products infringe two patents. In the filing, CrowdStrike, Inc. sought unspecified damages, reasonable fees and costs, and a permanent injunction. As of July 31, 2022, the Company is unable to predict the likelihood of success of Webroot’s claims or estimate a loss or a range of loss.</w:t>
      </w:r>
    </w:p>
    <w:p>
      <w:pPr>
        <w:spacing w:after="0" w:line="18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2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7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July 31, 2022 or January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Acquisitions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Secure Circle, LLC</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November 29, 2021, the Company acquired 100% of the equity interest of Secure Circle, LLC (“SecureCircle”), a SaaS-based cybersecurity service that extends Zero Trust security to data on, from and to the endpoint. The acquisition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accounted for as a business combination. The total consideration transferred was $60.8 million, which consisted solely of cash. The purchase price was allocated, on a preliminary basis, to identified intangible assets, which include developed technology and customer relationships of $18.3 million, net tangible assets acquired of $(0.6) million and goodwill of $43.1 million allocated to the Company’s one reporting unit, representing the excess of the purchase price over the fair value of net tangible and intangible assets acquired. The goodwill was primarily attributable to the assembled workforce of SecureCircle, planned growth in new markets and synergies expected to be achieved from the integration of SecureCircle. Goodwill was deductible for income tax purposes.</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Subsequent to the closing of the acquisition, SecureCircle employees were granted RSUs and PSUs under the 2019 Plan.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Useful Life</w:t>
            </w:r>
          </w:p>
        </w:tc>
      </w:tr>
      <w:tr>
        <w:trPr>
          <w:trHeight w:val="223"/>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(in months)</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w:t>
            </w: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intangible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The acquisition costs during the six months ended July 31, 2022 were not material. The acquisition costs are recorded in general and administrative expenses on the Company’s condensed consolidated statement of operations.</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results of operations of SecureCircle have been included in the Company’s condensed consolidated financial statements from the date of acquisition. The acquisition of SecureCircle did not have a material impact on the Company’s condensed consolidated financial statements, and therefore historical and pro forma disclosures have not been presented.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Humio Limited</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March 5, 2021, the Company acquired 100% of the equity interest of Humio Limited (“Humio”), a privately-held company that is a leading provider of high-performance cloud log management and observability technology. The total consideration transferred was $370.3 million which consisted of $353.8 million in cash, net of $12.5 million cash acquired, and $4.0 million representing the fair value of replacement equity awards attributable to pre-acquisition service. The purchase price was allocated to identified intangible assets, which include developed technology, customer relationships, and trade names, of $75.6 million, net tangible assets acquired of $3.4 million, and goodwill of $291.3 million allocated to the Company’s one reporting unit, representing the excess of the purchase price over the fair value of net tangible and intangible assets acquired. The goodwill was primarily attributable to the assembled workforce of Humio, planned growth in new markets, and synergies expected to be achieved from the integration of Humio. Goodwill is not deductible for income tax purposes.</w:t>
      </w:r>
    </w:p>
    <w:p>
      <w:pPr>
        <w:spacing w:after="0" w:line="19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Per the terms of the share purchase agreement with Humio, certain unvested stock options held by Humio employees were canceled and exchanged for replacement stock options under the 2019 Plan. Additionally, certain shares of stock issued pursuant to share-based compensation awards to entities affiliated with certain Humio employees were exchanged for replacement RSAs of the Company, which are subject to future vesting. The portion of the fair value of the replacement equity awards associated with pre-acquisition service of Humio’s employees represented a component of the total purchase consideration. The remaining fair value of these issued awards is subject to the recipients’ continued service and thus were excluded from the purchase price. In addition, Humio employees were granted RSUs and PSUs under the 2019 Plan. The awards which are subject to continued service are recognized ratably as stock-based compensation expense over the requisite service period. The awards which are based on specified performance targets were recognized under the accelerated attribution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60" w:firstLine="648"/>
        <w:spacing w:after="0" w:line="271" w:lineRule="auto"/>
        <w:rPr>
          <w:sz w:val="20"/>
          <w:szCs w:val="20"/>
          <w:color w:val="auto"/>
        </w:rPr>
      </w:pPr>
      <w:r>
        <w:rPr>
          <w:rFonts w:ascii="Arial" w:cs="Arial" w:eastAsia="Arial" w:hAnsi="Arial"/>
          <w:sz w:val="18"/>
          <w:szCs w:val="18"/>
          <w:color w:val="auto"/>
        </w:rPr>
        <w:t>The following table sets forth the fair value of the identifiable intangible assets acquired and their estimated useful lives as of the date of acquisition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Useful Life</w:t>
            </w:r>
          </w:p>
        </w:tc>
      </w:tr>
      <w:tr>
        <w:trPr>
          <w:trHeight w:val="223"/>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(in months)</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 intangible assets acquired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75,600</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9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acquisition costs during the three and six months ended July 31, 2022 were not material. The acquisition costs are recorded in general and administrative expenses in the Company’s condensed consolidated statement of operations.</w:t>
      </w:r>
    </w:p>
    <w:p>
      <w:pPr>
        <w:spacing w:after="0" w:line="170"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The results of operations of Humio have been included in the Company’s condensed consolidated financial statements from the date of acquisition. The acquisition of Humio did not have a material impact on the Company’s condensed consolidated financial statements, and therefore historical and pro forma disclosures have not been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Loss Per Share Attributable to Common Stockholders</w:t>
      </w:r>
    </w:p>
    <w:p>
      <w:pPr>
        <w:spacing w:after="0" w:line="212" w:lineRule="exact"/>
        <w:rPr>
          <w:sz w:val="20"/>
          <w:szCs w:val="20"/>
          <w:color w:val="auto"/>
        </w:rPr>
      </w:pPr>
    </w:p>
    <w:p>
      <w:pPr>
        <w:ind w:right="360" w:firstLine="648"/>
        <w:spacing w:after="0" w:line="238" w:lineRule="auto"/>
        <w:rPr>
          <w:sz w:val="20"/>
          <w:szCs w:val="20"/>
          <w:color w:val="auto"/>
        </w:rPr>
      </w:pPr>
      <w:r>
        <w:rPr>
          <w:rFonts w:ascii="Arial" w:cs="Arial" w:eastAsia="Arial" w:hAnsi="Arial"/>
          <w:sz w:val="18"/>
          <w:szCs w:val="18"/>
          <w:color w:val="auto"/>
        </w:rPr>
        <w:t>Basic and diluted net loss per share attributable to CrowdStrike’s common stockholders is computed in conformity with the two-class method required for participating securities. Basic net loss per share attributable to CrowdStrike common stockholders is computed by dividing the net loss attributable to CrowdStrike by the weighted-average number of shares of common stock outstanding during the period. Diluted net loss per share is the same as basic net loss per share because the effects of potentially dilutive items were antidilutive given the Company’s net loss position in the periods presented.</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loss per share attributable to CrowdStrike common stockholders are the same for shares of Class A and Class B common stock.</w:t>
      </w:r>
    </w:p>
    <w:p>
      <w:pPr>
        <w:spacing w:after="0" w:line="177" w:lineRule="exact"/>
        <w:rPr>
          <w:sz w:val="20"/>
          <w:szCs w:val="20"/>
          <w:color w:val="auto"/>
        </w:rPr>
      </w:pPr>
    </w:p>
    <w:p>
      <w:pPr>
        <w:ind w:right="600" w:firstLine="648"/>
        <w:spacing w:after="0" w:line="271"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CrowdStrike common stockholders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July 31,</w:t>
            </w:r>
          </w:p>
        </w:tc>
        <w:tc>
          <w:tcPr>
            <w:tcW w:w="300" w:type="dxa"/>
            <w:vAlign w:val="bottom"/>
          </w:tcPr>
          <w:p>
            <w:pPr>
              <w:spacing w:after="0"/>
              <w:rPr>
                <w:sz w:val="20"/>
                <w:szCs w:val="20"/>
                <w:color w:val="auto"/>
              </w:rPr>
            </w:pPr>
          </w:p>
        </w:tc>
        <w:tc>
          <w:tcPr>
            <w:tcW w:w="28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Six Months Ended July 31,</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140"/>
              <w:spacing w:after="0" w:line="176" w:lineRule="exact"/>
              <w:rPr>
                <w:sz w:val="20"/>
                <w:szCs w:val="20"/>
                <w:color w:val="auto"/>
              </w:rPr>
            </w:pPr>
            <w:r>
              <w:rPr>
                <w:rFonts w:ascii="Arial" w:cs="Arial" w:eastAsia="Arial" w:hAnsi="Arial"/>
                <w:sz w:val="18"/>
                <w:szCs w:val="18"/>
                <w:color w:val="auto"/>
              </w:rPr>
              <w:t>Net loss attributable to Class A and Class B CrowdStrike</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40"/>
              <w:spacing w:after="0"/>
              <w:rPr>
                <w:sz w:val="20"/>
                <w:szCs w:val="20"/>
                <w:color w:val="auto"/>
              </w:rPr>
            </w:pPr>
            <w:r>
              <w:rPr>
                <w:rFonts w:ascii="Arial" w:cs="Arial" w:eastAsia="Arial" w:hAnsi="Arial"/>
                <w:sz w:val="18"/>
                <w:szCs w:val="18"/>
                <w:color w:val="auto"/>
              </w:rPr>
              <w:t>common stockholders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(49,285)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(57,318)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(80,808)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(142,367)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140"/>
              <w:spacing w:after="0" w:line="176" w:lineRule="exact"/>
              <w:rPr>
                <w:sz w:val="20"/>
                <w:szCs w:val="20"/>
                <w:color w:val="auto"/>
              </w:rPr>
            </w:pPr>
            <w:r>
              <w:rPr>
                <w:rFonts w:ascii="Arial" w:cs="Arial" w:eastAsia="Arial" w:hAnsi="Arial"/>
                <w:sz w:val="18"/>
                <w:szCs w:val="18"/>
                <w:color w:val="auto"/>
                <w:w w:val="94"/>
              </w:rPr>
              <w:t>Weighted-average shares used in computing net loss per share</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940" w:type="dxa"/>
            <w:vAlign w:val="bottom"/>
          </w:tcPr>
          <w:p>
            <w:pPr>
              <w:ind w:left="140"/>
              <w:spacing w:after="0" w:line="189" w:lineRule="exact"/>
              <w:rPr>
                <w:sz w:val="20"/>
                <w:szCs w:val="20"/>
                <w:color w:val="auto"/>
              </w:rPr>
            </w:pPr>
            <w:r>
              <w:rPr>
                <w:rFonts w:ascii="Arial" w:cs="Arial" w:eastAsia="Arial" w:hAnsi="Arial"/>
                <w:sz w:val="18"/>
                <w:szCs w:val="18"/>
                <w:color w:val="auto"/>
              </w:rPr>
              <w:t>attributable to Class A and Class B of CrowdStrike common</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stockholders, basic and diluted</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232,554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226,362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231,850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225,276</w:t>
            </w:r>
          </w:p>
        </w:tc>
        <w:tc>
          <w:tcPr>
            <w:tcW w:w="0" w:type="dxa"/>
            <w:vAlign w:val="bottom"/>
          </w:tcPr>
          <w:p>
            <w:pPr>
              <w:spacing w:after="0"/>
              <w:rPr>
                <w:sz w:val="1"/>
                <w:szCs w:val="1"/>
                <w:color w:val="auto"/>
              </w:rPr>
            </w:pPr>
          </w:p>
        </w:tc>
      </w:tr>
      <w:tr>
        <w:trPr>
          <w:trHeight w:val="155"/>
        </w:trPr>
        <w:tc>
          <w:tcPr>
            <w:tcW w:w="4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Net loss per share attributable to Class A and Class B CrowdStrike</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stockholders, basic and diluted</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620" w:type="dxa"/>
            <w:vAlign w:val="bottom"/>
            <w:gridSpan w:val="2"/>
          </w:tcPr>
          <w:p>
            <w:pPr>
              <w:ind w:left="260"/>
              <w:spacing w:after="0"/>
              <w:rPr>
                <w:sz w:val="20"/>
                <w:szCs w:val="20"/>
                <w:color w:val="auto"/>
              </w:rPr>
            </w:pPr>
            <w:r>
              <w:rPr>
                <w:rFonts w:ascii="Arial" w:cs="Arial" w:eastAsia="Arial" w:hAnsi="Arial"/>
                <w:sz w:val="18"/>
                <w:szCs w:val="18"/>
                <w:b w:val="1"/>
                <w:bCs w:val="1"/>
                <w:color w:val="auto"/>
              </w:rPr>
              <w:t>July 31, 2022</w:t>
            </w: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rPr>
              <w:t>July 31, 2021</w:t>
            </w: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common stock subject to repurchase from outstanding stock options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RSUs and PSUs subject to future vesting</w:t>
            </w:r>
          </w:p>
        </w:tc>
        <w:tc>
          <w:tcPr>
            <w:tcW w:w="1520" w:type="dxa"/>
            <w:vAlign w:val="bottom"/>
          </w:tcPr>
          <w:p>
            <w:pPr>
              <w:jc w:val="right"/>
              <w:spacing w:after="0"/>
              <w:rPr>
                <w:sz w:val="20"/>
                <w:szCs w:val="20"/>
                <w:color w:val="auto"/>
              </w:rPr>
            </w:pPr>
            <w:r>
              <w:rPr>
                <w:rFonts w:ascii="Arial" w:cs="Arial" w:eastAsia="Arial" w:hAnsi="Arial"/>
                <w:sz w:val="18"/>
                <w:szCs w:val="18"/>
                <w:color w:val="auto"/>
              </w:rPr>
              <w:t>8,569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8,019</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issuable from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 purchase rights under the employee stock purchase plan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Potential common shares excluded from diluted net loss per share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980"/>
        </w:trPr>
        <w:tc>
          <w:tcPr>
            <w:tcW w:w="8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above table excludes founder holdbacks related to business combinations. A variable number of shares will be issued upon vesting to settle a fixed monetary amount of $13.3 million, which shares are contingent upon continued employment with the Company. The share price will be determined based on the Company’s average stock price or the volume weighted average stock price five days prior to each vesting date. As of July 31, 2022, 42,364 shares were issued to settle founder holdbacks at a weighted average price of $209.94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2022,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 Our fiscal year end is January 31, and our fiscal quarters end on April 30, July 31, October 31, and January 31.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CrowdStrike Falcon platform – the first, true cloud-native platform capable of harnessing vast amounts of security and enterprise data to deliver highly modular solutions through a single lightweight agent. Our pioneering platform approach keeps customers ahead of attackers by automatically detecting and preventing threats to stop breaches.</w:t>
      </w:r>
    </w:p>
    <w:p>
      <w:pPr>
        <w:spacing w:after="0" w:line="16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6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Go-To-Market Strategy</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8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8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Certain Factors Affecting Our Performance</w:t>
      </w:r>
    </w:p>
    <w:p>
      <w:pPr>
        <w:spacing w:after="0" w:line="22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b w:val="1"/>
          <w:bCs w:val="1"/>
          <w:i w:val="1"/>
          <w:iCs w:val="1"/>
          <w:color w:val="auto"/>
        </w:rPr>
        <w:t xml:space="preserve">Adoption of Our Solutions. </w:t>
      </w:r>
      <w:r>
        <w:rPr>
          <w:rFonts w:ascii="Arial" w:cs="Arial" w:eastAsia="Arial" w:hAnsi="Arial"/>
          <w:sz w:val="16"/>
          <w:szCs w:val="16"/>
          <w:color w:val="auto"/>
        </w:rPr>
        <w:t>We believe our future success depends in large part on the growth in the market for cloud-based SaaS-delivered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New Customer Acquisition. </w:t>
      </w:r>
      <w:r>
        <w:rPr>
          <w:rFonts w:ascii="Arial" w:cs="Arial" w:eastAsia="Arial" w:hAnsi="Arial"/>
          <w:sz w:val="18"/>
          <w:szCs w:val="18"/>
          <w:color w:val="auto"/>
        </w:rPr>
        <w:t>Our future growth depends in large part on our ability to acquire new customers. If our efforts to attract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92" w:lineRule="exact"/>
        <w:rPr>
          <w:sz w:val="20"/>
          <w:szCs w:val="20"/>
          <w:color w:val="auto"/>
        </w:rPr>
      </w:pPr>
    </w:p>
    <w:p>
      <w:pPr>
        <w:ind w:right="100" w:firstLine="648"/>
        <w:spacing w:after="0" w:line="249" w:lineRule="auto"/>
        <w:rPr>
          <w:sz w:val="20"/>
          <w:szCs w:val="20"/>
          <w:color w:val="auto"/>
        </w:rPr>
      </w:pPr>
      <w:r>
        <w:rPr>
          <w:rFonts w:ascii="Arial" w:cs="Arial" w:eastAsia="Arial" w:hAnsi="Arial"/>
          <w:sz w:val="18"/>
          <w:szCs w:val="18"/>
          <w:b w:val="1"/>
          <w:bCs w:val="1"/>
          <w:i w:val="1"/>
          <w:iCs w:val="1"/>
          <w:color w:val="auto"/>
        </w:rPr>
        <w:t xml:space="preserve">Maintain Customer Retention and Increase Sales. </w:t>
      </w:r>
      <w:r>
        <w:rPr>
          <w:rFonts w:ascii="Arial" w:cs="Arial" w:eastAsia="Arial" w:hAnsi="Arial"/>
          <w:sz w:val="18"/>
          <w:szCs w:val="18"/>
          <w:color w:val="auto"/>
        </w:rPr>
        <w:t>Our ability to increase revenue depends in large part on our ability to retain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increase the ARR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SKU cloud modules.</w:t>
      </w:r>
    </w:p>
    <w:p>
      <w:pPr>
        <w:spacing w:after="0" w:line="18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b w:val="1"/>
          <w:bCs w:val="1"/>
          <w:i w:val="1"/>
          <w:iCs w:val="1"/>
          <w:color w:val="auto"/>
        </w:rPr>
        <w:t xml:space="preserve">Invest in Growth. </w:t>
      </w:r>
      <w:r>
        <w:rPr>
          <w:rFonts w:ascii="Arial" w:cs="Arial" w:eastAsia="Arial" w:hAnsi="Arial"/>
          <w:sz w:val="16"/>
          <w:szCs w:val="16"/>
          <w:color w:val="auto"/>
        </w:rPr>
        <w:t>We believe that our market opportunity is large and requires us to continue to invest significantly in sales and marketing efforts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6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25"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6"/>
          <w:szCs w:val="16"/>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660"/>
              <w:spacing w:after="0"/>
              <w:rPr>
                <w:sz w:val="20"/>
                <w:szCs w:val="20"/>
                <w:color w:val="auto"/>
              </w:rPr>
            </w:pPr>
            <w:r>
              <w:rPr>
                <w:rFonts w:ascii="Arial" w:cs="Arial" w:eastAsia="Arial" w:hAnsi="Arial"/>
                <w:sz w:val="18"/>
                <w:szCs w:val="18"/>
                <w:color w:val="auto"/>
                <w:w w:val="92"/>
              </w:rPr>
              <w:t>The following table sets forth the number of our subscription customers as of the dates presented:</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7900" w:type="dxa"/>
            <w:vAlign w:val="bottom"/>
          </w:tcPr>
          <w:p>
            <w:pPr>
              <w:spacing w:after="0"/>
              <w:rPr>
                <w:sz w:val="22"/>
                <w:szCs w:val="22"/>
                <w:color w:val="auto"/>
              </w:rPr>
            </w:pPr>
          </w:p>
        </w:tc>
        <w:tc>
          <w:tcPr>
            <w:tcW w:w="228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w w:val="94"/>
              </w:rPr>
              <w:t>As of July 31,</w:t>
            </w:r>
          </w:p>
        </w:tc>
        <w:tc>
          <w:tcPr>
            <w:tcW w:w="1060" w:type="dxa"/>
            <w:vAlign w:val="bottom"/>
            <w:tcBorders>
              <w:bottom w:val="single" w:sz="8" w:color="auto"/>
            </w:tcBorders>
          </w:tcPr>
          <w:p>
            <w:pPr>
              <w:spacing w:after="0"/>
              <w:rPr>
                <w:sz w:val="22"/>
                <w:szCs w:val="22"/>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customers</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13,080</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164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81 %</w:t>
            </w:r>
          </w:p>
        </w:tc>
      </w:tr>
    </w:tbl>
    <w:p>
      <w:pPr>
        <w:spacing w:after="0" w:line="29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added 1,741 and 3,361 net new subscription customers during the three and six months ended July 31, 2022, respectively, for a total of 19,686 subscription customers as of July 31, 2022, representing 51% growth year-over-year. We added 1,660 and 3,184 net new subscription customers during the three and six months ended July 31, 2021, respectively, for a total of 13,080 subscription customers as of July 31, 2021, representing 81% growth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660"/>
              <w:spacing w:after="0"/>
              <w:rPr>
                <w:sz w:val="20"/>
                <w:szCs w:val="20"/>
                <w:color w:val="auto"/>
              </w:rPr>
            </w:pPr>
            <w:r>
              <w:rPr>
                <w:rFonts w:ascii="Arial" w:cs="Arial" w:eastAsia="Arial" w:hAnsi="Arial"/>
                <w:sz w:val="18"/>
                <w:szCs w:val="18"/>
                <w:color w:val="auto"/>
              </w:rPr>
              <w:t>The following table sets forth our ARR as of the dates presented (dollars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7"/>
        </w:trPr>
        <w:tc>
          <w:tcPr>
            <w:tcW w:w="7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July 31,</w:t>
            </w:r>
          </w:p>
        </w:tc>
        <w:tc>
          <w:tcPr>
            <w:tcW w:w="1080" w:type="dxa"/>
            <w:vAlign w:val="bottom"/>
            <w:tcBorders>
              <w:bottom w:val="single" w:sz="8" w:color="auto"/>
            </w:tcBorders>
          </w:tcPr>
          <w:p>
            <w:pPr>
              <w:spacing w:after="0"/>
              <w:rPr>
                <w:sz w:val="22"/>
                <w:szCs w:val="22"/>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recurring 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2,139,906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1,344,451</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70 %</w:t>
            </w:r>
          </w:p>
        </w:tc>
      </w:tr>
    </w:tbl>
    <w:p>
      <w:pPr>
        <w:spacing w:after="0" w:line="29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ARR grew to $2.1 billion as of July 31, 2022, of which $218.1 million and $408.6 million was net new ARR added for the three and six months ended July 31, 2022, respectively. ARR grew to $1.3 billion as of July 31, 2021, of which $150.6 million and $294.4 million was net new ARR added for the three and six months ended July 31, 2021,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9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dollar-based net retention rate was above 120% as of July 31, 2022.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18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Subscription revenue primarily consists of subscription fees for our Falcon platform and additional cloud modules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Professional services revenue includes incident response and proactive services, forensic and malware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arrangements, revenue is recognized as services are performed. Fixed fee contracts account for an immaterial portion of our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Subscription Cost of Revenue. </w:t>
      </w:r>
      <w:r>
        <w:rPr>
          <w:rFonts w:ascii="Arial" w:cs="Arial" w:eastAsia="Arial" w:hAnsi="Arial"/>
          <w:sz w:val="18"/>
          <w:szCs w:val="18"/>
          <w:color w:val="auto"/>
        </w:rPr>
        <w:t>Subscription cost of revenue consists primarily of costs related to hosting our cloud-based Falcon platform in data</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8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57"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i w:val="1"/>
          <w:iCs w:val="1"/>
          <w:color w:val="auto"/>
        </w:rPr>
        <w:t xml:space="preserve">Professional Services Cost of Revenue. </w:t>
      </w:r>
      <w:r>
        <w:rPr>
          <w:rFonts w:ascii="Arial" w:cs="Arial" w:eastAsia="Arial" w:hAnsi="Arial"/>
          <w:sz w:val="18"/>
          <w:szCs w:val="18"/>
          <w:color w:val="auto"/>
        </w:rPr>
        <w:t>Professional services cost of revenue consists primarily of employee-related costs, such as salaries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stock-based compensation expense, technology, property and equipment depreciation, and an allocated portion of facilities and administrative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primarily consist of employee-related expenses such as salaries, commissions, and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Sales 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Sales and marketing expenses also include sales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78"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 to period depending on the timing of these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primarily consist of employee-related expenses such as salaries and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71"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 to period depending on the timing of these expenses.</w:t>
      </w:r>
    </w:p>
    <w:p>
      <w:pPr>
        <w:spacing w:after="0" w:line="149"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of employee-related expenses such as salaries and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14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 to period depending on the timing of these expenses.</w:t>
      </w:r>
    </w:p>
    <w:p>
      <w:pPr>
        <w:spacing w:after="0" w:line="184" w:lineRule="exact"/>
        <w:rPr>
          <w:sz w:val="20"/>
          <w:szCs w:val="20"/>
          <w:color w:val="auto"/>
        </w:rPr>
      </w:pPr>
    </w:p>
    <w:p>
      <w:pPr>
        <w:jc w:val="both"/>
        <w:ind w:right="120" w:firstLine="648"/>
        <w:spacing w:after="0" w:line="30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consists primarily of interest expense from amortization of debt issuance costs, contractual interest expense for</w:t>
      </w:r>
      <w:r>
        <w:rPr>
          <w:rFonts w:ascii="Arial" w:cs="Arial" w:eastAsia="Arial" w:hAnsi="Arial"/>
          <w:sz w:val="17"/>
          <w:szCs w:val="17"/>
          <w:i w:val="1"/>
          <w:iCs w:val="1"/>
          <w:color w:val="auto"/>
        </w:rPr>
        <w:t xml:space="preserve"> </w:t>
      </w:r>
      <w:r>
        <w:rPr>
          <w:rFonts w:ascii="Arial" w:cs="Arial" w:eastAsia="Arial" w:hAnsi="Arial"/>
          <w:sz w:val="17"/>
          <w:szCs w:val="17"/>
          <w:color w:val="auto"/>
        </w:rPr>
        <w:t>our Senior Notes issued in January 2021, and amortization of debt issuance costs on our secured revolving credit facility.</w:t>
      </w:r>
    </w:p>
    <w:p>
      <w:pPr>
        <w:spacing w:after="0" w:line="14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consists primarily of income earned on our cash and cash equivalents, if any; gain on strategic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foreign currency transaction gains and losses.</w:t>
      </w:r>
    </w:p>
    <w:p>
      <w:pPr>
        <w:spacing w:after="0" w:line="170"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Provision for income taxes consists of state income taxes in the United States, foreign income taxes, including taxes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intercompany sale of intellectual property from the Humio acquisition during the first quarter of fiscal 2022, and withholding taxes related to customer payments in certain foreign jurisdictions in which we conduct business. We maintain a full valuation allowance on our U.S. federal and state and UK deferred tax assets that we have determined are not realizable on a more likely than not basis.</w:t>
      </w:r>
    </w:p>
    <w:p>
      <w:pPr>
        <w:spacing w:after="0" w:line="17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Net income attributable to non-controlling interest consists of the Falcon Funds’ non-controlling interest share of mark-to-market gains and interest income from our strategic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our condensed consolidated statements of operations for each period presented (in thousands, except percentages):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2000" w:type="dxa"/>
            <w:vAlign w:val="bottom"/>
            <w:gridSpan w:val="5"/>
          </w:tcPr>
          <w:p>
            <w:pPr>
              <w:jc w:val="right"/>
              <w:spacing w:after="0"/>
              <w:rPr>
                <w:sz w:val="20"/>
                <w:szCs w:val="20"/>
                <w:color w:val="auto"/>
              </w:rPr>
            </w:pPr>
            <w:r>
              <w:rPr>
                <w:rFonts w:ascii="Arial" w:cs="Arial" w:eastAsia="Arial" w:hAnsi="Arial"/>
                <w:sz w:val="16"/>
                <w:szCs w:val="16"/>
                <w:b w:val="1"/>
                <w:bCs w:val="1"/>
                <w:color w:val="auto"/>
                <w:w w:val="97"/>
              </w:rPr>
              <w:t>Three Months Ended July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4"/>
              </w:rPr>
              <w:t>Six Months Ended July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11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Change</w:t>
            </w:r>
          </w:p>
        </w:tc>
        <w:tc>
          <w:tcPr>
            <w:tcW w:w="2000" w:type="dxa"/>
            <w:vAlign w:val="bottom"/>
            <w:tcBorders>
              <w:bottom w:val="single" w:sz="8" w:color="auto"/>
            </w:tcBorders>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0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506,199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315,836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190,363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966,021</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597,064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368,957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56,966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6"/>
        </w:trPr>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535,153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337,690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197,463</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1,022,987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640,533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382,454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120,087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75,993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44,094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228,029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140,896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87,133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39,370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06"/>
        </w:trPr>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 of revenue</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90,432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50,135</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267,399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98,462</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755,588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283,992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418,298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129,306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47,409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261,263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168,635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92,628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148,217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07"/>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442,893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294,661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148,232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827,778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550,346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277,432</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color w:val="auto"/>
                <w:w w:val="97"/>
              </w:rPr>
              <w:t>Loss before provision for income taxes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(43,535)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(53,080)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9,545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(70,504)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(85,889)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15,385</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(48,313)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(57,318)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9,005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(78,722)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(140,189)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61,467</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 non-</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Net loss attributable to CrowdStrike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(57,318)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8,033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(80,808)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(142,367)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61,559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2"/>
        </w:trPr>
        <w:tc>
          <w:tcPr>
            <w:tcW w:w="2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firstLine="648"/>
        <w:spacing w:after="0" w:line="271"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total revenue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32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 July 31,</w:t>
            </w:r>
          </w:p>
        </w:tc>
        <w:tc>
          <w:tcPr>
            <w:tcW w:w="32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Six Months Ended July 31,</w:t>
            </w:r>
          </w:p>
        </w:tc>
      </w:tr>
      <w:tr>
        <w:trPr>
          <w:trHeight w:val="223"/>
        </w:trPr>
        <w:tc>
          <w:tcPr>
            <w:tcW w:w="47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2022</w:t>
            </w: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9"/>
                <w:szCs w:val="19"/>
                <w:color w:val="auto"/>
              </w:rPr>
            </w:pP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95 %</w:t>
            </w:r>
          </w:p>
        </w:tc>
        <w:tc>
          <w:tcPr>
            <w:tcW w:w="124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94 %</w:t>
            </w:r>
          </w:p>
        </w:tc>
        <w:tc>
          <w:tcPr>
            <w:tcW w:w="124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2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572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w w:val="97"/>
              </w:rPr>
              <w:t>100 %</w:t>
            </w: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100 %</w:t>
            </w: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22 %</w:t>
            </w:r>
          </w:p>
        </w:tc>
        <w:tc>
          <w:tcPr>
            <w:tcW w:w="12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22 %</w:t>
            </w:r>
          </w:p>
        </w:tc>
        <w:tc>
          <w:tcPr>
            <w:tcW w:w="12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5720" w:type="dxa"/>
            <w:vAlign w:val="bottom"/>
            <w:gridSpan w:val="2"/>
          </w:tcPr>
          <w:p>
            <w:pPr>
              <w:ind w:left="220"/>
              <w:spacing w:after="0"/>
              <w:rPr>
                <w:sz w:val="20"/>
                <w:szCs w:val="20"/>
                <w:color w:val="auto"/>
              </w:rPr>
            </w:pPr>
            <w:r>
              <w:rPr>
                <w:rFonts w:ascii="Arial" w:cs="Arial" w:eastAsia="Arial" w:hAnsi="Arial"/>
                <w:sz w:val="18"/>
                <w:szCs w:val="18"/>
                <w:color w:val="auto"/>
              </w:rPr>
              <w:t>Total cost of revenue</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26 %</w:t>
            </w:r>
          </w:p>
        </w:tc>
        <w:tc>
          <w:tcPr>
            <w:tcW w:w="12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26 %</w:t>
            </w:r>
          </w:p>
        </w:tc>
        <w:tc>
          <w:tcPr>
            <w:tcW w:w="12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41 %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26 %</w:t>
            </w:r>
          </w:p>
        </w:tc>
        <w:tc>
          <w:tcPr>
            <w:tcW w:w="12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26 %</w:t>
            </w:r>
          </w:p>
        </w:tc>
        <w:tc>
          <w:tcPr>
            <w:tcW w:w="12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83 %</w:t>
            </w:r>
          </w:p>
        </w:tc>
        <w:tc>
          <w:tcPr>
            <w:tcW w:w="124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81 %</w:t>
            </w:r>
          </w:p>
        </w:tc>
        <w:tc>
          <w:tcPr>
            <w:tcW w:w="124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2 %</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CrowdStrike</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July 31,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shows total revenue from subscriptions and professional services for the three months ended July 31, 2022 as compared to the three months ended July 31, 2021 (in thousands,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July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315,836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190,363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197,463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Total revenue increased by $197.5 million, or 58%, for the three months ended July 31, 2022 compared to the three months ended July 31, 2021. Subscription revenue accounted for 95% of our total revenue for the three months ended July 31, 2022, and 94% of our total revenue for the three months ended July 31, 2021. Professional services revenue accounted for 5% of our total revenue for the three months ended July 31, 2022, and 6% of our total revenue for the three months ended July 31, 2021.</w:t>
      </w:r>
    </w:p>
    <w:p>
      <w:pPr>
        <w:spacing w:after="0" w:line="20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Subscription revenue increased by $190.4 million, or 60%, for the three months ended July 31, 2022 compared to the three months ended July 31, 2021, which was primarily driven by a combination of the addition of new customers and the sale of additional endpoints and modules to existing customers. As of July 31, 2022, we had a total of 19,686 subscription customers, which represents 51% growth from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Professional services revenue increased by $7.1 million, or 32%, for the three months ended July 31, 2022, compared to the three months ended July 31, 2021, which was primarily attributable to an increase in the number of professional service hours performed and an increase in services offerings that are not based on billable hours.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shows cost of revenue related to subscriptions and professional services for the three months ended July 31, 2022 as compared to the three months ended July 31, 2021 (in thousands,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July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Total cost of revenue increased by $50.1 million, or 55%, for the three months ended July 31, 2022 compared to the three months ended July 31, 2021. Subscription cost of revenue increased by $44.1 million, or 58%, for the three months ended July 31, 2022, compared to the three months ended July 31, 2021. The increase in subscription cost of revenue was primarily due to an increase in cloud hosting and related services cost of $23.5 million driven by increased customer activity; an increase in employee-related expenses of $9.7 million, driven by a 43% increase in average headcount; an increase in stock-based compensation expense of $2.0 million; an increase in depreciation of data center equipment of $2.0 million; an increase in allocated overhead costs of $2.0 million; an increase in depreciation of internal-use software of $2.0 million and; an increase in software licenses and maintenance of $1.1 million.</w:t>
      </w:r>
    </w:p>
    <w:p>
      <w:pPr>
        <w:spacing w:after="0" w:line="19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Professional services cost of revenue increased by $6.0 million, or 42%, for the three months ended July 31, 2022, compared to the three months ended July 31, 2021. The increase in professional services cost of revenue was primarily due to an increase in employee-related expenses of $3.7 million, driven by an increase in average headcount of 46%; an increase in stock-based compensation expense of $1.1 million; and an increase in consulting expense of $0.7 million.</w:t>
      </w:r>
    </w:p>
    <w:p>
      <w:pPr>
        <w:spacing w:after="0" w:line="18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shows gross profit and gross margin for subscriptions and professional services for the three months ended July 31, 2022 as compared to the three months ended July 31, 2021 (in thousands,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8"/>
          </w:tcPr>
          <w:p>
            <w:pPr>
              <w:ind w:left="200"/>
              <w:spacing w:after="0"/>
              <w:rPr>
                <w:sz w:val="20"/>
                <w:szCs w:val="20"/>
                <w:color w:val="auto"/>
              </w:rPr>
            </w:pPr>
            <w:r>
              <w:rPr>
                <w:rFonts w:ascii="Arial" w:cs="Arial" w:eastAsia="Arial" w:hAnsi="Arial"/>
                <w:sz w:val="16"/>
                <w:szCs w:val="16"/>
                <w:b w:val="1"/>
                <w:bCs w:val="1"/>
                <w:color w:val="auto"/>
              </w:rPr>
              <w:t>Three Months Ended July 31,</w:t>
            </w:r>
          </w:p>
        </w:tc>
        <w:tc>
          <w:tcPr>
            <w:tcW w:w="280" w:type="dxa"/>
            <w:vAlign w:val="bottom"/>
          </w:tcPr>
          <w:p>
            <w:pPr>
              <w:spacing w:after="0"/>
              <w:rPr>
                <w:sz w:val="18"/>
                <w:szCs w:val="18"/>
                <w:color w:val="auto"/>
              </w:rPr>
            </w:pPr>
          </w:p>
        </w:tc>
        <w:tc>
          <w:tcPr>
            <w:tcW w:w="120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3"/>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4"/>
          </w:tcPr>
          <w:p>
            <w:pPr>
              <w:jc w:val="center"/>
              <w:ind w:left="1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profit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386,112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239,843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profit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8,474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7,415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74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247,258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147,328</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513"/>
              <w:spacing w:after="0"/>
              <w:rPr>
                <w:sz w:val="20"/>
                <w:szCs w:val="20"/>
                <w:color w:val="auto"/>
              </w:rPr>
            </w:pPr>
            <w:r>
              <w:rPr>
                <w:rFonts w:ascii="Arial" w:cs="Arial" w:eastAsia="Arial" w:hAnsi="Arial"/>
                <w:sz w:val="16"/>
                <w:szCs w:val="16"/>
                <w:b w:val="1"/>
                <w:bCs w:val="1"/>
                <w:color w:val="auto"/>
                <w:w w:val="99"/>
              </w:rPr>
              <w:t>Three Months Ended July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restart"/>
          </w:tcPr>
          <w:p>
            <w:pPr>
              <w:jc w:val="right"/>
              <w:ind w:right="55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center"/>
              <w:ind w:left="3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3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margin</w:t>
            </w: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gross margin</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Subscription gross margin was relatively flat for the three months ended July 31, 2022, compared to the three months ended July 31, 2021.</w:t>
      </w:r>
    </w:p>
    <w:p>
      <w:pPr>
        <w:spacing w:after="0" w:line="18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Professional services gross margin decreased by 5% for the three months ended July 31, 2022 compared to the three months ended July 31, 2021. The decrease in professional services gross margin was primarily due higher employee-related expenses and higher stock-based compensation expense during the three months ended July 31, 2022 compared to the three months ended July 31, 2021, partially offset by an increase in the number of professional service hours performed and an increase in services offerings that are not based on billable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shows sales and marketing expenses for the three months ended July 31, 2022 as compared to the three months ended July 31, 2021 (in thousands, except percentage):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July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Sales and marketing expenses increased by $70.9 million, or 46%, for the three months ended July 31, 2022 compared to the three months ended July 31, 2021. The increase in sales and marketing expenses was primarily due to an increase in employee-related expenses of $34.3 million, driven by a 42% increase in average headcount; an increase in stock-based compensation expense of $15.3 million; an increase in marketing programs of $9.4 million; an increase in allocated overhead costs of $4.7 million; an increase in travel expenses of $3.1 million; an increase in company events expenses of $1.2 million; and an increase in employee health insurance of $1.1 million during the three months ended July 31, 2022.</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shows research and development expenses for the three months ended July 31, 2022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July 31, 2021 (in thousands, except percentage):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July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bl>
    <w:p>
      <w:pPr>
        <w:spacing w:after="0" w:line="283"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Research and development expenses increased by $47.4 million, or 52%, for the three months ended July 31, 2022 compared to the three months ended July 31, 2021. This increase was primarily due to an increase in employee-related expenses of $24.1 million, driven by a 48% increase in average headcount; an increase in stock-based compensation expense of $14.2 million; an increase in allocated overhead costs of $3.9 million; an increase in company events expenses of $1.9 million; an increase in cloud hosting and related services cost of $1.8 million; and an increase in travel expenses of $1.5 million; partially offset by an increase in software capitalization of $3.5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shows general and administrative expenses for the three months ended July 31, 2022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July 31, 2021 (in thousands, except percentage):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July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General and administrative expenses increased by $29.9 million, or 59%, for the three months ended July 31, 2022 compared to the three months ended July 31, 2021. The increase in general and administrative expenses was primarily due to an increase in stock-based compensation expense of $22.6 million; an increase in employee-related expenses of $5.2 million, driven by a 50% increase in average headcount; an increase in allocated overhead costs of $1.2 million; an increase in legal expenses of $1.2 million; and an increase in facilities expenses of $1.1 million; partially offset by a decrease in consulting expenses of $3.6 million during the three months ended July 31, 2022.</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and 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interest expense and other income, net for the three months ended July 31, 2022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31, 2021 (in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July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right"/>
              <w:ind w:right="475"/>
              <w:spacing w:after="0"/>
              <w:rPr>
                <w:sz w:val="20"/>
                <w:szCs w:val="20"/>
                <w:color w:val="auto"/>
              </w:rPr>
            </w:pPr>
            <w:r>
              <w:rPr>
                <w:rFonts w:ascii="Arial" w:cs="Arial" w:eastAsia="Arial" w:hAnsi="Arial"/>
                <w:sz w:val="16"/>
                <w:szCs w:val="16"/>
                <w:b w:val="1"/>
                <w:bCs w:val="1"/>
                <w:color w:val="auto"/>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4"/>
              </w:rPr>
              <w:t>(6,335)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620"/>
              <w:spacing w:after="0"/>
              <w:rPr>
                <w:sz w:val="20"/>
                <w:szCs w:val="20"/>
                <w:color w:val="auto"/>
              </w:rPr>
            </w:pPr>
            <w:r>
              <w:rPr>
                <w:rFonts w:ascii="Arial" w:cs="Arial" w:eastAsia="Arial" w:hAnsi="Arial"/>
                <w:sz w:val="18"/>
                <w:szCs w:val="18"/>
                <w:color w:val="auto"/>
                <w:w w:val="98"/>
              </w:rPr>
              <w:t>11,107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10,488</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1,694 %</w:t>
            </w:r>
          </w:p>
        </w:tc>
      </w:tr>
    </w:tbl>
    <w:p>
      <w:pPr>
        <w:spacing w:after="0" w:line="29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Interest expense consists primarily of interest expense from the amortization of debt issuance costs, contractual interest expense, and accretion of debt discount for our Senior Notes issued in January 2021.</w:t>
      </w:r>
    </w:p>
    <w:p>
      <w:pPr>
        <w:spacing w:after="0" w:line="17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increase in other income, net for the three months ended July 31, 2022 compared to the three months ended July 31, 2021 was primarily due to an increase in interest income of $6.9 million, driven by an increase in market interest rates; an increase in mark-to-market adjustments of $1.9 million for our strategic investments; and a net increase of $1.7 million from fluctuations in foreign currency transaction gains.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shows the provision for income taxes for the three months ended July 31, 2022 as compared to the three months ended July 31, 2021 (in thousands, except percentage):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July 31,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4,778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283" w:lineRule="exact"/>
        <w:rPr>
          <w:sz w:val="20"/>
          <w:szCs w:val="20"/>
          <w:color w:val="auto"/>
        </w:rPr>
      </w:pPr>
    </w:p>
    <w:p>
      <w:pPr>
        <w:jc w:val="both"/>
        <w:ind w:right="480" w:firstLine="648"/>
        <w:spacing w:after="0" w:line="277" w:lineRule="auto"/>
        <w:rPr>
          <w:sz w:val="20"/>
          <w:szCs w:val="20"/>
          <w:color w:val="auto"/>
        </w:rPr>
      </w:pPr>
      <w:r>
        <w:rPr>
          <w:rFonts w:ascii="Arial" w:cs="Arial" w:eastAsia="Arial" w:hAnsi="Arial"/>
          <w:sz w:val="18"/>
          <w:szCs w:val="18"/>
          <w:color w:val="auto"/>
        </w:rPr>
        <w:t>The increase in provision for income taxes of $0.5 million during the three months ended July 31, 2022 compared to the three months ended July 31, 2021 was primarily attributable to increases in pre-tax foreign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July 31,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shows total revenue from subscriptions and professional services for the six months ended July 31, 2022 as compared to the six months ended July 31, 2021 (in thousands, except percentages):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July 31,</w:t>
            </w:r>
          </w:p>
        </w:tc>
        <w:tc>
          <w:tcPr>
            <w:tcW w:w="280" w:type="dxa"/>
            <w:vAlign w:val="bottom"/>
          </w:tcPr>
          <w:p>
            <w:pPr>
              <w:spacing w:after="0"/>
              <w:rPr>
                <w:sz w:val="20"/>
                <w:szCs w:val="20"/>
                <w:color w:val="auto"/>
              </w:rPr>
            </w:pPr>
          </w:p>
        </w:tc>
        <w:tc>
          <w:tcPr>
            <w:tcW w:w="120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64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vMerge w:val="restart"/>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966,021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368,957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13,497</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382,454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Total revenue increased by $382.5 million, or 60%, for the six months ended July 31, 2022 compared to the six months ended July 31, 2021. Subscription revenue accounted for 94% of our total revenue for the six months ended July 31, 2022, and 93% of our total revenue for the six months ended July 31, 2021. Professional services revenue accounted for 6% of our total revenue for the six months ended July 31, 2022, and 7% of our total revenue for the six months ended July 31, 2021.</w:t>
      </w:r>
    </w:p>
    <w:p>
      <w:pPr>
        <w:spacing w:after="0" w:line="200" w:lineRule="exact"/>
        <w:rPr>
          <w:sz w:val="20"/>
          <w:szCs w:val="20"/>
          <w:color w:val="auto"/>
        </w:rPr>
      </w:pPr>
    </w:p>
    <w:p>
      <w:pPr>
        <w:ind w:right="380" w:firstLine="648"/>
        <w:spacing w:after="0" w:line="270" w:lineRule="auto"/>
        <w:rPr>
          <w:sz w:val="20"/>
          <w:szCs w:val="20"/>
          <w:color w:val="auto"/>
        </w:rPr>
      </w:pPr>
      <w:r>
        <w:rPr>
          <w:rFonts w:ascii="Arial" w:cs="Arial" w:eastAsia="Arial" w:hAnsi="Arial"/>
          <w:sz w:val="17"/>
          <w:szCs w:val="17"/>
          <w:color w:val="auto"/>
        </w:rPr>
        <w:t>Subscription revenue increased by $369.0 million, or 62%, for the six months ended July 31, 2022 compared to the six months ended July 31, 2021, which was primarily driven by a combination of the addition of new customers and the sale of additional endpoints and modules to existing customers. As of July 31, 2022, we had a total of 19,686 subscription customers, which represents 51% growth from July 31, 2021.</w:t>
      </w:r>
    </w:p>
    <w:p>
      <w:pPr>
        <w:spacing w:after="0" w:line="17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Professional services revenue increased by $13.5 million, or 31%, for the six months ended July 31, 2022 compared to the six months ended July 31, 2021, which was primarily attributable to an increase in the number of professional service hours performed and an increase in services offerings that are not based on billable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shows cost of revenue related to subscriptions and professional services for the six months ended July 31, 2022 as compared to the six months ended July 31, 2021 (in thousands, except percentages):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July 31,</w:t>
            </w:r>
          </w:p>
        </w:tc>
        <w:tc>
          <w:tcPr>
            <w:tcW w:w="280" w:type="dxa"/>
            <w:vAlign w:val="bottom"/>
          </w:tcPr>
          <w:p>
            <w:pPr>
              <w:spacing w:after="0"/>
              <w:rPr>
                <w:sz w:val="20"/>
                <w:szCs w:val="20"/>
                <w:color w:val="auto"/>
              </w:rPr>
            </w:pPr>
          </w:p>
        </w:tc>
        <w:tc>
          <w:tcPr>
            <w:tcW w:w="120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64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140,896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11,329</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Total cost of revenue increased by $98.5 million, or 58%, for the six months ended July 31, 2022 compared to the six months ended July 31, 2021. Subscription cost of revenue increased by $87.1 million, or 62%, for the six months ended July 31, 2022 compared to the six months ended July 31, 2021. The increase in subscription cost of revenue was primarily due to an increase in cloud hosting and related services cost of $46.3 million, driven by increased customer activity; an increase in employee-related expenses of $19.4 million, driven by a 47% increase in average headcount; an increase in stock-based compensation expense of $4.3 million; an increase in depreciation of data center equipment of $3.9 million; an increase in allocated overhead costs of $3.8 million; an increase in depreciation of internal-use software of $3.8 million; an increase in amortization of intangible assets of $2.1 million; an increase in software licenses and maintenance of $1.9 million; and an increase in hardware maintenance of $1.3 million.</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Professional services cost of revenue increased by $11.3 million, or 40%, for the six months ended July 31, 2022 compared to the six months ended July 31, 2021. The increase in professional services cost of revenue was primarily due to an increase in employee-related expenses of $6.7 million, driven by a 46% increase in average headcount; an increase in stock-based compensation expense of $2.1 million; an increase in consulting expense of $1.5 million; and an increase in allocated overhead costs of $1.1 million.</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shows gross profit and gross margin for subscriptions and professional services for the six months ended July 31, 2022 as compared to the six months ended July 31, 2021 (in thousands, except percentages):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July 31,</w:t>
            </w:r>
          </w:p>
        </w:tc>
        <w:tc>
          <w:tcPr>
            <w:tcW w:w="280" w:type="dxa"/>
            <w:vAlign w:val="bottom"/>
          </w:tcPr>
          <w:p>
            <w:pPr>
              <w:spacing w:after="0"/>
              <w:rPr>
                <w:sz w:val="20"/>
                <w:szCs w:val="20"/>
                <w:color w:val="auto"/>
              </w:rPr>
            </w:pPr>
          </w:p>
        </w:tc>
        <w:tc>
          <w:tcPr>
            <w:tcW w:w="120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64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profit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737,992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456,168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281,824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profit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283,992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7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w w:val="94"/>
              </w:rPr>
              <w:t>Six Months Ended July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vMerge w:val="restart"/>
          </w:tcPr>
          <w:p>
            <w:pPr>
              <w:jc w:val="right"/>
              <w:ind w:right="454"/>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6860"/>
              <w:spacing w:after="0"/>
              <w:rPr>
                <w:sz w:val="20"/>
                <w:szCs w:val="20"/>
                <w:color w:val="auto"/>
              </w:rPr>
            </w:pPr>
            <w:r>
              <w:rPr>
                <w:rFonts w:ascii="Arial" w:cs="Arial" w:eastAsia="Arial" w:hAnsi="Arial"/>
                <w:sz w:val="16"/>
                <w:szCs w:val="16"/>
                <w:b w:val="1"/>
                <w:bCs w:val="1"/>
                <w:color w:val="auto"/>
              </w:rPr>
              <w:t>2022</w:t>
            </w:r>
          </w:p>
        </w:tc>
        <w:tc>
          <w:tcPr>
            <w:tcW w:w="170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00" w:type="dxa"/>
            <w:vAlign w:val="bottom"/>
            <w:gridSpan w:val="2"/>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63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10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margin</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gross margin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Subscription gross margin was relatively flat for the six months ended July 31, 2022 compared to the six months ended July 31, 2021.</w:t>
      </w:r>
    </w:p>
    <w:p>
      <w:pPr>
        <w:spacing w:after="0" w:line="18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Professional services gross margin decreased by 4% for the six months ended July 31, 2022, compared to the six months ended July 31, 2021. The decrease in professional services gross margin was primarily due to higher employee-related expenses and higher stock-based compensation expense during the six months ended July 31, 2022 compared to the six months ended July 31, 2021, partially offset by an increase in the number of professional service hours performed and an increase in services offerings that are not based on billable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shows sales and marketing expenses for the six months ended July 31, 2022 as compared to the six months ended July 31, 2021 (in thousands, except percentage):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July 31,</w:t>
            </w:r>
          </w:p>
        </w:tc>
        <w:tc>
          <w:tcPr>
            <w:tcW w:w="280" w:type="dxa"/>
            <w:vAlign w:val="bottom"/>
          </w:tcPr>
          <w:p>
            <w:pPr>
              <w:spacing w:after="0"/>
              <w:rPr>
                <w:sz w:val="20"/>
                <w:szCs w:val="2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Sales and marketing expenses increased by $129.3 million, or 45%, for the six months ended July 31, 2022 compared to the six months ended July 31, 2021. The increase in sales and marketing expenses was primarily due to an increase in employee-related expenses of $65.3 million, driven by a 42% increase in average headcount; an increase in stock-based compensation expense of $24.6 million; an increase in marketing programs of $14.7 million; an increase in allocated overhead costs of $8.3 million; an increase in company events expenses of $5.6 million; an increase in travel expenses of $4.7 million; and an increase in employee health insurance of $2.0 million during the six months ended July 31, 2022.</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shows research and development expenses for the six months ended July 31, 2022 as compared to the six months ended July 31, 2021 (in thousands, except percentage):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July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28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Research and development expenses increased by $92.6 million, or 55%, for the six months ended July 31, 2022, compared to the six months ended July 31, 2021. This increase was primarily due to an increase in employee-related expenses of $45.7 million, driven by a 50% increase in average headcount; an increase in stock-based compensation expense of $30.5 million; an increase in allocated overhead costs of $7.5 million; an increase in company events expenses of $2.6 million; an increase in cloud hosting and related services cost of $2.4 million; an increase in travel expenses of $2.3 million; an increase in employee health insurance of $1.7 million; and an increase in software licenses and maintenance of $1.2 million; partially offset by an increase in software capitalization of $4.7 million during the six months ended July 31, 2022.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shows general and administrative expenses for the six months ended July 31, 2022 as compared to the six months ended July 31, 2021 (in thousands, except percentage):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July 31,</w:t>
            </w:r>
          </w:p>
        </w:tc>
        <w:tc>
          <w:tcPr>
            <w:tcW w:w="280" w:type="dxa"/>
            <w:vAlign w:val="bottom"/>
          </w:tcPr>
          <w:p>
            <w:pPr>
              <w:spacing w:after="0"/>
              <w:rPr>
                <w:sz w:val="20"/>
                <w:szCs w:val="2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General and administrative expenses increased by $55.5 million, or 60%, for the six months ended July 31, 2022 compared to the six months ended July 31, 2021. The increase in general and administrative expenses was primarily due to an increase in stock-based compensation expense of $42.0 million; an increase in employee-related expenses of $10.0 million, driven by a 54% increase in average headcount; an increase in allocated overhead costs of $2.3 million; an increase in facilities expenses of $2.3 million; and an increase in legal expenses of $1.1 million; partially offset by a decrease in consulting expenses of $7.5 million during the six months ended July 31, 2022.</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and Other Income, Net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shows interest expense and other income, net for the six months ended July 31, 2022 as compared to the six months ended July 31, 2021 (in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8"/>
                <w:szCs w:val="18"/>
                <w:b w:val="1"/>
                <w:bCs w:val="1"/>
                <w:color w:val="auto"/>
                <w:w w:val="98"/>
              </w:rPr>
              <w:t>Six Months Ended July 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right"/>
              <w:ind w:right="475"/>
              <w:spacing w:after="0"/>
              <w:rPr>
                <w:sz w:val="20"/>
                <w:szCs w:val="20"/>
                <w:color w:val="auto"/>
              </w:rPr>
            </w:pPr>
            <w:r>
              <w:rPr>
                <w:rFonts w:ascii="Arial" w:cs="Arial" w:eastAsia="Arial" w:hAnsi="Arial"/>
                <w:sz w:val="16"/>
                <w:szCs w:val="16"/>
                <w:b w:val="1"/>
                <w:bCs w:val="1"/>
                <w:color w:val="auto"/>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14,319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8,932</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166 %</w:t>
            </w:r>
          </w:p>
        </w:tc>
      </w:tr>
    </w:tbl>
    <w:p>
      <w:pPr>
        <w:spacing w:after="0" w:line="29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expense consists primarily of interest expense from the amortization of debt issuance costs, contractual interest expense and accretion of debt discount for our Senior Notes issued in January 2021.</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increase in other income, net for the six months ended July 31, 2022 compared to the six months ended July 31, 2021 was primarily due to an increase in interest income of $7.6 million, driven by an increase in market interest rates; and a net increase of $1.5 million from fluctuations in foreign currency transaction gains.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shows the provision for income taxes for the six months ended July 31, 2022 as compared to the six months ended July 31, 2021 (in thousands, except percentage):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00" w:type="dxa"/>
            <w:vAlign w:val="bottom"/>
            <w:gridSpan w:val="6"/>
          </w:tcPr>
          <w:p>
            <w:pPr>
              <w:ind w:left="520"/>
              <w:spacing w:after="0"/>
              <w:rPr>
                <w:sz w:val="20"/>
                <w:szCs w:val="20"/>
                <w:color w:val="auto"/>
              </w:rPr>
            </w:pPr>
            <w:r>
              <w:rPr>
                <w:rFonts w:ascii="Arial" w:cs="Arial" w:eastAsia="Arial" w:hAnsi="Arial"/>
                <w:sz w:val="18"/>
                <w:szCs w:val="18"/>
                <w:b w:val="1"/>
                <w:bCs w:val="1"/>
                <w:color w:val="auto"/>
              </w:rPr>
              <w:t>Six Months Ended July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bl>
    <w:p>
      <w:pPr>
        <w:spacing w:after="0" w:line="2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decrease in provision for income taxes of $46.1 million during the six months ended July 31, 2022 was primarily driven by the intercompany sale of intellectual property from Humio during the six months ended July 31,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Our primary sources of liquidity as of July 31, 2022, consisted of: (i) $2.3 billion in cash and cash equivalents, (ii) cash we expect to generate from operations, and (iii) available capacity under our $750.0 million senior secured revolving credit facility (the “A&amp;R Credit Agreement”). We expect that the combination of our existing cash and cash equivalents, cash flows from operations, and the A&amp;R Credit Agreement will be sufficient to meet our anticipated cash needs for working capital and capital expenditures for at least the next 12 months.</w:t>
      </w:r>
    </w:p>
    <w:p>
      <w:pPr>
        <w:spacing w:after="0" w:line="17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76"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Since our inception, we have generated operating losses, as reflected in our accumulated deficit of $1.0 billion as of July 31, 2022. We expect to continue to incur operating losses for the foreseeable future due to the investments we intend to continue to make, particularly in sales and marketing and research and development. As a result, we may require additional capital resources in the future to execute strategic initiatives to grow our business.</w:t>
      </w:r>
    </w:p>
    <w:p>
      <w:pPr>
        <w:spacing w:after="0" w:line="14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July 31, 2022, we had deferred revenue of $1.8 billion, of which $1.4 billion was recorded as a current liability and is expected to be recorded as revenue in the next 12 months, provided all other revenue recognition criteria have been met.</w:t>
      </w:r>
    </w:p>
    <w:p>
      <w:pPr>
        <w:spacing w:after="0" w:line="176" w:lineRule="exact"/>
        <w:rPr>
          <w:sz w:val="20"/>
          <w:szCs w:val="20"/>
          <w:color w:val="auto"/>
        </w:rPr>
      </w:pPr>
    </w:p>
    <w:p>
      <w:pPr>
        <w:jc w:val="both"/>
        <w:ind w:right="220" w:firstLine="648"/>
        <w:spacing w:after="0" w:line="256"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Cash Flows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8120" w:type="dxa"/>
            <w:vAlign w:val="bottom"/>
          </w:tcPr>
          <w:p>
            <w:pPr>
              <w:ind w:left="660"/>
              <w:spacing w:after="0"/>
              <w:rPr>
                <w:sz w:val="20"/>
                <w:szCs w:val="20"/>
                <w:color w:val="auto"/>
              </w:rPr>
            </w:pPr>
            <w:r>
              <w:rPr>
                <w:rFonts w:ascii="Arial" w:cs="Arial" w:eastAsia="Arial" w:hAnsi="Arial"/>
                <w:sz w:val="18"/>
                <w:szCs w:val="18"/>
                <w:color w:val="auto"/>
              </w:rPr>
              <w:t>The following table summarizes our cash flows for the periods presented (in thousands):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73"/>
        </w:trPr>
        <w:tc>
          <w:tcPr>
            <w:tcW w:w="8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9"/>
              </w:rPr>
              <w:t>Six Months Ended July 31,</w:t>
            </w:r>
          </w:p>
        </w:tc>
      </w:tr>
      <w:tr>
        <w:trPr>
          <w:trHeight w:val="223"/>
        </w:trPr>
        <w:tc>
          <w:tcPr>
            <w:tcW w:w="8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256,008</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(426,121)</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38,799</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323,761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(131,557)</w:t>
            </w:r>
          </w:p>
        </w:tc>
      </w:tr>
    </w:tbl>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Net cash provided by operating activities during the six months ended July 31, 2022 was $424.9 million, which resulted from a net loss of $78.7 million, adjusted for non-cash charges of $357.3 million and net cash inflow of $146.3 million from changes in operating assets and liabilities. Non-cash charges primarily consisted of $234.0 million in stock-based compensation expense, $77.6 million of amortization of deferred contract acquisition costs, $34.1 million of depreciation and amortization, $8.2 million of amortization for intangibles assets, $4.5 million of non-cash operating lease costs and $1.6 million change in deferred income taxes, partially offset by $4.1 million change in the fair value of strategic investments. The net cash inflow from changes in operating assets and liabilities was primarily due to a $314.8 million increase in deferred revenue and a $5.7 million increase in accrued expenses and other liabilities, partially offset by a $108.9 million increase in deferred contract acquisition costs, a $50.7 million increase in accounts receivable, net, an $11.0 million increase in prepaid expenses and other assets, and a $4.7 million decrease in operating lease liabilities.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Net cash used in investing activities of $140.1 million during the six months ended July 31, 2022 was primarily due to purchases of property and equipment of $118.3 million, capitalized internal-use software and website development costs of $13.2 million, and purchase of strategic investments of $7.8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Net cash provided by financing activities of $43.3 million during the six months ended July 31, 2022 was primarily due to proceeds from our employee stock purchase plan of $34.4 million, proceeds from the exercise of stock options of $4.9 million, and $4.0 million of capital contributions from non-controlling interest holders.</w:t>
      </w:r>
    </w:p>
    <w:p>
      <w:pPr>
        <w:spacing w:after="0" w:line="18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in our Notes to Condensed Consolidated Financial Statements in Part I, Item 1 of this Quarterly Report on Form 10-Q, for a brief description of the Senior Notes.</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conduct our operations almost entirely through our subsidiaries. Accordingly, the Obligor Group’s cash flow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all of our consolidated revenue, and there are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Six Months Ended July 31,</w:t>
            </w:r>
          </w:p>
        </w:tc>
      </w:tr>
      <w:tr>
        <w:trPr>
          <w:trHeight w:val="243"/>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r>
      <w:tr>
        <w:trPr>
          <w:trHeight w:val="263"/>
        </w:trPr>
        <w:tc>
          <w:tcPr>
            <w:tcW w:w="8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(in thousands)</w:t>
            </w: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1,022,987</w:t>
            </w: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285,723</w:t>
            </w: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839,415</w:t>
            </w: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(102,151)</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(109,947)</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Net loss attributable to CrowdStrike</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(109,947)</w:t>
            </w: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Balance Sheets</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July 31, 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31, 2022</w:t>
            </w:r>
          </w:p>
        </w:tc>
      </w:tr>
      <w:tr>
        <w:trPr>
          <w:trHeight w:val="263"/>
        </w:trPr>
        <w:tc>
          <w:tcPr>
            <w:tcW w:w="7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20" w:type="dxa"/>
            <w:vAlign w:val="bottom"/>
            <w:gridSpan w:val="4"/>
          </w:tcPr>
          <w:p>
            <w:pPr>
              <w:jc w:val="right"/>
              <w:ind w:right="125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(excluding intercompany receivables from non-Guarantors)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2,871,134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2,499,941</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Intercompany receivables from non-Guarantors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41,952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11,900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1,201,620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1,590,484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1,363,873</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 (excluding intercompany payable to non-Guarantors)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1,254,683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1,165,807</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Intercompany payable to non-Guarantors</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255,857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276,919</w:t>
            </w:r>
          </w:p>
        </w:tc>
      </w:tr>
    </w:tbl>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the Falcon Fund II. Further, entities associated with Accel also agreed to commit up to $10.0 million and $50.0 million, respectively, to the Original Falcon Fund and the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6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During the six months ended July 31, 2022, there were no significant changes to our contractual obligations under our non-cancelable real estate arrangements or our debt obligations related to the Senior Notes, as presented in Part II, Item 7, Management’s Discussion and Analysis of Financial Condition and Results of Operations included in our Annual Report on Form 10-K for the fiscal year ended January 31, 2022.</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non-cancelable data center commitments totaling $124.0 million as of July 31, 2022, of which $84.9 million is due in more than 12 months. We also have non-cancelable purchase commitments with various parties to purchase products and services entered in the normal course of business totaling $118.4 million as of July 31, 2022, of which $100.0 million is due in more than 12 months. We expect to fund these obligations with cash flows from operations and cash on our balance sheet.</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contractual commitment amounts above are associated with agreements that are enforceable and legally binding. Obligations under contracts, including purchase orders, that we can cancel without a significant penalty are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225"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In October 2021, we entered into a new private pricing addendum with Amazon Web Services (“AWS”), which provides us with cloud computing infrastructure. Under the new pricing addendum, we committed to purchase a minimum of $600.0 million of cloud services from AWS through September 2026. As of July 31, 2022, we have utilized $158.4 million of this commitment. We expect to meet our remaining commitment with AWS.</w:t>
      </w:r>
    </w:p>
    <w:p>
      <w:pPr>
        <w:spacing w:after="0" w:line="14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As of July 31, 2022, our unrecognized tax benefits included $2.8 million which were classified as long-term liabilities due to the inherent uncertainty with respect to the timing of future cash outflows associated with our unrecognized tax benefits.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sheets as of July 31, 2022 or January 31, 2022.</w:t>
      </w:r>
    </w:p>
    <w:p>
      <w:pPr>
        <w:spacing w:after="0" w:line="191"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liability insurance policy mitigates our exposure. Historically, we have not been obligated to make any payments for these obligations and no liabilities have been recorded for these obligations on our condensed consolidated balance sheets as of July 31, 2022 or January 31, 2022.</w:t>
      </w:r>
    </w:p>
    <w:p>
      <w:pPr>
        <w:spacing w:after="0" w:line="16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8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90"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six months ended July 31, 2022, as compared to the critical accounting policies and estimates disclosed in Management’s Discussion and Analysis of Financial Condition and Results of Operations included in our Annual Report on Form 10-K for the year ended January 31, 2022, filed with the SEC on March 16, 2022.</w:t>
      </w:r>
    </w:p>
    <w:p>
      <w:pPr>
        <w:spacing w:after="0" w:line="16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condensed consolidated financial statements, and are considered by us to be backlog. As of July 31, 2022, we had backlog of approximately $661.7 million.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 experience seasonality in our operating margin, with a lower margin in the first half of our fiscal year due to a step up in costs for payroll taxes, new hires, and annual sales and marketing events. This also impacts the timing of operating cash flow.</w:t>
      </w:r>
    </w:p>
    <w:p>
      <w:pPr>
        <w:spacing w:after="0" w:line="1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of July 31, 2022, we had 6,250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6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principal executive offices are located at 206 E. 9th Street, Suite 1400, Austin, Texas 78701 and our telephone number is (888) 512-8906. Our website address is www.crowdstrike.com. Information contained on, or that can be accessed through, our website does not constitute part of this Quarterly Report on Form 10-Q.</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See Note 1, “Description of Business and Significant Accounting Policies”, of our condensed consolidated financial statements included elsewhere in this Quarterly Report on Form 10-Q, for more information about the impact of certain recent accounting pronouncements on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cash and cash equivalents primarily consist of cash on hand and highly liquid investments in bank deposits and money market funds. Our investments are exposed to market risk due to fluctuations in interest rates, which may affect our interest income and the fair value of our investments. As of July 31, 2022, we had cash and cash equivalents of $2.3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Due to the short-term nature of our investment portfolio, the effect of a hypothetical 100 basis point change in interest rates would not have had a material effect on the fair market value of our portfolio as of July 31, 2022. We therefore do not expect our results of operations or cash flows to be materially affected by a sudden change in market interest rates.</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debt obligations consist of a variety of financial instruments that expose us to interest rate risk, including, but not limited to our revolving credit facility and the Senior Notes. The interest on the revolving credit facility is tied to short term interest rate benchmarks including the Term SOFR. The interest rate on the Senior Notes is fixed.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net. A hypothetical 10% adverse change in the U.S. dollar against other currencies would have resulted in an increase in operating loss of approximately $24.7 million and $13.7 million for the six months ended July 31, 2022 and July 31, 2021, respectively. We have not entered into derivative or hedging transactions, but we may do so in the future if our exposure to foreign currency becomes more significant.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do not believe that inflation had a material effect on our business, financial conditions or results of operations during the six months ended July 31, 2022.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July 31, 2022. Based on the evaluation of our disclosure controls and procedures as of July 31, 2022, our Chief Executive Officer and Chief Financial Officer concluded that, as of such date,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8, “Commitments and Contingencies” in our Notes to Condensed Consolidated Financial Statements in Part I, Item 1 of this Quarterly Report on Form 10-Q.</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record a liability for any claims for which we believe a loss is both probable and reasonably estimable. There is no pending or threatened legal proceeding to which we are a party that, in our opinion, is likely to have a material adverse effect on our business and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70"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We have experienced rapid revenue growth in recent periods and we expect to continue to invest broadly across our organization to support our growth. For example, our headcount grew from 2,309 employees as of January 31, 2020, to 6,250 employees as of July 31, 2022.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attract, integrate, and retain a large number of new employees, particularly members of our sales and marketing and research and development teams;</w:t>
      </w:r>
    </w:p>
    <w:p>
      <w:pPr>
        <w:spacing w:after="0" w:line="170" w:lineRule="exact"/>
        <w:rPr>
          <w:rFonts w:ascii="Arial" w:cs="Arial" w:eastAsia="Arial" w:hAnsi="Arial"/>
          <w:sz w:val="18"/>
          <w:szCs w:val="18"/>
          <w:color w:val="auto"/>
        </w:rPr>
      </w:pPr>
    </w:p>
    <w:p>
      <w:pPr>
        <w:ind w:left="1140" w:right="400" w:hanging="322"/>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improve our Falcon platform, including our cloud modules, and IT infrastructure, including expanding and optimizing our data centers, to support our business needs;</w:t>
      </w:r>
    </w:p>
    <w:p>
      <w:pPr>
        <w:spacing w:after="0" w:line="170" w:lineRule="exact"/>
        <w:rPr>
          <w:rFonts w:ascii="Arial" w:cs="Arial" w:eastAsia="Arial" w:hAnsi="Arial"/>
          <w:sz w:val="18"/>
          <w:szCs w:val="18"/>
          <w:color w:val="auto"/>
        </w:rPr>
      </w:pPr>
    </w:p>
    <w:p>
      <w:pPr>
        <w:ind w:left="1140" w:right="180" w:hanging="322"/>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 our financial, management, and compliance systems and controls.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sustain profitability in the future.</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have incurred net losses in all periods since our inception, and we may not achieve or maintain profitability in the future. We experienced net losses of $234.8 million, $92.6 million, and $141.8 million for fiscal 2022, fiscal 2021, and fiscal 2020, respectively. As of July 31, 2022, we had an accumulated deficit of $1.0 billion.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operating results and future revenue.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COVID-19 pandemic continues to impact worldwide economic activity and financial markets. In light of the uncertain and rapidly evolving situation relating to the spread of COVID-19, we have taken precautionary measures intended to mitigate the spread of the virus and minimize the risk to our employees, customers, partners, and the communities in which we operate. These precautionary measures could negatively affect our customer success efforts, delay and lengthen our sales cycles, impact our sales and marketing efforts, reduce employee efficiency and productivity, increase employee attrition, slow our international expansion efforts, increase cybersecurity risks, and create operational or other challenges, any of which could harm our business and results of operations. As we monitor the situation, taking into account uncertainties with respect to vaccination progress, disease variants and the efficacy of vaccines and treatments relating to such variants, infection rates and evolving public health guidance at local, state and country levels, planning and risk management relating to our work policies and office operations will require time from management and other employees, which may reduce the amount of time available for other initiatives. Moreover, due to our subscription-based business model, the effect of the COVID-19 pandemic may not be fully reflected in our results of operations until future periods, if at all.</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the COVID-19 pandemic may disrupt the operations of our customers and partners for an indefinite period of time. Some of our customers have been negatively impacted by the COVID-19 pandemic, which could result in delays in accounts receivable collection, or result in decreased technology spending which could negatively affect our revenues. More generally, the COVID-19 pandemic has adversely affected economies and financial markets globally, and continued uncertainty could lead to a prolonged economic downturn, which could result in a larger customer churn than we currently anticipate and reduced demand for our products and services, in which case our revenues could be significantly impacted. The impact of the COVID-19 pandemic may also exacerbate other risks discussed in this “Risk Factors” section and elsewhere in this Quarterly Report on Form 10-Q. It is not possible at this time to estimate the impact that the COVID-19 pandemic could have on our business, as the impact will depend on future developments, which are highly uncertain and cannot be predicted.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7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especially in the early stages of introduction, as well as our ability to seamlessly integrate all of our product and service offerings and develop adequate sales capabilities in new markets. Failure in this regard may erode our competitive position, significantly impair our revenue growth, and negatively impact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future results of operations could be harmed.</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17"/>
          <w:szCs w:val="17"/>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COVID-19 or inflation (as well as government policies such as raising interest rates in response to inflation), may cause our current and prospective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78" w:lineRule="exact"/>
        <w:rPr>
          <w:sz w:val="20"/>
          <w:szCs w:val="20"/>
          <w:color w:val="auto"/>
        </w:rPr>
      </w:pPr>
    </w:p>
    <w:p>
      <w:pPr>
        <w:ind w:left="1140" w:right="360" w:hanging="322"/>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capabilities, including performance and reliability, of our Falcon platform, including our cloud modules, services, and features compared to those of our competitors;</w:t>
      </w:r>
    </w:p>
    <w:p>
      <w:pPr>
        <w:spacing w:after="0" w:line="170" w:lineRule="exact"/>
        <w:rPr>
          <w:rFonts w:ascii="Arial" w:cs="Arial" w:eastAsia="Arial" w:hAnsi="Arial"/>
          <w:sz w:val="18"/>
          <w:szCs w:val="18"/>
          <w:color w:val="auto"/>
        </w:rPr>
      </w:pPr>
    </w:p>
    <w:p>
      <w:pPr>
        <w:ind w:left="1140" w:right="500" w:hanging="322"/>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improve existing products, services, and features, or to develop new ones to address evolving customer needs;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channel partners;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our sales and marketing efforts;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competitors include the following by general category:</w:t>
      </w:r>
    </w:p>
    <w:p>
      <w:pPr>
        <w:spacing w:after="0" w:line="185" w:lineRule="exact"/>
        <w:rPr>
          <w:sz w:val="20"/>
          <w:szCs w:val="20"/>
          <w:color w:val="auto"/>
        </w:rPr>
      </w:pPr>
    </w:p>
    <w:p>
      <w:pPr>
        <w:ind w:left="1140" w:right="60" w:hanging="322"/>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legacy antivirus product providers, such as Trellix, Broadcom Inc.’s Symantec Enterprise division, and Microsoft Corporation, who offer a broad range of approaches and solutions including traditional signature-based anti-virus protection;</w:t>
      </w:r>
    </w:p>
    <w:p>
      <w:pPr>
        <w:spacing w:after="0" w:line="143"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alternative endpoint security providers, such as Blackberry Cylance, VMware Carbon Black and SentinelOne, who generally offer a mix of on-premise and cloud-hosted products that rely heavily on malware-only or application whitelisting techniques;</w:t>
      </w:r>
    </w:p>
    <w:p>
      <w:pPr>
        <w:spacing w:after="0" w:line="129" w:lineRule="exact"/>
        <w:rPr>
          <w:rFonts w:ascii="Arial" w:cs="Arial" w:eastAsia="Arial" w:hAnsi="Arial"/>
          <w:sz w:val="18"/>
          <w:szCs w:val="18"/>
          <w:color w:val="auto"/>
        </w:rPr>
      </w:pPr>
    </w:p>
    <w:p>
      <w:pPr>
        <w:ind w:left="1140" w:right="340" w:hanging="322"/>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who are supplementing their core perimeter-based offerings with endpoint security solutions; and</w:t>
      </w:r>
    </w:p>
    <w:p>
      <w:pPr>
        <w:spacing w:after="0" w:line="129"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professional service providers, such as Mandiant and Microsoft Corporation, who offer cybersecurity response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pricing pressure may reduce our gross profits and adversely affect our financial results.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8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7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2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if geopolitical tensions increase. We are also susceptible to inadvertent compromises of our systems and data, including those arising from process, coding, or human errors. We also utilize third-party service providers to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7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6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factors, many of which are beyond our control, can affect the delivery, availability, and the performance of our Falcon platform:</w:t>
      </w:r>
    </w:p>
    <w:p>
      <w:pPr>
        <w:spacing w:after="0" w:line="237"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and maintenance of the infrastructure of the internet;</w:t>
      </w:r>
    </w:p>
    <w:p>
      <w:pPr>
        <w:spacing w:after="0" w:line="225" w:lineRule="exact"/>
        <w:rPr>
          <w:rFonts w:ascii="Arial" w:cs="Arial" w:eastAsia="Arial" w:hAnsi="Arial"/>
          <w:sz w:val="18"/>
          <w:szCs w:val="18"/>
          <w:color w:val="auto"/>
        </w:rPr>
      </w:pPr>
    </w:p>
    <w:p>
      <w:pPr>
        <w:ind w:left="1140" w:right="440" w:hanging="322"/>
        <w:spacing w:after="0" w:line="277"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70" w:lineRule="exact"/>
        <w:rPr>
          <w:rFonts w:ascii="Arial" w:cs="Arial" w:eastAsia="Arial" w:hAnsi="Arial"/>
          <w:sz w:val="18"/>
          <w:szCs w:val="18"/>
          <w:color w:val="auto"/>
        </w:rPr>
      </w:pPr>
    </w:p>
    <w:p>
      <w:pPr>
        <w:ind w:left="1140" w:hanging="322"/>
        <w:spacing w:after="0" w:line="263"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83" w:lineRule="exact"/>
        <w:rPr>
          <w:rFonts w:ascii="Arial" w:cs="Arial" w:eastAsia="Arial" w:hAnsi="Arial"/>
          <w:sz w:val="18"/>
          <w:szCs w:val="18"/>
          <w:color w:val="auto"/>
        </w:rPr>
      </w:pPr>
    </w:p>
    <w:p>
      <w:pPr>
        <w:ind w:left="1140" w:right="720" w:hanging="322"/>
        <w:spacing w:after="0" w:line="277"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physical or electronic break-ins, acts of war or terrorism, human error or interference (including by disgruntled employees, former employees or contractors) and other catastrophic events;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cyberattacks, including denial of service attacks, targeted at us, our data centers, or the infrastructure of the internet;</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us to maintain and update our cloud infrastructure to meet our data capacity requirements;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errors, defects or performance problems in our software, including third-party software incorporated in our software;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improper deployment or configuration of our solutions;</w:t>
      </w:r>
    </w:p>
    <w:p>
      <w:pPr>
        <w:spacing w:after="0" w:line="225"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of our redundancy systems, in the event of a service disruption at one of our data centers, to provide failover to other data centers in our data center network; and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of our disaster recovery and business continuity arrangements.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rely on our key technical, sales and management personnel to grow our business, and the loss of one or more key employees could harm our business.</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qualified personnel, our business could be harmed.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65" w:lineRule="exact"/>
        <w:rPr>
          <w:sz w:val="20"/>
          <w:szCs w:val="20"/>
          <w:color w:val="auto"/>
        </w:rPr>
      </w:pPr>
    </w:p>
    <w:p>
      <w:pPr>
        <w:ind w:left="1140" w:right="340" w:hanging="322"/>
        <w:spacing w:after="0" w:line="277"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customers;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length of our sales cycles;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 or channel partner requirements or market needs;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growth rate of the cloud-based SaaS-delivered endpoint security solutions market;</w:t>
      </w:r>
    </w:p>
    <w:p>
      <w:pPr>
        <w:spacing w:after="0" w:line="225"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competitive developments, including consolidation among our customers or competitors;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level of awareness of cybersecurity threats, particularly advanced cyberattacks, and the market adoption of our Falcon platform;</w:t>
      </w:r>
    </w:p>
    <w:p>
      <w:pPr>
        <w:spacing w:after="0" w:line="236" w:lineRule="exact"/>
        <w:rPr>
          <w:rFonts w:ascii="Arial" w:cs="Arial" w:eastAsia="Arial" w:hAnsi="Arial"/>
          <w:sz w:val="17"/>
          <w:szCs w:val="17"/>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our business domestically and internationally;</w:t>
      </w:r>
    </w:p>
    <w:p>
      <w:pPr>
        <w:spacing w:after="0" w:line="225"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decisions by organizations to purchase security solutions from larger, more established security vendors or from their primary IT equipment vendors;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disruption in our relationship with channel partners;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use of our Falcon platform;</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 or outcomes;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economic conditions, both domestic and in our foreign markets, including conditions impacted by inflation and rising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or practices;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media coverage or publicity;</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events;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expansion of our business;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can be long and unpredictable, and our sales efforts require considerable time and expense.</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5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amplify the media and political scrutiny we face.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derived approximately 26%, 28%, 28% and 30% of our total revenue from our international customers for fiscal 2020, fiscal 2021, fiscal 2022 and the six months ended July 31, 2022,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22" w:lineRule="exact"/>
        <w:rPr>
          <w:sz w:val="20"/>
          <w:szCs w:val="20"/>
          <w:color w:val="auto"/>
        </w:rPr>
      </w:pPr>
    </w:p>
    <w:p>
      <w:pPr>
        <w:ind w:left="1140" w:hanging="322"/>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greater difficulty in negotiating contracts with standard terms, enforcing contracts and managing collections, and longer collection periods;</w:t>
      </w:r>
    </w:p>
    <w:p>
      <w:pPr>
        <w:spacing w:after="0" w:line="248" w:lineRule="exact"/>
        <w:rPr>
          <w:rFonts w:ascii="Arial" w:cs="Arial" w:eastAsia="Arial" w:hAnsi="Arial"/>
          <w:sz w:val="16"/>
          <w:szCs w:val="16"/>
          <w:color w:val="auto"/>
        </w:rPr>
      </w:pPr>
    </w:p>
    <w:p>
      <w:pPr>
        <w:ind w:left="1140" w:right="140" w:hanging="322"/>
        <w:spacing w:after="0" w:line="277"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costs incurred in establishing and maintaining office space and equipment for our international operations;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225" w:lineRule="exact"/>
        <w:rPr>
          <w:rFonts w:ascii="Arial" w:cs="Arial" w:eastAsia="Arial" w:hAnsi="Arial"/>
          <w:sz w:val="18"/>
          <w:szCs w:val="18"/>
          <w:color w:val="auto"/>
        </w:rPr>
      </w:pPr>
    </w:p>
    <w:p>
      <w:pPr>
        <w:ind w:left="1140" w:right="440" w:hanging="322"/>
        <w:spacing w:after="0" w:line="277"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1140" w:right="180" w:hanging="322"/>
        <w:spacing w:after="0" w:line="263"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83" w:lineRule="exact"/>
        <w:rPr>
          <w:rFonts w:ascii="Arial" w:cs="Arial" w:eastAsia="Arial" w:hAnsi="Arial"/>
          <w:sz w:val="18"/>
          <w:szCs w:val="18"/>
          <w:color w:val="auto"/>
        </w:rPr>
      </w:pPr>
    </w:p>
    <w:p>
      <w:pPr>
        <w:ind w:left="1140" w:right="300" w:hanging="322"/>
        <w:spacing w:after="0" w:line="277"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exchange controls or tax regulations that might prevent us from repatriating cash earned outside the United States;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20" w:hanging="322"/>
        <w:spacing w:after="0" w:line="277" w:lineRule="auto"/>
        <w:tabs>
          <w:tab w:leader="none" w:pos="1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w:t>
      </w:r>
    </w:p>
    <w:p>
      <w:pPr>
        <w:spacing w:after="0" w:line="170" w:lineRule="exact"/>
        <w:rPr>
          <w:rFonts w:ascii="Arial" w:cs="Arial" w:eastAsia="Arial" w:hAnsi="Arial"/>
          <w:sz w:val="18"/>
          <w:szCs w:val="18"/>
          <w:color w:val="auto"/>
        </w:rPr>
      </w:pPr>
    </w:p>
    <w:p>
      <w:pPr>
        <w:ind w:left="1140" w:right="400" w:hanging="322"/>
        <w:spacing w:after="0" w:line="277" w:lineRule="auto"/>
        <w:tabs>
          <w:tab w:leader="none" w:pos="1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costs for the localization of our services, including translation into foreign languages and adaptation for local practices and regulatory requirements (including, but not limited to data localization requirements);</w:t>
      </w:r>
    </w:p>
    <w:p>
      <w:pPr>
        <w:spacing w:after="0" w:line="170" w:lineRule="exact"/>
        <w:rPr>
          <w:rFonts w:ascii="Arial" w:cs="Arial" w:eastAsia="Arial" w:hAnsi="Arial"/>
          <w:sz w:val="18"/>
          <w:szCs w:val="18"/>
          <w:color w:val="auto"/>
        </w:rPr>
      </w:pPr>
    </w:p>
    <w:p>
      <w:pPr>
        <w:ind w:left="1140" w:right="480" w:hanging="322"/>
        <w:spacing w:after="0" w:line="277" w:lineRule="auto"/>
        <w:tabs>
          <w:tab w:leader="none" w:pos="1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170" w:lineRule="exact"/>
        <w:rPr>
          <w:rFonts w:ascii="Arial" w:cs="Arial" w:eastAsia="Arial" w:hAnsi="Arial"/>
          <w:sz w:val="18"/>
          <w:szCs w:val="18"/>
          <w:color w:val="auto"/>
        </w:rPr>
      </w:pPr>
    </w:p>
    <w:p>
      <w:pPr>
        <w:ind w:left="1140" w:right="740" w:hanging="322"/>
        <w:spacing w:after="0" w:line="277" w:lineRule="auto"/>
        <w:tabs>
          <w:tab w:leader="none" w:pos="1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in identifying, attracting and retaining local qualified personnel, and the costs and expenses associated with such activities;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identifying qualified channel partners and maintaining successful relationships with such partners;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 issues; and</w:t>
      </w:r>
    </w:p>
    <w:p>
      <w:pPr>
        <w:spacing w:after="0" w:line="225" w:lineRule="exact"/>
        <w:rPr>
          <w:rFonts w:ascii="Arial" w:cs="Arial" w:eastAsia="Arial" w:hAnsi="Arial"/>
          <w:sz w:val="18"/>
          <w:szCs w:val="18"/>
          <w:color w:val="auto"/>
        </w:rPr>
      </w:pPr>
    </w:p>
    <w:p>
      <w:pPr>
        <w:ind w:left="1140" w:right="280" w:hanging="322"/>
        <w:spacing w:after="0" w:line="277" w:lineRule="auto"/>
        <w:tabs>
          <w:tab w:leader="none" w:pos="1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offices and increased travel, infrastructure, and legal compliance costs associated with multiple international locations.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and Indian Rupee;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to such government entities include, but are not limited to, the following risks:</w:t>
      </w:r>
    </w:p>
    <w:p>
      <w:pPr>
        <w:spacing w:after="0" w:line="266" w:lineRule="exact"/>
        <w:rPr>
          <w:sz w:val="20"/>
          <w:szCs w:val="20"/>
          <w:color w:val="auto"/>
        </w:rPr>
      </w:pPr>
    </w:p>
    <w:p>
      <w:pPr>
        <w:ind w:left="1140" w:right="300" w:hanging="322"/>
        <w:spacing w:after="0" w:line="232" w:lineRule="auto"/>
        <w:tabs>
          <w:tab w:leader="none" w:pos="1135" w:val="left"/>
        </w:tabs>
        <w:numPr>
          <w:ilvl w:val="0"/>
          <w:numId w:val="19"/>
        </w:numPr>
        <w:rPr>
          <w:rFonts w:ascii="Arial" w:cs="Arial" w:eastAsia="Arial" w:hAnsi="Arial"/>
          <w:sz w:val="22"/>
          <w:szCs w:val="22"/>
          <w:color w:val="auto"/>
        </w:rPr>
      </w:pPr>
      <w:r>
        <w:rPr>
          <w:rFonts w:ascii="Arial" w:cs="Arial" w:eastAsia="Arial" w:hAnsi="Arial"/>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43" w:lineRule="exact"/>
        <w:rPr>
          <w:rFonts w:ascii="Arial" w:cs="Arial" w:eastAsia="Arial" w:hAnsi="Arial"/>
          <w:sz w:val="22"/>
          <w:szCs w:val="22"/>
          <w:color w:val="auto"/>
        </w:rPr>
      </w:pPr>
    </w:p>
    <w:p>
      <w:pPr>
        <w:ind w:left="1140" w:right="580" w:hanging="322"/>
        <w:spacing w:after="0" w:line="232" w:lineRule="auto"/>
        <w:tabs>
          <w:tab w:leader="none" w:pos="1135" w:val="left"/>
        </w:tabs>
        <w:numPr>
          <w:ilvl w:val="0"/>
          <w:numId w:val="19"/>
        </w:numPr>
        <w:rPr>
          <w:rFonts w:ascii="Arial" w:cs="Arial" w:eastAsia="Arial" w:hAnsi="Arial"/>
          <w:sz w:val="22"/>
          <w:szCs w:val="22"/>
          <w:color w:val="auto"/>
        </w:rPr>
      </w:pPr>
      <w:r>
        <w:rPr>
          <w:rFonts w:ascii="Arial" w:cs="Arial" w:eastAsia="Arial" w:hAnsi="Arial"/>
          <w:sz w:val="18"/>
          <w:szCs w:val="18"/>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243" w:lineRule="exact"/>
        <w:rPr>
          <w:rFonts w:ascii="Arial" w:cs="Arial" w:eastAsia="Arial" w:hAnsi="Arial"/>
          <w:sz w:val="22"/>
          <w:szCs w:val="22"/>
          <w:color w:val="auto"/>
        </w:rPr>
      </w:pPr>
    </w:p>
    <w:p>
      <w:pPr>
        <w:ind w:left="1140" w:right="100" w:hanging="322"/>
        <w:spacing w:after="0" w:line="246" w:lineRule="auto"/>
        <w:tabs>
          <w:tab w:leader="none" w:pos="1135" w:val="left"/>
        </w:tabs>
        <w:numPr>
          <w:ilvl w:val="0"/>
          <w:numId w:val="19"/>
        </w:numPr>
        <w:rPr>
          <w:rFonts w:ascii="Arial" w:cs="Arial" w:eastAsia="Arial" w:hAnsi="Arial"/>
          <w:sz w:val="22"/>
          <w:szCs w:val="22"/>
          <w:color w:val="auto"/>
        </w:rPr>
      </w:pPr>
      <w:r>
        <w:rPr>
          <w:rFonts w:ascii="Arial" w:cs="Arial" w:eastAsia="Arial" w:hAnsi="Arial"/>
          <w:sz w:val="18"/>
          <w:szCs w:val="18"/>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Management Program, or FedRAMP, such certification is costly to maintain and if we lose our certification it would restrict our ability to sell to government customers;</w:t>
      </w:r>
    </w:p>
    <w:p>
      <w:pPr>
        <w:spacing w:after="0" w:line="211" w:lineRule="exact"/>
        <w:rPr>
          <w:sz w:val="20"/>
          <w:szCs w:val="20"/>
          <w:color w:val="auto"/>
        </w:rPr>
      </w:pPr>
    </w:p>
    <w:p>
      <w:pPr>
        <w:ind w:left="1140" w:right="320" w:hanging="322"/>
        <w:spacing w:after="0" w:line="232" w:lineRule="auto"/>
        <w:tabs>
          <w:tab w:leader="none" w:pos="1135" w:val="left"/>
        </w:tabs>
        <w:numPr>
          <w:ilvl w:val="0"/>
          <w:numId w:val="20"/>
        </w:numPr>
        <w:rPr>
          <w:rFonts w:ascii="Arial" w:cs="Arial" w:eastAsia="Arial" w:hAnsi="Arial"/>
          <w:sz w:val="22"/>
          <w:szCs w:val="22"/>
          <w:color w:val="auto"/>
        </w:rPr>
      </w:pPr>
      <w:r>
        <w:rPr>
          <w:rFonts w:ascii="Arial" w:cs="Arial" w:eastAsia="Arial" w:hAnsi="Arial"/>
          <w:sz w:val="18"/>
          <w:szCs w:val="18"/>
          <w:color w:val="auto"/>
        </w:rPr>
        <w:t>government product requirements are often technically complex and assessors may require us to make costly changes to our products to meet such requirements without any assurance that such changes will generate a sale;</w:t>
      </w:r>
    </w:p>
    <w:p>
      <w:pPr>
        <w:spacing w:after="0" w:line="243" w:lineRule="exact"/>
        <w:rPr>
          <w:rFonts w:ascii="Arial" w:cs="Arial" w:eastAsia="Arial" w:hAnsi="Arial"/>
          <w:sz w:val="22"/>
          <w:szCs w:val="22"/>
          <w:color w:val="auto"/>
        </w:rPr>
      </w:pPr>
    </w:p>
    <w:p>
      <w:pPr>
        <w:ind w:left="1140" w:right="100" w:hanging="322"/>
        <w:spacing w:after="0" w:line="241" w:lineRule="auto"/>
        <w:tabs>
          <w:tab w:leader="none" w:pos="1135" w:val="left"/>
        </w:tabs>
        <w:numPr>
          <w:ilvl w:val="0"/>
          <w:numId w:val="20"/>
        </w:numPr>
        <w:rPr>
          <w:rFonts w:ascii="Arial" w:cs="Arial" w:eastAsia="Arial" w:hAnsi="Arial"/>
          <w:sz w:val="22"/>
          <w:szCs w:val="22"/>
          <w:color w:val="auto"/>
        </w:rPr>
      </w:pPr>
      <w:r>
        <w:rPr>
          <w:rFonts w:ascii="Arial" w:cs="Arial" w:eastAsia="Arial" w:hAnsi="Arial"/>
          <w:sz w:val="18"/>
          <w:szCs w:val="18"/>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242" w:lineRule="exact"/>
        <w:rPr>
          <w:rFonts w:ascii="Arial" w:cs="Arial" w:eastAsia="Arial" w:hAnsi="Arial"/>
          <w:sz w:val="22"/>
          <w:szCs w:val="22"/>
          <w:color w:val="auto"/>
        </w:rPr>
      </w:pPr>
    </w:p>
    <w:p>
      <w:pPr>
        <w:ind w:left="1140" w:right="120" w:hanging="322"/>
        <w:spacing w:after="0" w:line="239" w:lineRule="auto"/>
        <w:tabs>
          <w:tab w:leader="none" w:pos="1135" w:val="left"/>
        </w:tabs>
        <w:numPr>
          <w:ilvl w:val="0"/>
          <w:numId w:val="20"/>
        </w:numPr>
        <w:rPr>
          <w:rFonts w:ascii="Arial" w:cs="Arial" w:eastAsia="Arial" w:hAnsi="Arial"/>
          <w:sz w:val="22"/>
          <w:szCs w:val="22"/>
          <w:color w:val="auto"/>
        </w:rPr>
      </w:pPr>
      <w:r>
        <w:rPr>
          <w:rFonts w:ascii="Arial" w:cs="Arial" w:eastAsia="Arial" w:hAnsi="Arial"/>
          <w:sz w:val="18"/>
          <w:szCs w:val="18"/>
          <w:color w:val="auto"/>
        </w:rPr>
        <w:t>government attitudes towards us as a company, our platform or the capabilities that we offer as a viable software solution may change, and reduce interest in our products and services as acceptable solutions;</w:t>
      </w:r>
    </w:p>
    <w:p>
      <w:pPr>
        <w:spacing w:after="0" w:line="243" w:lineRule="exact"/>
        <w:rPr>
          <w:rFonts w:ascii="Arial" w:cs="Arial" w:eastAsia="Arial" w:hAnsi="Arial"/>
          <w:sz w:val="22"/>
          <w:szCs w:val="22"/>
          <w:color w:val="auto"/>
        </w:rPr>
      </w:pPr>
    </w:p>
    <w:p>
      <w:pPr>
        <w:ind w:left="1140" w:right="160" w:hanging="322"/>
        <w:spacing w:after="0" w:line="251" w:lineRule="auto"/>
        <w:tabs>
          <w:tab w:leader="none" w:pos="1135" w:val="left"/>
        </w:tabs>
        <w:numPr>
          <w:ilvl w:val="0"/>
          <w:numId w:val="20"/>
        </w:numPr>
        <w:rPr>
          <w:rFonts w:ascii="Arial" w:cs="Arial" w:eastAsia="Arial" w:hAnsi="Arial"/>
          <w:sz w:val="21"/>
          <w:szCs w:val="21"/>
          <w:color w:val="auto"/>
        </w:rPr>
      </w:pPr>
      <w:r>
        <w:rPr>
          <w:rFonts w:ascii="Arial" w:cs="Arial" w:eastAsia="Arial" w:hAnsi="Arial"/>
          <w:sz w:val="17"/>
          <w:szCs w:val="17"/>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231" w:lineRule="exact"/>
        <w:rPr>
          <w:rFonts w:ascii="Arial" w:cs="Arial" w:eastAsia="Arial" w:hAnsi="Arial"/>
          <w:sz w:val="21"/>
          <w:szCs w:val="21"/>
          <w:color w:val="auto"/>
        </w:rPr>
      </w:pPr>
    </w:p>
    <w:p>
      <w:pPr>
        <w:ind w:left="1140" w:right="380" w:hanging="322"/>
        <w:spacing w:after="0" w:line="238" w:lineRule="auto"/>
        <w:tabs>
          <w:tab w:leader="none" w:pos="1135"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220" w:lineRule="exact"/>
        <w:rPr>
          <w:rFonts w:ascii="Arial" w:cs="Arial" w:eastAsia="Arial" w:hAnsi="Arial"/>
          <w:sz w:val="22"/>
          <w:szCs w:val="22"/>
          <w:color w:val="auto"/>
        </w:rPr>
      </w:pPr>
    </w:p>
    <w:p>
      <w:pPr>
        <w:ind w:left="1140" w:hanging="322"/>
        <w:spacing w:after="0"/>
        <w:tabs>
          <w:tab w:leader="none" w:pos="1140" w:val="left"/>
        </w:tabs>
        <w:numPr>
          <w:ilvl w:val="0"/>
          <w:numId w:val="20"/>
        </w:numPr>
        <w:rPr>
          <w:rFonts w:ascii="Arial" w:cs="Arial" w:eastAsia="Arial" w:hAnsi="Arial"/>
          <w:sz w:val="22"/>
          <w:szCs w:val="22"/>
          <w:color w:val="auto"/>
        </w:rPr>
      </w:pPr>
      <w:r>
        <w:rPr>
          <w:rFonts w:ascii="Arial" w:cs="Arial" w:eastAsia="Arial" w:hAnsi="Arial"/>
          <w:sz w:val="18"/>
          <w:szCs w:val="18"/>
          <w:color w:val="auto"/>
        </w:rPr>
        <w:t>even if we are awarded a sale, the terms of such contracts may be unusually burdensome;</w:t>
      </w:r>
    </w:p>
    <w:p>
      <w:pPr>
        <w:spacing w:after="0" w:line="242" w:lineRule="exact"/>
        <w:rPr>
          <w:rFonts w:ascii="Arial" w:cs="Arial" w:eastAsia="Arial" w:hAnsi="Arial"/>
          <w:sz w:val="22"/>
          <w:szCs w:val="22"/>
          <w:color w:val="auto"/>
        </w:rPr>
      </w:pPr>
    </w:p>
    <w:p>
      <w:pPr>
        <w:ind w:left="1140" w:right="20" w:hanging="322"/>
        <w:spacing w:after="0" w:line="238" w:lineRule="auto"/>
        <w:tabs>
          <w:tab w:leader="none" w:pos="1135" w:val="left"/>
        </w:tabs>
        <w:numPr>
          <w:ilvl w:val="0"/>
          <w:numId w:val="20"/>
        </w:numPr>
        <w:rPr>
          <w:rFonts w:ascii="Arial" w:cs="Arial" w:eastAsia="Arial" w:hAnsi="Arial"/>
          <w:sz w:val="22"/>
          <w:szCs w:val="22"/>
          <w:color w:val="auto"/>
        </w:rPr>
      </w:pPr>
      <w:r>
        <w:rPr>
          <w:rFonts w:ascii="Arial" w:cs="Arial" w:eastAsia="Arial" w:hAnsi="Arial"/>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243" w:lineRule="exact"/>
        <w:rPr>
          <w:rFonts w:ascii="Arial" w:cs="Arial" w:eastAsia="Arial" w:hAnsi="Arial"/>
          <w:sz w:val="22"/>
          <w:szCs w:val="22"/>
          <w:color w:val="auto"/>
        </w:rPr>
      </w:pPr>
    </w:p>
    <w:p>
      <w:pPr>
        <w:jc w:val="both"/>
        <w:ind w:left="1140" w:right="300" w:hanging="322"/>
        <w:spacing w:after="0" w:line="244" w:lineRule="auto"/>
        <w:tabs>
          <w:tab w:leader="none" w:pos="1135" w:val="left"/>
        </w:tabs>
        <w:numPr>
          <w:ilvl w:val="0"/>
          <w:numId w:val="20"/>
        </w:numPr>
        <w:rPr>
          <w:rFonts w:ascii="Arial" w:cs="Arial" w:eastAsia="Arial" w:hAnsi="Arial"/>
          <w:sz w:val="22"/>
          <w:szCs w:val="22"/>
          <w:color w:val="auto"/>
        </w:rPr>
      </w:pPr>
      <w:r>
        <w:rPr>
          <w:rFonts w:ascii="Arial" w:cs="Arial" w:eastAsia="Arial" w:hAnsi="Arial"/>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9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timely and cost-effectively scale and adapt our existing technology to meet our customers’ performance and other requirements.</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customer satisfaction depends in part on the quality of our customer support.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8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recently experienced widespread component shortages and delivery delays, including as a result of the COVID-19 pandemic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part on our ability to protect and enforce our intellectual property rights.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8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For example, in March 2022, Webroot, Inc. and Open Text, Inc. filed a lawsuit against us alleging that certain of our products infringe on patents held by them.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20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9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8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84"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are required to comply with stringent, complex and evolving laws, rules, regulations and standards in many jurisdictions, as well as contractual obligations, relating to data privacy and security. Ensuring that our collection, use, transfer, storage and other processing of personal information complies with such requirements can increase operating costs, impact the development of new products or services, and reduce operational efficiency.</w:t>
      </w:r>
    </w:p>
    <w:p>
      <w:pPr>
        <w:spacing w:after="0" w:line="14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Gramm Leach Bliley Act. The United States Congress also has considered, and may in the future consider, various proposals from time to time for comprehensive federal data privacy legislation to which we may become subject if passed. If we are found to have violated applicable laws or regulations, we may also be subject to penalties, fines, damages, injunctions or other outcomes that may adversely affect our operations and financial results.</w:t>
      </w:r>
    </w:p>
    <w:p>
      <w:pPr>
        <w:spacing w:after="0" w:line="17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At the state level, we are subject to laws and regulations such as the California Consumer Privacy Act (“CCPA”), which became effective on January 1, 2020.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also prohibits covered businesses from discriminating against California residents for exercising any of their CCPA rights.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Additionally, in November 2020, California voters passed the California Privacy Rights Act of 2020 (“CPRA”). Effective in most material respects starting on January 1, 2023, the CPRA imposes additional obligations on companies covered by the legislation and will significantly modify the CCPA, including by expanding the CCPA with additional data privacy compliance requirements that may impact our business. The CPRA also establishes a regulatory agency dedicated to enforcing the CCPA and the CPRA, which is in the process of developing new regulations. Numerous other states, including Virginia, Colorado, Utah, and Connecticut have also enacted or are in the process of enacting or considering comprehensive state-level data privacy and security laws, rules and regulations. Moreover, laws in all 50 U.S. states require businesses to provide notice under certain circumstances to consumers whose personal information has been disclosed as a result of a data breach. These state statutes, and other similar state or federal laws that may be enacted in the future, may require us to modify our data processing practices and policies, incur substantial compliance-related costs and expenses, and otherwise suffer adverse impacts on our business.</w:t>
      </w:r>
    </w:p>
    <w:p>
      <w:pPr>
        <w:spacing w:after="0" w:line="20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which became effective on May 25, 2018 and imposes stringent obligations regarding the collection, control, use, sharing, disclosure and other processing of personal data. Additionally, following the United Kingdom’s withdrawal from the EU, we also are subject to the U.K. General Data Protection Regulation (“U.K. GDPR”), a version of the GDPR as implemented into the laws of the United Kingdom (“U.K.”). While the GDPR and U.K. GDPR remain substantially similar for the time being, the U.K. government announced in August 2021 that it would seek to chart its own path on data protection and reform its relevant laws, including in ways that may differ from the GDPR. In June 2022, the U.K. government publicly reaffirmed its intention to reform the U.K. data protection regime and, in July 2022, a new Data Protection and Digital Information Bill was introduced for discussion in the U.K. Parliament. While these developments increase uncertainty with regard to data protection regulation in the U.K., even in their current, substantially similar form, the GDPR and U.K. GDPR can expose businesses to parallel regimes that may be subject to potentially different interpretations and enforcement actions for certain violations. Failure to comply with the GDPR or the U.K. GDPR can result in significant fines and other liability, including, under the GDPR, fines of up to EUR 20 million (or GBP 17.5 million under the U.K. GDPR) or four percent (4%) of global revenue, whichever is greater. The cost of compliance, and the potential for fines and penalties for non-compliance, with GDPR and U.K. GDPR may have a significant adverse effect on our business and operations.</w:t>
      </w:r>
    </w:p>
    <w:p>
      <w:pPr>
        <w:spacing w:after="0" w:line="20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Recent legal developments in the European Economic Area (“EEA”), including recent rulings from the Court of Justice of the European Union (“CJEU”) and from various EU member state data protection authorities,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the efficacy and longevity of these mechanisms remains uncertain. Moreover, on June 4, 2021, the European Commission adopted new SCCs, which impose on companies additional obligations relating to personal data transfers out of the EEA, including the obligation to update internal privacy practices, conduct transfer impact assessments and, as required, to implement additional security measures. The new SCCs may increase the legal risks and liabilities under EU laws associated with cross-border data transfers, and result in material increased compliance and operational costs. While the European Commission announced in March 2022 that an agreement in principle had been reached between EU and U.S. authorities regarding a new transatlantic data privacy framework, no formal agreement has been finalized, and any such agreement, if formalized, is likely to face challenge at the CJEU.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flows, in March 2022, the U.K. adopted its own International Data Transfer Agreement (IDTA) for transfers of personal data out of the U.K. to so-called third countries, as well as an international data transfer addendum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Addendum) that can be used with the SCCs for the same purpose. The EU has also proposed legislation that would regulate non-personal data,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7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7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data privacy and security laws, rules, regulations, standards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7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data protection, data privacy and data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161" w:lineRule="exact"/>
        <w:rPr>
          <w:sz w:val="20"/>
          <w:szCs w:val="20"/>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mandatory changes to our Falcon platform;</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our license to do business in the jurisdictions in which we operate;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temporary or permanent debarment from sales to government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7"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13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4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7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7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the FCPA, the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3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1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7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9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66" w:lineRule="exact"/>
        <w:rPr>
          <w:sz w:val="20"/>
          <w:szCs w:val="20"/>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resulting in time-consuming and costly litigation;</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diverting management’s time and attention from developing our business;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requiring us to pay monetary damages or enter into royalty and licensing agreements that we would not normally find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causing delays in the deployment of our Falcon platform or service offerings to our customers;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us to stop offering certain services or features of our Falcon platform;</w:t>
      </w:r>
    </w:p>
    <w:p>
      <w:pPr>
        <w:spacing w:after="0" w:line="225" w:lineRule="exact"/>
        <w:rPr>
          <w:rFonts w:ascii="Arial" w:cs="Arial" w:eastAsia="Arial" w:hAnsi="Arial"/>
          <w:sz w:val="18"/>
          <w:szCs w:val="18"/>
          <w:color w:val="auto"/>
        </w:rPr>
      </w:pPr>
    </w:p>
    <w:p>
      <w:pPr>
        <w:ind w:left="1140" w:right="120" w:hanging="322"/>
        <w:spacing w:after="0" w:line="277" w:lineRule="auto"/>
        <w:tabs>
          <w:tab w:leader="none" w:pos="1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us to redesign certain components of our Falcon platform using alternative non-infringing or non-open source technology, which could require significant effort and expense;</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us to disclose our software source code and the detailed program commands for our software;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us to satisfy indemnification obligations to our customers.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adversely affect us.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8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9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regardless of our operating performance, and you could lose all or part of your investment.</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187" w:lineRule="exact"/>
        <w:rPr>
          <w:sz w:val="20"/>
          <w:szCs w:val="20"/>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236" w:lineRule="exact"/>
        <w:rPr>
          <w:rFonts w:ascii="Arial" w:cs="Arial" w:eastAsia="Arial" w:hAnsi="Arial"/>
          <w:sz w:val="17"/>
          <w:szCs w:val="17"/>
          <w:color w:val="auto"/>
        </w:rPr>
      </w:pPr>
    </w:p>
    <w:p>
      <w:pPr>
        <w:ind w:left="1140" w:right="260" w:hanging="322"/>
        <w:spacing w:after="0" w:line="277"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1140" w:right="66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70" w:lineRule="exact"/>
        <w:rPr>
          <w:rFonts w:ascii="Arial" w:cs="Arial" w:eastAsia="Arial" w:hAnsi="Arial"/>
          <w:sz w:val="18"/>
          <w:szCs w:val="18"/>
          <w:color w:val="auto"/>
        </w:rPr>
      </w:pPr>
    </w:p>
    <w:p>
      <w:pPr>
        <w:ind w:left="1140" w:right="4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 particularly with respect to Mr. Kurtz;</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7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4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August 19, 2022, we had 214,833,517 shares of Class A common stock outstanding and 18,546,987 shares of Class B common stock outstanding.</w:t>
      </w:r>
    </w:p>
    <w:p>
      <w:pPr>
        <w:spacing w:after="0" w:line="17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6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78"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9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As of July 31, 2022, our executive officers, directors, one of our current stockholders and its respective affiliates held, in aggregate, 46%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6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70"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line="263"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83" w:lineRule="exact"/>
        <w:rPr>
          <w:rFonts w:ascii="Arial" w:cs="Arial" w:eastAsia="Arial" w:hAnsi="Arial"/>
          <w:sz w:val="18"/>
          <w:szCs w:val="18"/>
          <w:color w:val="auto"/>
        </w:rPr>
      </w:pPr>
    </w:p>
    <w:p>
      <w:pPr>
        <w:ind w:left="1140" w:right="60" w:hanging="322"/>
        <w:spacing w:after="0" w:line="277"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140" w:right="60" w:hanging="322"/>
        <w:spacing w:after="0" w:line="342" w:lineRule="auto"/>
        <w:tabs>
          <w:tab w:leader="none" w:pos="11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3" w:lineRule="exact"/>
        <w:rPr>
          <w:rFonts w:ascii="Arial" w:cs="Arial" w:eastAsia="Arial" w:hAnsi="Arial"/>
          <w:sz w:val="16"/>
          <w:szCs w:val="16"/>
          <w:color w:val="auto"/>
        </w:rPr>
      </w:pPr>
    </w:p>
    <w:p>
      <w:pPr>
        <w:ind w:left="1140" w:right="380" w:hanging="322"/>
        <w:spacing w:after="0" w:line="342" w:lineRule="auto"/>
        <w:tabs>
          <w:tab w:leader="none" w:pos="11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3" w:lineRule="exact"/>
        <w:rPr>
          <w:rFonts w:ascii="Arial" w:cs="Arial" w:eastAsia="Arial" w:hAnsi="Arial"/>
          <w:sz w:val="16"/>
          <w:szCs w:val="16"/>
          <w:color w:val="auto"/>
        </w:rPr>
      </w:pPr>
    </w:p>
    <w:p>
      <w:pPr>
        <w:ind w:left="1140" w:right="200" w:hanging="322"/>
        <w:spacing w:after="0" w:line="259"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86" w:lineRule="exact"/>
        <w:rPr>
          <w:rFonts w:ascii="Arial" w:cs="Arial" w:eastAsia="Arial" w:hAnsi="Arial"/>
          <w:sz w:val="18"/>
          <w:szCs w:val="18"/>
          <w:color w:val="auto"/>
        </w:rPr>
      </w:pPr>
    </w:p>
    <w:p>
      <w:pPr>
        <w:ind w:left="1140" w:right="300" w:hanging="322"/>
        <w:spacing w:after="0" w:line="286" w:lineRule="auto"/>
        <w:tabs>
          <w:tab w:leader="none" w:pos="11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65" w:lineRule="exact"/>
        <w:rPr>
          <w:rFonts w:ascii="Arial" w:cs="Arial" w:eastAsia="Arial" w:hAnsi="Arial"/>
          <w:sz w:val="17"/>
          <w:szCs w:val="17"/>
          <w:color w:val="auto"/>
        </w:rPr>
      </w:pPr>
    </w:p>
    <w:p>
      <w:pPr>
        <w:ind w:left="1140" w:right="420" w:hanging="322"/>
        <w:spacing w:after="0" w:line="277"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two-thirds of the then-outstanding voting power of our capital stock; and</w:t>
      </w:r>
    </w:p>
    <w:p>
      <w:pPr>
        <w:spacing w:after="0" w:line="170" w:lineRule="exact"/>
        <w:rPr>
          <w:rFonts w:ascii="Arial" w:cs="Arial" w:eastAsia="Arial" w:hAnsi="Arial"/>
          <w:sz w:val="18"/>
          <w:szCs w:val="18"/>
          <w:color w:val="auto"/>
        </w:rPr>
      </w:pPr>
    </w:p>
    <w:p>
      <w:pPr>
        <w:ind w:left="1140" w:right="160" w:hanging="322"/>
        <w:spacing w:after="0" w:line="286" w:lineRule="auto"/>
        <w:tabs>
          <w:tab w:leader="none" w:pos="11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6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bylaws provide that the Court of Chancery of the State of Delaware is the exclusive forum for:</w:t>
      </w:r>
    </w:p>
    <w:p>
      <w:pPr>
        <w:spacing w:after="0" w:line="225" w:lineRule="exact"/>
        <w:rPr>
          <w:sz w:val="20"/>
          <w:szCs w:val="20"/>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1140" w:right="580" w:hanging="322"/>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170" w:lineRule="exact"/>
        <w:rPr>
          <w:rFonts w:ascii="Arial" w:cs="Arial" w:eastAsia="Arial" w:hAnsi="Arial"/>
          <w:sz w:val="18"/>
          <w:szCs w:val="18"/>
          <w:color w:val="auto"/>
        </w:rPr>
      </w:pPr>
    </w:p>
    <w:p>
      <w:pPr>
        <w:ind w:left="1140" w:right="60" w:hanging="322"/>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amended and restated certificate of incorporation or our amended and restated bylaws; and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exclusive forum for resolving any complaint asserting a cause of action arising under the Securities Act, subject to and contingent upon a final adjudication in the State of Delaware of the enforceability of such exclusive forum provision.</w:t>
      </w:r>
    </w:p>
    <w:p>
      <w:pPr>
        <w:spacing w:after="0" w:line="17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As of July 31, 2022,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84" w:lineRule="exact"/>
        <w:rPr>
          <w:sz w:val="20"/>
          <w:szCs w:val="20"/>
          <w:color w:val="auto"/>
        </w:rPr>
      </w:pPr>
    </w:p>
    <w:p>
      <w:pPr>
        <w:ind w:left="1140" w:right="660" w:hanging="322"/>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70" w:lineRule="exact"/>
        <w:rPr>
          <w:rFonts w:ascii="Arial" w:cs="Arial" w:eastAsia="Arial" w:hAnsi="Arial"/>
          <w:sz w:val="18"/>
          <w:szCs w:val="18"/>
          <w:color w:val="auto"/>
        </w:rPr>
      </w:pPr>
    </w:p>
    <w:p>
      <w:pPr>
        <w:ind w:left="1140" w:right="260" w:hanging="322"/>
        <w:spacing w:after="0" w:line="308" w:lineRule="auto"/>
        <w:tabs>
          <w:tab w:leader="none" w:pos="11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46" w:lineRule="exact"/>
        <w:rPr>
          <w:rFonts w:ascii="Arial" w:cs="Arial" w:eastAsia="Arial" w:hAnsi="Arial"/>
          <w:sz w:val="17"/>
          <w:szCs w:val="17"/>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 and</w:t>
      </w:r>
    </w:p>
    <w:p>
      <w:pPr>
        <w:spacing w:after="0" w:line="225" w:lineRule="exact"/>
        <w:rPr>
          <w:rFonts w:ascii="Arial" w:cs="Arial" w:eastAsia="Arial" w:hAnsi="Arial"/>
          <w:sz w:val="18"/>
          <w:szCs w:val="18"/>
          <w:color w:val="auto"/>
        </w:rPr>
      </w:pPr>
    </w:p>
    <w:p>
      <w:pPr>
        <w:ind w:left="1140" w:right="360" w:hanging="322"/>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borrowings under our revolving facility, are at variable rates of interest; and increasing our cost of borrowing.</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84" w:lineRule="exact"/>
        <w:rPr>
          <w:sz w:val="20"/>
          <w:szCs w:val="20"/>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 merge with, or sell all or substantially all of our assets to, another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covenants in the indenture and supplemental indenture that govern the Senior Notes are subject to exceptions and qualifications.</w:t>
      </w:r>
    </w:p>
    <w:p>
      <w:pPr>
        <w:spacing w:after="0" w:line="23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84" w:lineRule="exact"/>
        <w:rPr>
          <w:sz w:val="20"/>
          <w:szCs w:val="20"/>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withstand a future downturn in our business, the industry or the economy in general;</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best interest;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These restrictions may affect our ability to expand our business, which could have a material adverse effect on our business, financial condition and results of operations.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revolving facility and the indenture that governs our Senior Notes contain cross-default provisions that could result in the acceleration of all of our indebtedness.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70"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0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risks we may face in connection with acquisitions include:</w:t>
      </w:r>
    </w:p>
    <w:p>
      <w:pPr>
        <w:spacing w:after="0" w:line="225" w:lineRule="exact"/>
        <w:rPr>
          <w:sz w:val="20"/>
          <w:szCs w:val="20"/>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integration of administrative systems, employee, product and service offerings;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relationships with strategic partners as a result of product acquisitions or strategic positioning resulting from the acquisition;</w:t>
      </w:r>
    </w:p>
    <w:p>
      <w:pPr>
        <w:spacing w:after="0" w:line="248" w:lineRule="exact"/>
        <w:rPr>
          <w:rFonts w:ascii="Arial" w:cs="Arial" w:eastAsia="Arial" w:hAnsi="Arial"/>
          <w:sz w:val="16"/>
          <w:szCs w:val="16"/>
          <w:color w:val="auto"/>
        </w:rPr>
      </w:pPr>
    </w:p>
    <w:p>
      <w:pPr>
        <w:ind w:left="1140" w:right="140" w:hanging="322"/>
        <w:spacing w:after="0" w:line="277"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legal, regulatory or compliance requirements;</w:t>
      </w:r>
    </w:p>
    <w:p>
      <w:pPr>
        <w:spacing w:after="0" w:line="225" w:lineRule="exact"/>
        <w:rPr>
          <w:rFonts w:ascii="Arial" w:cs="Arial" w:eastAsia="Arial" w:hAnsi="Arial"/>
          <w:sz w:val="18"/>
          <w:szCs w:val="18"/>
          <w:color w:val="auto"/>
        </w:rPr>
      </w:pPr>
    </w:p>
    <w:p>
      <w:pPr>
        <w:ind w:left="1140" w:right="580" w:hanging="322"/>
        <w:spacing w:after="0" w:line="277"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 not adequately address and that cause our reported results to be incorrect;</w:t>
      </w:r>
    </w:p>
    <w:p>
      <w:pPr>
        <w:spacing w:after="0" w:line="170" w:lineRule="exact"/>
        <w:rPr>
          <w:rFonts w:ascii="Arial" w:cs="Arial" w:eastAsia="Arial" w:hAnsi="Arial"/>
          <w:sz w:val="18"/>
          <w:szCs w:val="18"/>
          <w:color w:val="auto"/>
        </w:rPr>
      </w:pPr>
    </w:p>
    <w:p>
      <w:pPr>
        <w:ind w:left="1140" w:right="400" w:hanging="322"/>
        <w:spacing w:after="0" w:line="277"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70" w:lineRule="exact"/>
        <w:rPr>
          <w:rFonts w:ascii="Arial" w:cs="Arial" w:eastAsia="Arial" w:hAnsi="Arial"/>
          <w:sz w:val="18"/>
          <w:szCs w:val="18"/>
          <w:color w:val="auto"/>
        </w:rPr>
      </w:pPr>
    </w:p>
    <w:p>
      <w:pPr>
        <w:ind w:left="1140" w:right="620" w:hanging="322"/>
        <w:spacing w:after="0" w:line="277"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4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additional taxes, interest and penalties, which could result in one-time tax charges, higher effective tax rates, reduced cash flows and lower overall profitability of our operations.</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A significant majority of countries in the OECD’s Inclusive Framework have agreed in principle to a proposed solution to address the tax challenges arising from the digitalization of the economy. Most recently, 137 jurisdictions joined a two-pillar plan to reform international taxation rules and ensure that multinational enterprises pay a fair share of tax wherever they operate. The first pillar is focused on the allocation of taxing rights between countries for in-scope multinational enterprises that sell goods and services into countries with little or no local physical presence and is intended to apply to multinational enterprises with global turnover above 20 billion euro. The second pillar is focused on developing a global minimum tax rate of at least 15 percent applicable to in-scope multinational enterprises and is intended to apply to multinational enterprises with annual consolidated group revenue in excess of 750 million euro.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The OECD’s proposed solution envisages new international tax rules and the removal of all Digital Services Taxes (“DST”). Notwithstanding this, some countries, in the European Union and beyond, continue to operate a DST regime to capture tax revenue on digital services more immediately. Such laws may increase our tax obligations in those countries or change the manner in which we operate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of January 31, 2022, we had aggregate U.S. federal and California net operating loss carryforwards of $1.6 billion and $168.9 million, respectively, which may be available to offset future taxable income for income tax purposes. If not utilized, the federal and California net operating loss carryforwards will begin to expire in fiscal 2031. As of January 31, 2022, we had net operating loss carryforwards for other states of $868.0 million that will begin to expire in fiscal 2023. As of January 31, 2022, we had federal and California research and development credit carryforwards of $65.6 million and $13.7 million, respectively. The federal research and development credit carryforwards will begin to expire in 2035, and the California carryforwards are carried forward indefinitely. As of January 31, 2022, we had aggregate United Kingdom net operating loss carryforwards of $81.1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9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24"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6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7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at this time to estimate the impact that the COVID-19 pandemic could have on our business, as the impact will depend on future developments, which are highly uncertain and cannot be predicted.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SHARES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filed the exhibits listed on the accompanying Exhibit Index,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340" w:type="dxa"/>
            <w:vAlign w:val="bottom"/>
            <w:gridSpan w:val="3"/>
          </w:tcPr>
          <w:p>
            <w:pPr>
              <w:jc w:val="right"/>
              <w:ind w:right="677"/>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4840" w:type="dxa"/>
            <w:vAlign w:val="bottom"/>
            <w:gridSpan w:val="12"/>
            <w:vMerge w:val="restart"/>
          </w:tcPr>
          <w:p>
            <w:pPr>
              <w:ind w:left="180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2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80" w:type="dxa"/>
            <w:vAlign w:val="bottom"/>
            <w:gridSpan w:val="5"/>
          </w:tcPr>
          <w:p>
            <w:pPr>
              <w:ind w:left="220"/>
              <w:spacing w:after="0"/>
              <w:rPr>
                <w:sz w:val="20"/>
                <w:szCs w:val="20"/>
                <w:color w:val="auto"/>
              </w:rPr>
            </w:pPr>
            <w:r>
              <w:rPr>
                <w:rFonts w:ascii="Arial" w:cs="Arial" w:eastAsia="Arial" w:hAnsi="Arial"/>
                <w:sz w:val="14"/>
                <w:szCs w:val="14"/>
                <w:b w:val="1"/>
                <w:bCs w:val="1"/>
                <w:color w:val="auto"/>
              </w:rPr>
              <w:t>Number</w:t>
            </w:r>
          </w:p>
        </w:tc>
        <w:tc>
          <w:tcPr>
            <w:tcW w:w="4840" w:type="dxa"/>
            <w:vAlign w:val="bottom"/>
            <w:gridSpan w:val="1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100" w:type="dxa"/>
            <w:vAlign w:val="bottom"/>
          </w:tcPr>
          <w:p>
            <w:pPr>
              <w:jc w:val="right"/>
              <w:ind w:right="217"/>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ind w:left="13"/>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8"/>
        </w:trPr>
        <w:tc>
          <w:tcPr>
            <w:tcW w:w="260" w:type="dxa"/>
            <w:vAlign w:val="bottom"/>
            <w:tcBorders>
              <w:top w:val="single" w:sz="8" w:color="auto"/>
            </w:tcBorders>
            <w:gridSpan w:val="2"/>
          </w:tcPr>
          <w:p>
            <w:pPr>
              <w:ind w:left="20"/>
              <w:spacing w:after="0" w:line="189" w:lineRule="exact"/>
              <w:rPr>
                <w:rFonts w:ascii="Arial" w:cs="Arial" w:eastAsia="Arial" w:hAnsi="Arial"/>
                <w:sz w:val="18"/>
                <w:szCs w:val="18"/>
                <w:color w:val="0000FF"/>
                <w:w w:val="87"/>
              </w:rPr>
            </w:pPr>
            <w:hyperlink r:id="rId9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40" w:type="dxa"/>
            <w:vAlign w:val="bottom"/>
            <w:tcBorders>
              <w:top w:val="single" w:sz="8" w:color="auto"/>
            </w:tcBorders>
            <w:gridSpan w:val="12"/>
          </w:tcPr>
          <w:p>
            <w:pPr>
              <w:spacing w:after="0" w:line="189" w:lineRule="exact"/>
              <w:rPr>
                <w:rFonts w:ascii="Arial" w:cs="Arial" w:eastAsia="Arial" w:hAnsi="Arial"/>
                <w:sz w:val="18"/>
                <w:szCs w:val="18"/>
                <w:color w:val="0000FF"/>
              </w:rPr>
            </w:pPr>
            <w:hyperlink r:id="rId92">
              <w:r>
                <w:rPr>
                  <w:rFonts w:ascii="Arial" w:cs="Arial" w:eastAsia="Arial" w:hAnsi="Arial"/>
                  <w:sz w:val="18"/>
                  <w:szCs w:val="18"/>
                  <w:color w:val="0000FF"/>
                </w:rPr>
                <w:t>Amended and Restated Certificate of Incorporation of the</w:t>
              </w:r>
            </w:hyperlink>
          </w:p>
        </w:tc>
        <w:tc>
          <w:tcPr>
            <w:tcW w:w="90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8-K</w:t>
            </w:r>
          </w:p>
        </w:tc>
        <w:tc>
          <w:tcPr>
            <w:tcW w:w="1280" w:type="dxa"/>
            <w:vAlign w:val="bottom"/>
            <w:tcBorders>
              <w:top w:val="single" w:sz="8" w:color="auto"/>
            </w:tcBorders>
          </w:tcPr>
          <w:p>
            <w:pPr>
              <w:ind w:left="200"/>
              <w:spacing w:after="0" w:line="189" w:lineRule="exact"/>
              <w:rPr>
                <w:sz w:val="20"/>
                <w:szCs w:val="20"/>
                <w:color w:val="auto"/>
              </w:rPr>
            </w:pPr>
            <w:r>
              <w:rPr>
                <w:rFonts w:ascii="Arial" w:cs="Arial" w:eastAsia="Arial" w:hAnsi="Arial"/>
                <w:sz w:val="18"/>
                <w:szCs w:val="18"/>
                <w:color w:val="auto"/>
              </w:rPr>
              <w:t>001-38933</w:t>
            </w:r>
          </w:p>
        </w:tc>
        <w:tc>
          <w:tcPr>
            <w:tcW w:w="960" w:type="dxa"/>
            <w:vAlign w:val="bottom"/>
            <w:tcBorders>
              <w:top w:val="single" w:sz="8" w:color="auto"/>
            </w:tcBorders>
          </w:tcPr>
          <w:p>
            <w:pPr>
              <w:ind w:left="200"/>
              <w:spacing w:after="0" w:line="189" w:lineRule="exact"/>
              <w:rPr>
                <w:sz w:val="20"/>
                <w:szCs w:val="20"/>
                <w:color w:val="auto"/>
              </w:rPr>
            </w:pPr>
            <w:r>
              <w:rPr>
                <w:rFonts w:ascii="Arial" w:cs="Arial" w:eastAsia="Arial" w:hAnsi="Arial"/>
                <w:sz w:val="18"/>
                <w:szCs w:val="18"/>
                <w:color w:val="auto"/>
              </w:rPr>
              <w:t>3.1</w:t>
            </w:r>
          </w:p>
        </w:tc>
        <w:tc>
          <w:tcPr>
            <w:tcW w:w="1100" w:type="dxa"/>
            <w:vAlign w:val="bottom"/>
            <w:tcBorders>
              <w:top w:val="single" w:sz="8" w:color="auto"/>
            </w:tcBorders>
          </w:tcPr>
          <w:p>
            <w:pPr>
              <w:jc w:val="right"/>
              <w:ind w:right="257"/>
              <w:spacing w:after="0" w:line="189" w:lineRule="exact"/>
              <w:rPr>
                <w:sz w:val="20"/>
                <w:szCs w:val="20"/>
                <w:color w:val="auto"/>
              </w:rPr>
            </w:pPr>
            <w:r>
              <w:rPr>
                <w:rFonts w:ascii="Arial" w:cs="Arial" w:eastAsia="Arial" w:hAnsi="Arial"/>
                <w:sz w:val="18"/>
                <w:szCs w:val="18"/>
                <w:color w:val="auto"/>
              </w:rPr>
              <w:t>06/14/19</w:t>
            </w: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Registrant, as currently in effect.</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gridSpan w:val="2"/>
          </w:tcPr>
          <w:p>
            <w:pPr>
              <w:ind w:left="20"/>
              <w:spacing w:after="0"/>
              <w:rPr>
                <w:rFonts w:ascii="Arial" w:cs="Arial" w:eastAsia="Arial" w:hAnsi="Arial"/>
                <w:sz w:val="18"/>
                <w:szCs w:val="18"/>
                <w:color w:val="0000FF"/>
                <w:w w:val="87"/>
              </w:rPr>
            </w:pPr>
            <w:hyperlink r:id="rId9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0" w:type="dxa"/>
            <w:vAlign w:val="bottom"/>
            <w:tcBorders>
              <w:bottom w:val="single" w:sz="8" w:color="0000FF"/>
            </w:tcBorders>
            <w:gridSpan w:val="3"/>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Bylaws of the Registrant, as currently in effect.</w:t>
              </w:r>
            </w:hyperlink>
          </w:p>
        </w:tc>
        <w:tc>
          <w:tcPr>
            <w:tcW w:w="1440" w:type="dxa"/>
            <w:vAlign w:val="bottom"/>
            <w:gridSpan w:val="9"/>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00"/>
              <w:spacing w:after="0"/>
              <w:rPr>
                <w:sz w:val="20"/>
                <w:szCs w:val="20"/>
                <w:color w:val="auto"/>
              </w:rPr>
            </w:pPr>
            <w:r>
              <w:rPr>
                <w:rFonts w:ascii="Arial" w:cs="Arial" w:eastAsia="Arial" w:hAnsi="Arial"/>
                <w:sz w:val="18"/>
                <w:szCs w:val="18"/>
                <w:color w:val="auto"/>
              </w:rPr>
              <w:t>001-38933</w:t>
            </w:r>
          </w:p>
        </w:tc>
        <w:tc>
          <w:tcPr>
            <w:tcW w:w="960" w:type="dxa"/>
            <w:vAlign w:val="bottom"/>
          </w:tcPr>
          <w:p>
            <w:pPr>
              <w:ind w:left="200"/>
              <w:spacing w:after="0"/>
              <w:rPr>
                <w:sz w:val="20"/>
                <w:szCs w:val="20"/>
                <w:color w:val="auto"/>
              </w:rPr>
            </w:pPr>
            <w:r>
              <w:rPr>
                <w:rFonts w:ascii="Arial" w:cs="Arial" w:eastAsia="Arial" w:hAnsi="Arial"/>
                <w:sz w:val="18"/>
                <w:szCs w:val="18"/>
                <w:color w:val="auto"/>
              </w:rPr>
              <w:t>3.2</w:t>
            </w:r>
          </w:p>
        </w:tc>
        <w:tc>
          <w:tcPr>
            <w:tcW w:w="1100" w:type="dxa"/>
            <w:vAlign w:val="bottom"/>
          </w:tcPr>
          <w:p>
            <w:pPr>
              <w:jc w:val="right"/>
              <w:ind w:right="257"/>
              <w:spacing w:after="0"/>
              <w:rPr>
                <w:sz w:val="20"/>
                <w:szCs w:val="20"/>
                <w:color w:val="auto"/>
              </w:rPr>
            </w:pPr>
            <w:r>
              <w:rPr>
                <w:rFonts w:ascii="Arial" w:cs="Arial" w:eastAsia="Arial" w:hAnsi="Arial"/>
                <w:sz w:val="18"/>
                <w:szCs w:val="18"/>
                <w:color w:val="auto"/>
              </w:rPr>
              <w:t>06/14/19</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 w:type="dxa"/>
            <w:vAlign w:val="bottom"/>
            <w:gridSpan w:val="3"/>
          </w:tcPr>
          <w:p>
            <w:pPr>
              <w:ind w:left="20"/>
              <w:spacing w:after="0"/>
              <w:rPr>
                <w:rFonts w:ascii="Arial" w:cs="Arial" w:eastAsia="Arial" w:hAnsi="Arial"/>
                <w:sz w:val="18"/>
                <w:szCs w:val="18"/>
                <w:color w:val="0000FF"/>
                <w:w w:val="85"/>
              </w:rPr>
            </w:pPr>
            <w:hyperlink r:id="rId94">
              <w:r>
                <w:rPr>
                  <w:rFonts w:ascii="Arial" w:cs="Arial" w:eastAsia="Arial" w:hAnsi="Arial"/>
                  <w:sz w:val="18"/>
                  <w:szCs w:val="18"/>
                  <w:color w:val="0000FF"/>
                  <w:w w:val="85"/>
                </w:rPr>
                <w:t>22.</w:t>
              </w:r>
              <w:r>
                <w:rPr>
                  <w:rFonts w:ascii="Arial" w:cs="Arial" w:eastAsia="Arial" w:hAnsi="Arial"/>
                  <w:sz w:val="18"/>
                  <w:szCs w:val="18"/>
                  <w:u w:val="single" w:color="auto"/>
                  <w:color w:val="0000FF"/>
                  <w:w w:val="85"/>
                </w:rPr>
                <w:t>1</w:t>
              </w:r>
            </w:hyperlink>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40" w:type="dxa"/>
            <w:vAlign w:val="bottom"/>
            <w:gridSpan w:val="12"/>
          </w:tcPr>
          <w:p>
            <w:pPr>
              <w:spacing w:after="0"/>
              <w:rPr>
                <w:rFonts w:ascii="Arial" w:cs="Arial" w:eastAsia="Arial" w:hAnsi="Arial"/>
                <w:sz w:val="18"/>
                <w:szCs w:val="18"/>
                <w:color w:val="0000FF"/>
              </w:rPr>
            </w:pPr>
            <w:hyperlink r:id="rId94">
              <w:r>
                <w:rPr>
                  <w:rFonts w:ascii="Arial" w:cs="Arial" w:eastAsia="Arial" w:hAnsi="Arial"/>
                  <w:sz w:val="18"/>
                  <w:szCs w:val="18"/>
                  <w:color w:val="0000FF"/>
                </w:rPr>
                <w:t>List of Subsidiary Guarantors</w:t>
              </w:r>
            </w:hyperlink>
          </w:p>
        </w:tc>
        <w:tc>
          <w:tcPr>
            <w:tcW w:w="900" w:type="dxa"/>
            <w:vAlign w:val="bottom"/>
          </w:tcPr>
          <w:p>
            <w:pPr>
              <w:ind w:left="20"/>
              <w:spacing w:after="0"/>
              <w:rPr>
                <w:sz w:val="20"/>
                <w:szCs w:val="20"/>
                <w:color w:val="auto"/>
              </w:rPr>
            </w:pPr>
            <w:r>
              <w:rPr>
                <w:rFonts w:ascii="Arial" w:cs="Arial" w:eastAsia="Arial" w:hAnsi="Arial"/>
                <w:sz w:val="18"/>
                <w:szCs w:val="18"/>
                <w:color w:val="auto"/>
              </w:rPr>
              <w:t>S-3ASR</w:t>
            </w:r>
          </w:p>
        </w:tc>
        <w:tc>
          <w:tcPr>
            <w:tcW w:w="1280" w:type="dxa"/>
            <w:vAlign w:val="bottom"/>
          </w:tcPr>
          <w:p>
            <w:pPr>
              <w:ind w:left="200"/>
              <w:spacing w:after="0"/>
              <w:rPr>
                <w:sz w:val="20"/>
                <w:szCs w:val="20"/>
                <w:color w:val="auto"/>
              </w:rPr>
            </w:pPr>
            <w:r>
              <w:rPr>
                <w:rFonts w:ascii="Arial" w:cs="Arial" w:eastAsia="Arial" w:hAnsi="Arial"/>
                <w:sz w:val="18"/>
                <w:szCs w:val="18"/>
                <w:color w:val="auto"/>
              </w:rPr>
              <w:t>333-252007</w:t>
            </w:r>
          </w:p>
        </w:tc>
        <w:tc>
          <w:tcPr>
            <w:tcW w:w="960" w:type="dxa"/>
            <w:vAlign w:val="bottom"/>
          </w:tcPr>
          <w:p>
            <w:pPr>
              <w:ind w:left="200"/>
              <w:spacing w:after="0"/>
              <w:rPr>
                <w:sz w:val="20"/>
                <w:szCs w:val="20"/>
                <w:color w:val="auto"/>
              </w:rPr>
            </w:pPr>
            <w:r>
              <w:rPr>
                <w:rFonts w:ascii="Arial" w:cs="Arial" w:eastAsia="Arial" w:hAnsi="Arial"/>
                <w:sz w:val="18"/>
                <w:szCs w:val="18"/>
                <w:color w:val="auto"/>
              </w:rPr>
              <w:t>22.1</w:t>
            </w:r>
          </w:p>
        </w:tc>
        <w:tc>
          <w:tcPr>
            <w:tcW w:w="1100" w:type="dxa"/>
            <w:vAlign w:val="bottom"/>
          </w:tcPr>
          <w:p>
            <w:pPr>
              <w:jc w:val="right"/>
              <w:ind w:right="277"/>
              <w:spacing w:after="0"/>
              <w:rPr>
                <w:sz w:val="20"/>
                <w:szCs w:val="20"/>
                <w:color w:val="auto"/>
              </w:rPr>
            </w:pPr>
            <w:r>
              <w:rPr>
                <w:rFonts w:ascii="Arial" w:cs="Arial" w:eastAsia="Arial" w:hAnsi="Arial"/>
                <w:sz w:val="18"/>
                <w:szCs w:val="18"/>
                <w:color w:val="auto"/>
              </w:rPr>
              <w:t>01/11/21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Certification of the Principal Executive Officer pursuant to</w:t>
            </w:r>
          </w:p>
        </w:tc>
        <w:tc>
          <w:tcPr>
            <w:tcW w:w="600" w:type="dxa"/>
            <w:vAlign w:val="bottom"/>
            <w:gridSpan w:val="5"/>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12"/>
          </w:tcPr>
          <w:p>
            <w:pPr>
              <w:spacing w:after="0" w:line="156" w:lineRule="exact"/>
              <w:rPr>
                <w:sz w:val="20"/>
                <w:szCs w:val="20"/>
                <w:color w:val="auto"/>
              </w:rPr>
            </w:pPr>
            <w:r>
              <w:rPr>
                <w:rFonts w:ascii="Arial" w:cs="Arial" w:eastAsia="Arial" w:hAnsi="Arial"/>
                <w:sz w:val="18"/>
                <w:szCs w:val="18"/>
                <w:color w:val="0000FF"/>
                <w:w w:val="91"/>
              </w:rPr>
              <w:t>Exchange Act Rules 13a14(a) and 15d14(a), as adopted pursuant</w:t>
            </w: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0"/>
              </w:rPr>
              <w:t>to Section 302 of the Sarbanes-Oxley Act of 2002.</w:t>
            </w:r>
          </w:p>
        </w:tc>
        <w:tc>
          <w:tcPr>
            <w:tcW w:w="10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 w:type="dxa"/>
            <w:vAlign w:val="bottom"/>
            <w:gridSpan w:val="3"/>
          </w:tcPr>
          <w:p>
            <w:pPr>
              <w:ind w:left="2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0000FF"/>
              </w:rPr>
              <w:t>Certification of the Principal Financial Officer pursuant to</w:t>
            </w: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8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2"/>
              </w:rPr>
              <w:t>Exchange Act Rules 13a14(a) and 15d14(a), as adopted</w:t>
            </w:r>
          </w:p>
        </w:tc>
        <w:tc>
          <w:tcPr>
            <w:tcW w:w="660" w:type="dxa"/>
            <w:vAlign w:val="bottom"/>
            <w:gridSpan w:val="6"/>
          </w:tcPr>
          <w:p>
            <w:pPr>
              <w:spacing w:after="0" w:line="156" w:lineRule="exact"/>
              <w:rPr>
                <w:sz w:val="20"/>
                <w:szCs w:val="20"/>
                <w:color w:val="auto"/>
              </w:rPr>
            </w:pPr>
            <w:r>
              <w:rPr>
                <w:rFonts w:ascii="Arial" w:cs="Arial" w:eastAsia="Arial" w:hAnsi="Arial"/>
                <w:sz w:val="18"/>
                <w:szCs w:val="18"/>
                <w:color w:val="0000FF"/>
                <w:w w:val="91"/>
              </w:rPr>
              <w:t>pursuant</w:t>
            </w: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0"/>
              </w:rPr>
              <w:t>to Section 302 of the Sarbanes-Oxley Act of 2002.</w:t>
            </w:r>
          </w:p>
        </w:tc>
        <w:tc>
          <w:tcPr>
            <w:tcW w:w="10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0000FF"/>
              </w:rPr>
              <w:t>Certification of the Principal Executive Officer and Principal</w:t>
            </w: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40" w:type="dxa"/>
            <w:vAlign w:val="bottom"/>
            <w:gridSpan w:val="12"/>
          </w:tcPr>
          <w:p>
            <w:pPr>
              <w:spacing w:after="0" w:line="156" w:lineRule="exact"/>
              <w:rPr>
                <w:sz w:val="20"/>
                <w:szCs w:val="20"/>
                <w:color w:val="auto"/>
              </w:rPr>
            </w:pPr>
            <w:r>
              <w:rPr>
                <w:rFonts w:ascii="Arial" w:cs="Arial" w:eastAsia="Arial" w:hAnsi="Arial"/>
                <w:sz w:val="18"/>
                <w:szCs w:val="18"/>
                <w:color w:val="0000FF"/>
                <w:w w:val="93"/>
              </w:rPr>
              <w:t>Financial Officer pursuant to 18 U.S.C. Section 1350, as adopted</w:t>
            </w: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90"/>
              </w:rPr>
              <w:t>pursuant to Section 906 of the Sarbanes-Oxley Act of 2002.</w:t>
            </w:r>
          </w:p>
        </w:tc>
        <w:tc>
          <w:tcPr>
            <w:tcW w:w="380" w:type="dxa"/>
            <w:vAlign w:val="bottom"/>
            <w:tcBorders>
              <w:top w:val="single" w:sz="8" w:color="0000FF"/>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80" w:type="dxa"/>
            <w:vAlign w:val="bottom"/>
            <w:gridSpan w:val="5"/>
          </w:tcPr>
          <w:p>
            <w:pPr>
              <w:spacing w:after="0"/>
              <w:rPr>
                <w:sz w:val="20"/>
                <w:szCs w:val="20"/>
                <w:color w:val="auto"/>
              </w:rPr>
            </w:pPr>
            <w:r>
              <w:rPr>
                <w:rFonts w:ascii="Arial" w:cs="Arial" w:eastAsia="Arial" w:hAnsi="Arial"/>
                <w:sz w:val="18"/>
                <w:szCs w:val="18"/>
                <w:color w:val="auto"/>
              </w:rPr>
              <w:t>101.INS</w:t>
            </w:r>
          </w:p>
        </w:tc>
        <w:tc>
          <w:tcPr>
            <w:tcW w:w="484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48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5"/>
          </w:tcPr>
          <w:p>
            <w:pPr>
              <w:spacing w:after="0" w:line="176" w:lineRule="exact"/>
              <w:rPr>
                <w:sz w:val="20"/>
                <w:szCs w:val="20"/>
                <w:color w:val="auto"/>
              </w:rPr>
            </w:pPr>
            <w:r>
              <w:rPr>
                <w:rFonts w:ascii="Arial" w:cs="Arial" w:eastAsia="Arial" w:hAnsi="Arial"/>
                <w:sz w:val="18"/>
                <w:szCs w:val="18"/>
                <w:color w:val="auto"/>
              </w:rPr>
              <w:t>101.CAL</w:t>
            </w:r>
          </w:p>
        </w:tc>
        <w:tc>
          <w:tcPr>
            <w:tcW w:w="4840" w:type="dxa"/>
            <w:vAlign w:val="bottom"/>
            <w:gridSpan w:val="12"/>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jc w:val="center"/>
              <w:ind w:left="13"/>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4840" w:type="dxa"/>
            <w:vAlign w:val="bottom"/>
            <w:gridSpan w:val="12"/>
          </w:tcPr>
          <w:p>
            <w:pPr>
              <w:spacing w:after="0"/>
              <w:rPr>
                <w:sz w:val="20"/>
                <w:szCs w:val="20"/>
                <w:color w:val="auto"/>
              </w:rPr>
            </w:pPr>
            <w:r>
              <w:rPr>
                <w:rFonts w:ascii="Arial" w:cs="Arial" w:eastAsia="Arial" w:hAnsi="Arial"/>
                <w:sz w:val="18"/>
                <w:szCs w:val="18"/>
                <w:color w:val="auto"/>
                <w:w w:val="94"/>
              </w:rPr>
              <w:t>Inline XBRL Taxonomy Extension Definition Linkbase Document</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gridSpan w:val="5"/>
          </w:tcPr>
          <w:p>
            <w:pPr>
              <w:spacing w:after="0"/>
              <w:rPr>
                <w:sz w:val="20"/>
                <w:szCs w:val="20"/>
                <w:color w:val="auto"/>
              </w:rPr>
            </w:pPr>
            <w:r>
              <w:rPr>
                <w:rFonts w:ascii="Arial" w:cs="Arial" w:eastAsia="Arial" w:hAnsi="Arial"/>
                <w:sz w:val="18"/>
                <w:szCs w:val="18"/>
                <w:color w:val="auto"/>
              </w:rPr>
              <w:t>101.LAB</w:t>
            </w:r>
          </w:p>
        </w:tc>
        <w:tc>
          <w:tcPr>
            <w:tcW w:w="48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5"/>
          </w:tcPr>
          <w:p>
            <w:pPr>
              <w:spacing w:after="0" w:line="176" w:lineRule="exact"/>
              <w:rPr>
                <w:sz w:val="20"/>
                <w:szCs w:val="20"/>
                <w:color w:val="auto"/>
              </w:rPr>
            </w:pPr>
            <w:r>
              <w:rPr>
                <w:rFonts w:ascii="Arial" w:cs="Arial" w:eastAsia="Arial" w:hAnsi="Arial"/>
                <w:sz w:val="18"/>
                <w:szCs w:val="18"/>
                <w:color w:val="auto"/>
              </w:rPr>
              <w:t>101.PRE</w:t>
            </w:r>
          </w:p>
        </w:tc>
        <w:tc>
          <w:tcPr>
            <w:tcW w:w="4840" w:type="dxa"/>
            <w:vAlign w:val="bottom"/>
            <w:gridSpan w:val="12"/>
          </w:tcPr>
          <w:p>
            <w:pPr>
              <w:spacing w:after="0" w:line="176" w:lineRule="exact"/>
              <w:rPr>
                <w:sz w:val="20"/>
                <w:szCs w:val="20"/>
                <w:color w:val="auto"/>
              </w:rPr>
            </w:pPr>
            <w:r>
              <w:rPr>
                <w:rFonts w:ascii="Arial" w:cs="Arial" w:eastAsia="Arial" w:hAnsi="Arial"/>
                <w:sz w:val="18"/>
                <w:szCs w:val="18"/>
                <w:color w:val="auto"/>
              </w:rPr>
              <w:t>Inline XBRL Taxonomy Extension Presentation Linkbase</w:t>
            </w: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jc w:val="center"/>
              <w:ind w:left="13"/>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100" w:right="5440" w:hanging="1074"/>
        <w:spacing w:after="0" w:line="258" w:lineRule="auto"/>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Cover Page Interactive Data File – the cover page XBRL tags are embedded within the Inline Instance XBRL document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108" w:lineRule="exact"/>
        <w:rPr>
          <w:sz w:val="20"/>
          <w:szCs w:val="20"/>
          <w:color w:val="auto"/>
        </w:rPr>
      </w:pPr>
    </w:p>
    <w:p>
      <w:pPr>
        <w:ind w:left="1100" w:right="160" w:hanging="1047"/>
        <w:spacing w:after="0" w:line="223"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913765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Austin, Texas, on the day of August 30, 2022.</w:t>
      </w:r>
    </w:p>
    <w:p>
      <w:pPr>
        <w:spacing w:after="0" w:line="20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CROWDSTRIKE HOLDINGS, INC.</w:t>
      </w:r>
    </w:p>
    <w:p>
      <w:pPr>
        <w:spacing w:after="0" w:line="81" w:lineRule="exact"/>
        <w:rPr>
          <w:sz w:val="20"/>
          <w:szCs w:val="20"/>
          <w:color w:val="auto"/>
        </w:rPr>
      </w:pPr>
    </w:p>
    <w:p>
      <w:pPr>
        <w:ind w:left="5460"/>
        <w:spacing w:after="0"/>
        <w:tabs>
          <w:tab w:leader="none" w:pos="5960" w:val="left"/>
        </w:tabs>
        <w:rPr>
          <w:sz w:val="20"/>
          <w:szCs w:val="20"/>
          <w:color w:val="auto"/>
        </w:rPr>
      </w:pPr>
      <w:r>
        <w:rPr>
          <w:rFonts w:ascii="Arial" w:cs="Arial" w:eastAsia="Arial" w:hAnsi="Arial"/>
          <w:sz w:val="18"/>
          <w:szCs w:val="18"/>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Burt W. Podbere</w:t>
      </w:r>
    </w:p>
    <w:p>
      <w:pPr>
        <w:ind w:left="598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304" w:lineRule="exact"/>
        <w:rPr>
          <w:sz w:val="20"/>
          <w:szCs w:val="20"/>
          <w:color w:val="auto"/>
        </w:rPr>
      </w:pPr>
    </w:p>
    <w:p>
      <w:pPr>
        <w:ind w:left="5460"/>
        <w:spacing w:after="0"/>
        <w:tabs>
          <w:tab w:leader="none" w:pos="5960" w:val="left"/>
        </w:tabs>
        <w:rPr>
          <w:sz w:val="20"/>
          <w:szCs w:val="20"/>
          <w:color w:val="auto"/>
        </w:rPr>
      </w:pPr>
      <w:r>
        <w:rPr>
          <w:rFonts w:ascii="Arial" w:cs="Arial" w:eastAsia="Arial" w:hAnsi="Arial"/>
          <w:sz w:val="18"/>
          <w:szCs w:val="18"/>
          <w:color w:val="auto"/>
        </w:rPr>
        <w:t>By:</w:t>
        <w:tab/>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Anurag Saha</w:t>
      </w:r>
    </w:p>
    <w:p>
      <w:pPr>
        <w:ind w:left="5980"/>
        <w:spacing w:after="0"/>
        <w:rPr>
          <w:sz w:val="20"/>
          <w:szCs w:val="20"/>
          <w:color w:val="auto"/>
        </w:rPr>
      </w:pPr>
      <w:r>
        <w:rPr>
          <w:rFonts w:ascii="Arial" w:cs="Arial" w:eastAsia="Arial" w:hAnsi="Arial"/>
          <w:sz w:val="18"/>
          <w:szCs w:val="18"/>
          <w:i w:val="1"/>
          <w:iCs w:val="1"/>
          <w:color w:val="auto"/>
        </w:rPr>
        <w:t>Chief Accounting Officer (Principal Accounting Officer)</w:t>
      </w:r>
    </w:p>
    <w:p>
      <w:pPr>
        <w:sectPr>
          <w:pgSz w:w="11900" w:h="16838" w:orient="portrait"/>
          <w:cols w:equalWidth="0" w:num="1">
            <w:col w:w="10980"/>
          </w:cols>
          <w:pgMar w:left="320" w:top="341" w:right="5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George Kurtz, certify that:</w:t>
      </w:r>
    </w:p>
    <w:p>
      <w:pPr>
        <w:spacing w:after="0" w:line="225"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00" w:hanging="328"/>
        <w:spacing w:after="0" w:line="342" w:lineRule="auto"/>
        <w:tabs>
          <w:tab w:leader="none" w:pos="64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0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Date: August 30, 2022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CROWDSTRIKE HOLDINGS, INC.</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Kurtz</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0380" w:type="dxa"/>
            <w:vAlign w:val="bottom"/>
          </w:tcPr>
          <w:p>
            <w:pPr>
              <w:ind w:left="20"/>
              <w:spacing w:after="0"/>
              <w:rPr>
                <w:sz w:val="20"/>
                <w:szCs w:val="20"/>
                <w:color w:val="auto"/>
              </w:rPr>
            </w:pPr>
            <w:r>
              <w:rPr>
                <w:rFonts w:ascii="Arial" w:cs="Arial" w:eastAsia="Arial" w:hAnsi="Arial"/>
                <w:sz w:val="18"/>
                <w:szCs w:val="18"/>
                <w:color w:val="auto"/>
              </w:rPr>
              <w:t>George Kurtz</w:t>
            </w: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10380" w:type="dxa"/>
            <w:vAlign w:val="bottom"/>
          </w:tcPr>
          <w:p>
            <w:pPr>
              <w:ind w:left="20"/>
              <w:spacing w:after="0" w:line="176" w:lineRule="exact"/>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840" w:type="dxa"/>
            <w:vAlign w:val="bottom"/>
          </w:tcPr>
          <w:p>
            <w:pPr>
              <w:spacing w:after="0"/>
              <w:rPr>
                <w:sz w:val="20"/>
                <w:szCs w:val="20"/>
                <w:color w:val="auto"/>
              </w:rPr>
            </w:pPr>
          </w:p>
        </w:tc>
        <w:tc>
          <w:tcPr>
            <w:tcW w:w="103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1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3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Date: August 30, 2022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CROWDSTRIKE HOLDINGS, INC.</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Burt W. Podbere</w:t>
            </w:r>
          </w:p>
        </w:tc>
      </w:t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0380" w:type="dxa"/>
            <w:vAlign w:val="bottom"/>
          </w:tcPr>
          <w:p>
            <w:pPr>
              <w:ind w:left="20"/>
              <w:spacing w:after="0"/>
              <w:rPr>
                <w:sz w:val="20"/>
                <w:szCs w:val="20"/>
                <w:color w:val="auto"/>
              </w:rPr>
            </w:pPr>
            <w:r>
              <w:rPr>
                <w:rFonts w:ascii="Arial" w:cs="Arial" w:eastAsia="Arial" w:hAnsi="Arial"/>
                <w:sz w:val="18"/>
                <w:szCs w:val="18"/>
                <w:color w:val="auto"/>
              </w:rPr>
              <w:t>Burt W. Podbere</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103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115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George Kurtz, the President and Chief Executive Officer of CrowdStrike Holdings, Inc., certify, pursuant to 18 U.S.C. Section 1350, as adopted pursuant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Section 906 of the Sarbanes-Oxley Act of 2002, that the Quarterly Report on Form 10-Q of CrowdStrike Holdings, Inc. for the fiscal quarter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31, 2022 fully complies with the requirements of Section 13(a) or 15(d) of the Securities Exchange Act of 1934 and that information contained in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Quarterly Report on Form 10-Q fairly presents, in all material respects, the financial condition and results of operations of CrowdStrike Holdings, Inc.</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30, 2022</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Kurtz</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George Kurtz</w:t>
            </w: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8"/>
              </w:rPr>
              <w:t>President, Chief Executive Officer, and Director</w:t>
            </w:r>
          </w:p>
        </w:tc>
      </w:tr>
      <w:tr>
        <w:trPr>
          <w:trHeight w:val="230"/>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0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July 31, 2022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30, 2022</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Burt W. Podbere</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Burt W. Podbere</w:t>
            </w:r>
          </w:p>
        </w:tc>
      </w:tr>
      <w:tr>
        <w:trPr>
          <w:trHeight w:val="176"/>
        </w:trPr>
        <w:tc>
          <w:tcPr>
            <w:tcW w:w="740" w:type="dxa"/>
            <w:vAlign w:val="bottom"/>
          </w:tcPr>
          <w:p>
            <w:pPr>
              <w:spacing w:after="0"/>
              <w:rPr>
                <w:sz w:val="15"/>
                <w:szCs w:val="15"/>
                <w:color w:val="auto"/>
              </w:rPr>
            </w:pP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lowerLetter"/>
      <w:start w:val="3"/>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04"/>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2" Type="http://schemas.openxmlformats.org/officeDocument/2006/relationships/hyperlink" Target="http://www.sec.gov/Archives/edgar/data/1535527/000110465919035685/a19-11597_1ex3d1.htm" TargetMode="External"/><Relationship Id="rId93" Type="http://schemas.openxmlformats.org/officeDocument/2006/relationships/hyperlink" Target="http://www.sec.gov/Archives/edgar/data/1535527/000110465919035685/a19-11597_1ex3d2.htm" TargetMode="External"/><Relationship Id="rId94"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2022-08-31T05:29:43Z</dcterms:created>
  <dcterms:modified xsi:type="dcterms:W3CDTF">2022-08-31T05:29:43Z</dcterms:modified>
</cp:coreProperties>
</file>