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31"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80"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October 31, 2022</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72"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transition period from to</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001-38933</w:t>
      </w:r>
    </w:p>
    <w:p>
      <w:pPr>
        <w:spacing w:after="0" w:line="2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CROWDSTRIKE HOLDINGS, INC.</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37" w:lineRule="exact"/>
        <w:rPr>
          <w:sz w:val="24"/>
          <w:szCs w:val="24"/>
          <w:color w:val="auto"/>
        </w:rPr>
      </w:pPr>
    </w:p>
    <w:tbl>
      <w:tblPr>
        <w:tblLayout w:type="fixed"/>
        <w:tblInd w:w="1060" w:type="dxa"/>
        <w:tblCellMar>
          <w:top w:w="0" w:type="dxa"/>
          <w:left w:w="0" w:type="dxa"/>
          <w:bottom w:w="0" w:type="dxa"/>
          <w:right w:w="0" w:type="dxa"/>
        </w:tblCellMar>
      </w:tblPr>
      <w:tr>
        <w:trPr>
          <w:trHeight w:val="210"/>
        </w:trPr>
        <w:tc>
          <w:tcPr>
            <w:tcW w:w="4680" w:type="dxa"/>
            <w:vAlign w:val="bottom"/>
          </w:tcPr>
          <w:p>
            <w:pPr>
              <w:jc w:val="center"/>
              <w:ind w:right="2659"/>
              <w:spacing w:after="0"/>
              <w:rPr>
                <w:sz w:val="20"/>
                <w:szCs w:val="20"/>
                <w:color w:val="auto"/>
              </w:rPr>
            </w:pPr>
            <w:r>
              <w:rPr>
                <w:rFonts w:ascii="Arial" w:cs="Arial" w:eastAsia="Arial" w:hAnsi="Arial"/>
                <w:sz w:val="16"/>
                <w:szCs w:val="16"/>
                <w:b w:val="1"/>
                <w:bCs w:val="1"/>
                <w:color w:val="auto"/>
                <w:w w:val="93"/>
              </w:rPr>
              <w:t>Delaware</w:t>
            </w:r>
          </w:p>
        </w:tc>
        <w:tc>
          <w:tcPr>
            <w:tcW w:w="4220" w:type="dxa"/>
            <w:vAlign w:val="bottom"/>
          </w:tcPr>
          <w:p>
            <w:pPr>
              <w:jc w:val="center"/>
              <w:ind w:left="2639"/>
              <w:spacing w:after="0"/>
              <w:rPr>
                <w:sz w:val="20"/>
                <w:szCs w:val="20"/>
                <w:color w:val="auto"/>
              </w:rPr>
            </w:pPr>
            <w:r>
              <w:rPr>
                <w:rFonts w:ascii="Arial" w:cs="Arial" w:eastAsia="Arial" w:hAnsi="Arial"/>
                <w:sz w:val="16"/>
                <w:szCs w:val="16"/>
                <w:b w:val="1"/>
                <w:bCs w:val="1"/>
                <w:color w:val="auto"/>
                <w:w w:val="91"/>
              </w:rPr>
              <w:t>45-3788918</w:t>
            </w:r>
          </w:p>
        </w:tc>
      </w:tr>
      <w:tr>
        <w:trPr>
          <w:trHeight w:val="172"/>
        </w:trPr>
        <w:tc>
          <w:tcPr>
            <w:tcW w:w="4680" w:type="dxa"/>
            <w:vAlign w:val="bottom"/>
          </w:tcPr>
          <w:p>
            <w:pPr>
              <w:jc w:val="center"/>
              <w:ind w:right="2719"/>
              <w:spacing w:after="0" w:line="171" w:lineRule="exact"/>
              <w:rPr>
                <w:sz w:val="20"/>
                <w:szCs w:val="20"/>
                <w:color w:val="auto"/>
              </w:rPr>
            </w:pPr>
            <w:r>
              <w:rPr>
                <w:rFonts w:ascii="Arial" w:cs="Arial" w:eastAsia="Arial" w:hAnsi="Arial"/>
                <w:sz w:val="16"/>
                <w:szCs w:val="16"/>
                <w:color w:val="auto"/>
                <w:w w:val="93"/>
              </w:rPr>
              <w:t>(State or other jurisdiction of</w:t>
            </w:r>
          </w:p>
        </w:tc>
        <w:tc>
          <w:tcPr>
            <w:tcW w:w="4220" w:type="dxa"/>
            <w:vAlign w:val="bottom"/>
          </w:tcPr>
          <w:p>
            <w:pPr>
              <w:jc w:val="center"/>
              <w:ind w:left="259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4680" w:type="dxa"/>
            <w:vAlign w:val="bottom"/>
          </w:tcPr>
          <w:p>
            <w:pPr>
              <w:jc w:val="center"/>
              <w:ind w:right="2659"/>
              <w:spacing w:after="0"/>
              <w:rPr>
                <w:sz w:val="20"/>
                <w:szCs w:val="20"/>
                <w:color w:val="auto"/>
              </w:rPr>
            </w:pPr>
            <w:r>
              <w:rPr>
                <w:rFonts w:ascii="Arial" w:cs="Arial" w:eastAsia="Arial" w:hAnsi="Arial"/>
                <w:sz w:val="16"/>
                <w:szCs w:val="16"/>
                <w:color w:val="auto"/>
                <w:w w:val="93"/>
              </w:rPr>
              <w:t>incorporation or organization)</w:t>
            </w:r>
          </w:p>
        </w:tc>
        <w:tc>
          <w:tcPr>
            <w:tcW w:w="4220" w:type="dxa"/>
            <w:vAlign w:val="bottom"/>
          </w:tcPr>
          <w:p>
            <w:pPr>
              <w:jc w:val="center"/>
              <w:ind w:left="2639"/>
              <w:spacing w:after="0"/>
              <w:rPr>
                <w:sz w:val="20"/>
                <w:szCs w:val="20"/>
                <w:color w:val="auto"/>
              </w:rPr>
            </w:pPr>
            <w:r>
              <w:rPr>
                <w:rFonts w:ascii="Arial" w:cs="Arial" w:eastAsia="Arial" w:hAnsi="Arial"/>
                <w:sz w:val="16"/>
                <w:szCs w:val="16"/>
                <w:color w:val="auto"/>
                <w:w w:val="95"/>
              </w:rPr>
              <w:t>Identification Number)</w:t>
            </w:r>
          </w:p>
        </w:tc>
      </w:tr>
    </w:tbl>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 E. 9th Street, Suite 1400, Austin, Texas 78701</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p>
    <w:p>
      <w:pPr>
        <w:ind w:left="29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(888) 512-8906</w:t>
      </w:r>
    </w:p>
    <w:p>
      <w:pPr>
        <w:spacing w:after="0" w:line="6"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Title of each class</w:t>
            </w:r>
          </w:p>
        </w:tc>
        <w:tc>
          <w:tcPr>
            <w:tcW w:w="37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3"/>
              </w:rPr>
              <w:t>Trading symbol(s)</w:t>
            </w:r>
          </w:p>
        </w:tc>
        <w:tc>
          <w:tcPr>
            <w:tcW w:w="37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Class A common stock, par value $0.0005 per share</w:t>
            </w:r>
          </w:p>
        </w:tc>
        <w:tc>
          <w:tcPr>
            <w:tcW w:w="1260" w:type="dxa"/>
            <w:vAlign w:val="bottom"/>
          </w:tcPr>
          <w:p>
            <w:pPr>
              <w:spacing w:after="0"/>
              <w:rPr>
                <w:sz w:val="17"/>
                <w:szCs w:val="17"/>
                <w:color w:val="auto"/>
              </w:rPr>
            </w:pPr>
          </w:p>
        </w:tc>
        <w:tc>
          <w:tcPr>
            <w:tcW w:w="2480" w:type="dxa"/>
            <w:vAlign w:val="bottom"/>
            <w:tcBorders>
              <w:right w:val="single" w:sz="8" w:color="auto"/>
            </w:tcBorders>
            <w:gridSpan w:val="2"/>
          </w:tcPr>
          <w:p>
            <w:pPr>
              <w:jc w:val="center"/>
              <w:ind w:right="1280"/>
              <w:spacing w:after="0"/>
              <w:rPr>
                <w:sz w:val="20"/>
                <w:szCs w:val="20"/>
                <w:color w:val="auto"/>
              </w:rPr>
            </w:pPr>
            <w:r>
              <w:rPr>
                <w:rFonts w:ascii="Arial" w:cs="Arial" w:eastAsia="Arial" w:hAnsi="Arial"/>
                <w:sz w:val="16"/>
                <w:szCs w:val="16"/>
                <w:color w:val="auto"/>
                <w:w w:val="96"/>
              </w:rPr>
              <w:t>CRWD</w:t>
            </w:r>
          </w:p>
        </w:tc>
        <w:tc>
          <w:tcPr>
            <w:tcW w:w="440" w:type="dxa"/>
            <w:vAlign w:val="bottom"/>
          </w:tcPr>
          <w:p>
            <w:pPr>
              <w:spacing w:after="0"/>
              <w:rPr>
                <w:sz w:val="17"/>
                <w:szCs w:val="17"/>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94"/>
              </w:rPr>
              <w:t>The Nasdaq Stock Market LLC</w:t>
            </w:r>
          </w:p>
        </w:tc>
      </w:tr>
      <w:tr>
        <w:trPr>
          <w:trHeight w:val="243"/>
        </w:trPr>
        <w:tc>
          <w:tcPr>
            <w:tcW w:w="130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6"/>
                <w:szCs w:val="16"/>
                <w:color w:val="auto"/>
                <w:w w:val="92"/>
              </w:rPr>
              <w:t>(Nasdaq Global Select Market)</w:t>
            </w:r>
          </w:p>
        </w:tc>
      </w:tr>
      <w:tr>
        <w:trPr>
          <w:trHeight w:val="46"/>
        </w:trPr>
        <w:tc>
          <w:tcPr>
            <w:tcW w:w="13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bl>
    <w:p>
      <w:pPr>
        <w:spacing w:after="0" w:line="382" w:lineRule="exact"/>
        <w:rPr>
          <w:sz w:val="24"/>
          <w:szCs w:val="24"/>
          <w:color w:val="auto"/>
        </w:rPr>
      </w:pPr>
    </w:p>
    <w:p>
      <w:pPr>
        <w:jc w:val="both"/>
        <w:ind w:right="300" w:firstLine="648"/>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ind w:right="80" w:firstLine="648"/>
        <w:spacing w:after="0" w:line="22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ind w:right="120" w:firstLine="648"/>
        <w:spacing w:after="0" w:line="255" w:lineRule="auto"/>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7"/>
          <w:szCs w:val="17"/>
          <w:color w:val="auto"/>
        </w:rPr>
        <w:t>“</w:t>
      </w:r>
      <w:r>
        <w:rPr>
          <w:rFonts w:ascii="Arial" w:cs="Arial" w:eastAsia="Arial" w:hAnsi="Arial"/>
          <w:sz w:val="16"/>
          <w:szCs w:val="16"/>
          <w:color w:val="auto"/>
        </w:rPr>
        <w:t>large accelerated filer,</w:t>
      </w:r>
      <w:r>
        <w:rPr>
          <w:rFonts w:ascii="Arial" w:cs="Arial" w:eastAsia="Arial" w:hAnsi="Arial"/>
          <w:sz w:val="17"/>
          <w:szCs w:val="17"/>
          <w:color w:val="auto"/>
        </w:rPr>
        <w:t>” “</w:t>
      </w:r>
      <w:r>
        <w:rPr>
          <w:rFonts w:ascii="Arial" w:cs="Arial" w:eastAsia="Arial" w:hAnsi="Arial"/>
          <w:sz w:val="16"/>
          <w:szCs w:val="16"/>
          <w:color w:val="auto"/>
        </w:rPr>
        <w:t>accelerated filer,</w:t>
      </w:r>
      <w:r>
        <w:rPr>
          <w:rFonts w:ascii="Arial" w:cs="Arial" w:eastAsia="Arial" w:hAnsi="Arial"/>
          <w:sz w:val="17"/>
          <w:szCs w:val="17"/>
          <w:color w:val="auto"/>
        </w:rPr>
        <w:t>” “</w:t>
      </w:r>
      <w:r>
        <w:rPr>
          <w:rFonts w:ascii="Arial" w:cs="Arial" w:eastAsia="Arial" w:hAnsi="Arial"/>
          <w:sz w:val="16"/>
          <w:szCs w:val="16"/>
          <w:color w:val="auto"/>
        </w:rPr>
        <w:t>smaller reporting company</w:t>
      </w:r>
      <w:r>
        <w:rPr>
          <w:rFonts w:ascii="Arial" w:cs="Arial" w:eastAsia="Arial" w:hAnsi="Arial"/>
          <w:sz w:val="17"/>
          <w:szCs w:val="17"/>
          <w:color w:val="auto"/>
        </w:rPr>
        <w:t>”</w:t>
      </w:r>
      <w:r>
        <w:rPr>
          <w:rFonts w:ascii="Arial" w:cs="Arial" w:eastAsia="Arial" w:hAnsi="Arial"/>
          <w:sz w:val="16"/>
          <w:szCs w:val="16"/>
          <w:color w:val="auto"/>
        </w:rPr>
        <w:t xml:space="preserve"> and </w:t>
      </w:r>
      <w:r>
        <w:rPr>
          <w:rFonts w:ascii="Arial" w:cs="Arial" w:eastAsia="Arial" w:hAnsi="Arial"/>
          <w:sz w:val="17"/>
          <w:szCs w:val="17"/>
          <w:color w:val="auto"/>
        </w:rPr>
        <w:t>“</w:t>
      </w:r>
      <w:r>
        <w:rPr>
          <w:rFonts w:ascii="Arial" w:cs="Arial" w:eastAsia="Arial" w:hAnsi="Arial"/>
          <w:sz w:val="16"/>
          <w:szCs w:val="16"/>
          <w:color w:val="auto"/>
        </w:rPr>
        <w:t>emerging growth company</w:t>
      </w:r>
      <w:r>
        <w:rPr>
          <w:rFonts w:ascii="Arial" w:cs="Arial" w:eastAsia="Arial" w:hAnsi="Arial"/>
          <w:sz w:val="17"/>
          <w:szCs w:val="17"/>
          <w:color w:val="auto"/>
        </w:rPr>
        <w:t>”</w:t>
      </w:r>
      <w:r>
        <w:rPr>
          <w:rFonts w:ascii="Arial" w:cs="Arial" w:eastAsia="Arial" w:hAnsi="Arial"/>
          <w:sz w:val="16"/>
          <w:szCs w:val="16"/>
          <w:color w:val="auto"/>
        </w:rPr>
        <w:t xml:space="preserve"> in Rule 12b-2 of the Exchange Act.</w:t>
      </w:r>
    </w:p>
    <w:tbl>
      <w:tblPr>
        <w:tblLayout w:type="fixed"/>
        <w:tblInd w:w="1140" w:type="dxa"/>
        <w:tblCellMar>
          <w:top w:w="0" w:type="dxa"/>
          <w:left w:w="0" w:type="dxa"/>
          <w:bottom w:w="0" w:type="dxa"/>
          <w:right w:w="0" w:type="dxa"/>
        </w:tblCellMar>
      </w:tblPr>
      <w:tr>
        <w:trPr>
          <w:trHeight w:val="243"/>
        </w:trPr>
        <w:tc>
          <w:tcPr>
            <w:tcW w:w="3580" w:type="dxa"/>
            <w:vAlign w:val="bottom"/>
          </w:tcPr>
          <w:p>
            <w:pPr>
              <w:jc w:val="center"/>
              <w:ind w:right="499"/>
              <w:spacing w:after="0"/>
              <w:rPr>
                <w:sz w:val="20"/>
                <w:szCs w:val="20"/>
                <w:color w:val="auto"/>
              </w:rPr>
            </w:pPr>
            <w:r>
              <w:rPr>
                <w:rFonts w:ascii="Arial" w:cs="Arial" w:eastAsia="Arial" w:hAnsi="Arial"/>
                <w:sz w:val="16"/>
                <w:szCs w:val="16"/>
                <w:color w:val="auto"/>
                <w:w w:val="91"/>
              </w:rPr>
              <w:t>Large Accelerated Filer</w:t>
            </w:r>
          </w:p>
        </w:tc>
        <w:tc>
          <w:tcPr>
            <w:tcW w:w="16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3580" w:type="dxa"/>
            <w:vAlign w:val="bottom"/>
          </w:tcPr>
          <w:p>
            <w:pPr>
              <w:jc w:val="center"/>
              <w:ind w:right="499"/>
              <w:spacing w:after="0"/>
              <w:rPr>
                <w:sz w:val="20"/>
                <w:szCs w:val="20"/>
                <w:color w:val="auto"/>
              </w:rPr>
            </w:pPr>
            <w:r>
              <w:rPr>
                <w:rFonts w:ascii="Arial" w:cs="Arial" w:eastAsia="Arial" w:hAnsi="Arial"/>
                <w:sz w:val="16"/>
                <w:szCs w:val="16"/>
                <w:color w:val="auto"/>
                <w:w w:val="91"/>
              </w:rPr>
              <w:t>Non-accelerated Filer</w:t>
            </w:r>
          </w:p>
        </w:tc>
        <w:tc>
          <w:tcPr>
            <w:tcW w:w="16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3580" w:type="dxa"/>
            <w:vAlign w:val="bottom"/>
          </w:tcPr>
          <w:p>
            <w:pPr>
              <w:jc w:val="center"/>
              <w:ind w:right="499"/>
              <w:spacing w:after="0"/>
              <w:rPr>
                <w:sz w:val="20"/>
                <w:szCs w:val="20"/>
                <w:color w:val="auto"/>
              </w:rPr>
            </w:pPr>
            <w:r>
              <w:rPr>
                <w:rFonts w:ascii="Arial" w:cs="Arial" w:eastAsia="Arial" w:hAnsi="Arial"/>
                <w:sz w:val="16"/>
                <w:szCs w:val="16"/>
                <w:color w:val="auto"/>
                <w:w w:val="92"/>
              </w:rPr>
              <w:t>(Do not check if a smaller reporting company)</w:t>
            </w:r>
          </w:p>
        </w:tc>
        <w:tc>
          <w:tcPr>
            <w:tcW w:w="16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5" w:lineRule="exact"/>
        <w:rPr>
          <w:sz w:val="24"/>
          <w:szCs w:val="24"/>
          <w:color w:val="auto"/>
        </w:rPr>
      </w:pPr>
    </w:p>
    <w:p>
      <w:pPr>
        <w:ind w:right="460" w:firstLine="648"/>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660"/>
        <w:spacing w:after="0" w:line="189" w:lineRule="exact"/>
        <w:tabs>
          <w:tab w:leader="none" w:pos="8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No</w:t>
      </w:r>
      <w:r>
        <w:rPr>
          <w:rFonts w:ascii="MS PGothic" w:cs="MS PGothic" w:eastAsia="MS PGothic" w:hAnsi="MS PGothic"/>
          <w:sz w:val="18"/>
          <w:szCs w:val="18"/>
          <w:color w:val="auto"/>
        </w:rPr>
        <w:t xml:space="preserve">  ☑</w:t>
      </w:r>
    </w:p>
    <w:p>
      <w:pPr>
        <w:spacing w:after="0" w:line="159" w:lineRule="exact"/>
        <w:rPr>
          <w:sz w:val="24"/>
          <w:szCs w:val="24"/>
          <w:color w:val="auto"/>
        </w:rPr>
      </w:pPr>
    </w:p>
    <w:p>
      <w:pPr>
        <w:ind w:right="720" w:firstLine="648"/>
        <w:spacing w:after="0" w:line="275" w:lineRule="auto"/>
        <w:rPr>
          <w:sz w:val="20"/>
          <w:szCs w:val="20"/>
          <w:color w:val="auto"/>
        </w:rPr>
      </w:pPr>
      <w:r>
        <w:rPr>
          <w:rFonts w:ascii="Arial" w:cs="Arial" w:eastAsia="Arial" w:hAnsi="Arial"/>
          <w:sz w:val="16"/>
          <w:szCs w:val="16"/>
          <w:color w:val="auto"/>
        </w:rPr>
        <w:t>As of November 18, 2022, the number of shares of the registrant’s Class A common stock outstanding was 218,281,791, and the number of shares of the registrant’s Class B common stock outstanding was 16,112,009.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40" w:type="dxa"/>
            <w:vAlign w:val="bottom"/>
            <w:gridSpan w:val="13"/>
          </w:tcPr>
          <w:p>
            <w:pPr>
              <w:jc w:val="center"/>
              <w:ind w:right="3140"/>
              <w:spacing w:after="0"/>
              <w:rPr>
                <w:sz w:val="20"/>
                <w:szCs w:val="20"/>
                <w:color w:val="auto"/>
              </w:rPr>
            </w:pPr>
            <w:r>
              <w:rPr>
                <w:rFonts w:ascii="Arial" w:cs="Arial" w:eastAsia="Arial" w:hAnsi="Arial"/>
                <w:sz w:val="18"/>
                <w:szCs w:val="18"/>
                <w:color w:val="0000FF"/>
                <w:w w:val="98"/>
              </w:rPr>
              <w:t>PART I. FINANCIAL INFORMATION</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1.</w:t>
            </w:r>
          </w:p>
        </w:tc>
        <w:tc>
          <w:tcPr>
            <w:tcW w:w="440" w:type="dxa"/>
            <w:vAlign w:val="bottom"/>
            <w:gridSpan w:val="2"/>
            <w:shd w:val="clear" w:color="auto" w:fill="CCEEFF"/>
          </w:tcPr>
          <w:p>
            <w:pPr>
              <w:spacing w:after="0"/>
              <w:rPr>
                <w:sz w:val="16"/>
                <w:szCs w:val="16"/>
                <w:color w:val="auto"/>
              </w:rPr>
            </w:pPr>
          </w:p>
        </w:tc>
        <w:tc>
          <w:tcPr>
            <w:tcW w:w="922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(unaudited)</w:t>
            </w: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20" w:type="dxa"/>
            <w:vAlign w:val="bottom"/>
            <w:gridSpan w:val="24"/>
          </w:tcPr>
          <w:p>
            <w:pPr>
              <w:spacing w:after="0" w:line="189" w:lineRule="exact"/>
              <w:rPr>
                <w:sz w:val="20"/>
                <w:szCs w:val="20"/>
                <w:color w:val="auto"/>
              </w:rPr>
            </w:pPr>
            <w:r>
              <w:rPr>
                <w:rFonts w:ascii="Arial" w:cs="Arial" w:eastAsia="Arial" w:hAnsi="Arial"/>
                <w:sz w:val="18"/>
                <w:szCs w:val="18"/>
                <w:color w:val="0000FF"/>
              </w:rPr>
              <w:t>Condensed Consolidated Balance Sheets as of October 31, 2022 and January 31, 2022</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2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w w:val="92"/>
              </w:rPr>
              <w:t>Condensed Consolidated Statements of Operations for the Three and Nine Months Ended October 31, 2022 and October 31,</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0000FF"/>
            </w:tcBorders>
            <w:gridSpan w:val="2"/>
            <w:shd w:val="clear" w:color="auto" w:fill="CCEEFF"/>
          </w:tcPr>
          <w:p>
            <w:pPr>
              <w:spacing w:after="0" w:line="169" w:lineRule="exact"/>
              <w:rPr>
                <w:sz w:val="20"/>
                <w:szCs w:val="20"/>
                <w:color w:val="auto"/>
              </w:rPr>
            </w:pPr>
            <w:r>
              <w:rPr>
                <w:rFonts w:ascii="Arial" w:cs="Arial" w:eastAsia="Arial" w:hAnsi="Arial"/>
                <w:sz w:val="18"/>
                <w:szCs w:val="18"/>
                <w:color w:val="0000FF"/>
              </w:rPr>
              <w:t>2021</w:t>
            </w:r>
          </w:p>
        </w:tc>
        <w:tc>
          <w:tcPr>
            <w:tcW w:w="1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40" w:type="dxa"/>
            <w:vAlign w:val="bottom"/>
            <w:tcBorders>
              <w:top w:val="single" w:sz="8" w:color="0000FF"/>
            </w:tcBorders>
            <w:shd w:val="clear" w:color="auto" w:fill="CCEEFF"/>
          </w:tcPr>
          <w:p>
            <w:pPr>
              <w:spacing w:after="0"/>
              <w:rPr>
                <w:sz w:val="14"/>
                <w:szCs w:val="14"/>
                <w:color w:val="auto"/>
              </w:rPr>
            </w:pPr>
          </w:p>
        </w:tc>
        <w:tc>
          <w:tcPr>
            <w:tcW w:w="5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46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1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20" w:type="dxa"/>
            <w:vAlign w:val="bottom"/>
            <w:gridSpan w:val="24"/>
          </w:tcPr>
          <w:p>
            <w:pPr>
              <w:spacing w:after="0" w:line="189" w:lineRule="exact"/>
              <w:rPr>
                <w:sz w:val="20"/>
                <w:szCs w:val="20"/>
                <w:color w:val="auto"/>
              </w:rPr>
            </w:pPr>
            <w:r>
              <w:rPr>
                <w:rFonts w:ascii="Arial" w:cs="Arial" w:eastAsia="Arial" w:hAnsi="Arial"/>
                <w:sz w:val="18"/>
                <w:szCs w:val="18"/>
                <w:color w:val="0000FF"/>
                <w:w w:val="94"/>
              </w:rPr>
              <w:t>Condensed Consolidated Statements of Comprehensive Loss for the Three and Nine Months Ended October 31, 2022 and</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80" w:type="dxa"/>
            <w:vAlign w:val="bottom"/>
            <w:tcBorders>
              <w:top w:val="single" w:sz="8" w:color="0000FF"/>
            </w:tcBorders>
            <w:gridSpan w:val="21"/>
          </w:tcPr>
          <w:p>
            <w:pPr>
              <w:spacing w:after="0" w:line="169" w:lineRule="exact"/>
              <w:rPr>
                <w:sz w:val="20"/>
                <w:szCs w:val="20"/>
                <w:color w:val="auto"/>
              </w:rPr>
            </w:pPr>
            <w:r>
              <w:rPr>
                <w:rFonts w:ascii="Arial" w:cs="Arial" w:eastAsia="Arial" w:hAnsi="Arial"/>
                <w:sz w:val="18"/>
                <w:szCs w:val="18"/>
                <w:color w:val="0000FF"/>
              </w:rPr>
              <w:t>October 31, 2021</w:t>
            </w:r>
          </w:p>
        </w:tc>
        <w:tc>
          <w:tcPr>
            <w:tcW w:w="2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2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w w:val="94"/>
              </w:rPr>
              <w:t>Condensed Consolidated Statements of Stockholders’ Equity for the Three and Nine Months Ended October 31. 2022 and</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0000FF"/>
              <w:bottom w:val="single" w:sz="8" w:color="0000FF"/>
            </w:tcBorders>
            <w:gridSpan w:val="5"/>
            <w:shd w:val="clear" w:color="auto" w:fill="CCEEFF"/>
          </w:tcPr>
          <w:p>
            <w:pPr>
              <w:spacing w:after="0" w:line="169" w:lineRule="exact"/>
              <w:rPr>
                <w:sz w:val="20"/>
                <w:szCs w:val="20"/>
                <w:color w:val="auto"/>
              </w:rPr>
            </w:pPr>
            <w:r>
              <w:rPr>
                <w:rFonts w:ascii="Arial" w:cs="Arial" w:eastAsia="Arial" w:hAnsi="Arial"/>
                <w:sz w:val="18"/>
                <w:szCs w:val="18"/>
                <w:color w:val="0000FF"/>
                <w:w w:val="89"/>
              </w:rPr>
              <w:t>October 31, 2021</w:t>
            </w:r>
          </w:p>
        </w:tc>
        <w:tc>
          <w:tcPr>
            <w:tcW w:w="754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4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4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20" w:type="dxa"/>
            <w:vAlign w:val="bottom"/>
            <w:gridSpan w:val="24"/>
          </w:tcPr>
          <w:p>
            <w:pPr>
              <w:spacing w:after="0" w:line="189" w:lineRule="exact"/>
              <w:rPr>
                <w:sz w:val="20"/>
                <w:szCs w:val="20"/>
                <w:color w:val="auto"/>
              </w:rPr>
            </w:pPr>
            <w:r>
              <w:rPr>
                <w:rFonts w:ascii="Arial" w:cs="Arial" w:eastAsia="Arial" w:hAnsi="Arial"/>
                <w:sz w:val="18"/>
                <w:szCs w:val="18"/>
                <w:color w:val="0000FF"/>
                <w:w w:val="95"/>
              </w:rPr>
              <w:t>Condensed Consolidated Statements of Cash Flows for the Nine Months Ended October 31, 2022 and October 31, 2021</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88"/>
              </w:rPr>
              <w:t>Notes to Condensed Consolidated Financial Statements</w:t>
            </w:r>
          </w:p>
        </w:tc>
        <w:tc>
          <w:tcPr>
            <w:tcW w:w="5220" w:type="dxa"/>
            <w:vAlign w:val="bottom"/>
            <w:tcBorders>
              <w:bottom w:val="single" w:sz="8" w:color="CCEEFF"/>
            </w:tcBorders>
            <w:gridSpan w:val="11"/>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Arial" w:cs="Arial" w:eastAsia="Arial" w:hAnsi="Arial"/>
                <w:sz w:val="18"/>
                <w:szCs w:val="18"/>
                <w:color w:val="0000FF"/>
              </w:rPr>
              <w:t>Item 2.</w:t>
            </w:r>
          </w:p>
        </w:tc>
        <w:tc>
          <w:tcPr>
            <w:tcW w:w="9220" w:type="dxa"/>
            <w:vAlign w:val="bottom"/>
            <w:gridSpan w:val="24"/>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0"/>
              </w:rPr>
              <w:t>Item 3.</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4320" w:type="dxa"/>
            <w:vAlign w:val="bottom"/>
            <w:tcBorders>
              <w:bottom w:val="single" w:sz="8" w:color="0000FF"/>
            </w:tcBorders>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1"/>
              </w:rPr>
              <w:t>Quantitative and Qualitative Disclosures about Market Risk</w:t>
            </w:r>
          </w:p>
        </w:tc>
        <w:tc>
          <w:tcPr>
            <w:tcW w:w="4900" w:type="dxa"/>
            <w:vAlign w:val="bottom"/>
            <w:tcBorders>
              <w:bottom w:val="single" w:sz="8" w:color="CCEEFF"/>
            </w:tcBorders>
            <w:gridSpan w:val="10"/>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Arial" w:cs="Arial" w:eastAsia="Arial" w:hAnsi="Arial"/>
                <w:sz w:val="18"/>
                <w:szCs w:val="18"/>
                <w:color w:val="0000FF"/>
              </w:rPr>
              <w:t>Item 4.</w:t>
            </w:r>
          </w:p>
        </w:tc>
        <w:tc>
          <w:tcPr>
            <w:tcW w:w="9220" w:type="dxa"/>
            <w:vAlign w:val="bottom"/>
            <w:gridSpan w:val="24"/>
          </w:tcPr>
          <w:p>
            <w:pPr>
              <w:spacing w:after="0" w:line="189" w:lineRule="exact"/>
              <w:rPr>
                <w:sz w:val="20"/>
                <w:szCs w:val="20"/>
                <w:color w:val="auto"/>
              </w:rPr>
            </w:pPr>
            <w:r>
              <w:rPr>
                <w:rFonts w:ascii="Arial" w:cs="Arial" w:eastAsia="Arial" w:hAnsi="Arial"/>
                <w:sz w:val="18"/>
                <w:szCs w:val="18"/>
                <w:color w:val="0000FF"/>
              </w:rPr>
              <w:t>Controls and Procedures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40" w:type="dxa"/>
            <w:vAlign w:val="bottom"/>
            <w:gridSpan w:val="13"/>
          </w:tcPr>
          <w:p>
            <w:pPr>
              <w:jc w:val="center"/>
              <w:ind w:right="3140"/>
              <w:spacing w:after="0" w:line="189" w:lineRule="exact"/>
              <w:rPr>
                <w:sz w:val="20"/>
                <w:szCs w:val="20"/>
                <w:color w:val="auto"/>
              </w:rPr>
            </w:pPr>
            <w:r>
              <w:rPr>
                <w:rFonts w:ascii="Arial" w:cs="Arial" w:eastAsia="Arial" w:hAnsi="Arial"/>
                <w:sz w:val="18"/>
                <w:szCs w:val="18"/>
                <w:color w:val="0000FF"/>
                <w:w w:val="96"/>
              </w:rPr>
              <w:t>PART II. OTHER INFORMATION</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Arial" w:cs="Arial" w:eastAsia="Arial" w:hAnsi="Arial"/>
                <w:sz w:val="18"/>
                <w:szCs w:val="18"/>
                <w:color w:val="0000FF"/>
              </w:rPr>
              <w:t>Item 1.</w:t>
            </w:r>
          </w:p>
        </w:tc>
        <w:tc>
          <w:tcPr>
            <w:tcW w:w="9220" w:type="dxa"/>
            <w:vAlign w:val="bottom"/>
            <w:gridSpan w:val="24"/>
          </w:tcPr>
          <w:p>
            <w:pPr>
              <w:spacing w:after="0" w:line="189" w:lineRule="exact"/>
              <w:rPr>
                <w:sz w:val="20"/>
                <w:szCs w:val="20"/>
                <w:color w:val="auto"/>
              </w:rPr>
            </w:pPr>
            <w:r>
              <w:rPr>
                <w:rFonts w:ascii="Arial" w:cs="Arial" w:eastAsia="Arial" w:hAnsi="Arial"/>
                <w:sz w:val="18"/>
                <w:szCs w:val="18"/>
                <w:color w:val="0000FF"/>
              </w:rPr>
              <w:t>Legal Proceedings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1A.</w:t>
            </w:r>
          </w:p>
        </w:tc>
        <w:tc>
          <w:tcPr>
            <w:tcW w:w="922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Arial" w:cs="Arial" w:eastAsia="Arial" w:hAnsi="Arial"/>
                <w:sz w:val="18"/>
                <w:szCs w:val="18"/>
                <w:color w:val="0000FF"/>
              </w:rPr>
              <w:t>Item 2.</w:t>
            </w:r>
          </w:p>
        </w:tc>
        <w:tc>
          <w:tcPr>
            <w:tcW w:w="320" w:type="dxa"/>
            <w:vAlign w:val="bottom"/>
          </w:tcPr>
          <w:p>
            <w:pPr>
              <w:spacing w:after="0"/>
              <w:rPr>
                <w:sz w:val="16"/>
                <w:szCs w:val="16"/>
                <w:color w:val="auto"/>
              </w:rPr>
            </w:pPr>
          </w:p>
        </w:tc>
        <w:tc>
          <w:tcPr>
            <w:tcW w:w="9220" w:type="dxa"/>
            <w:vAlign w:val="bottom"/>
            <w:gridSpan w:val="24"/>
          </w:tcPr>
          <w:p>
            <w:pPr>
              <w:spacing w:after="0" w:line="189" w:lineRule="exact"/>
              <w:rPr>
                <w:sz w:val="20"/>
                <w:szCs w:val="20"/>
                <w:color w:val="auto"/>
              </w:rPr>
            </w:pPr>
            <w:r>
              <w:rPr>
                <w:rFonts w:ascii="Arial" w:cs="Arial" w:eastAsia="Arial" w:hAnsi="Arial"/>
                <w:sz w:val="18"/>
                <w:szCs w:val="18"/>
                <w:color w:val="0000FF"/>
              </w:rPr>
              <w:t>Unregistered Shares of Equity Securities and Use of Proceeds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3.</w:t>
            </w:r>
          </w:p>
        </w:tc>
        <w:tc>
          <w:tcPr>
            <w:tcW w:w="440" w:type="dxa"/>
            <w:vAlign w:val="bottom"/>
            <w:gridSpan w:val="2"/>
            <w:shd w:val="clear" w:color="auto" w:fill="CCEEFF"/>
          </w:tcPr>
          <w:p>
            <w:pPr>
              <w:spacing w:after="0"/>
              <w:rPr>
                <w:sz w:val="20"/>
                <w:szCs w:val="20"/>
                <w:color w:val="auto"/>
              </w:rPr>
            </w:pPr>
          </w:p>
        </w:tc>
        <w:tc>
          <w:tcPr>
            <w:tcW w:w="922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0"/>
              </w:rPr>
              <w:t>Item 4.</w:t>
            </w:r>
          </w:p>
        </w:tc>
        <w:tc>
          <w:tcPr>
            <w:tcW w:w="440" w:type="dxa"/>
            <w:vAlign w:val="bottom"/>
            <w:tcBorders>
              <w:top w:val="single" w:sz="8" w:color="CCEEFF"/>
            </w:tcBorders>
            <w:gridSpan w:val="2"/>
          </w:tcPr>
          <w:p>
            <w:pPr>
              <w:spacing w:after="0"/>
              <w:rPr>
                <w:sz w:val="16"/>
                <w:szCs w:val="16"/>
                <w:color w:val="auto"/>
              </w:rPr>
            </w:pPr>
          </w:p>
        </w:tc>
        <w:tc>
          <w:tcPr>
            <w:tcW w:w="2320" w:type="dxa"/>
            <w:vAlign w:val="bottom"/>
            <w:tcBorders>
              <w:top w:val="single" w:sz="8" w:color="0000FF"/>
            </w:tcBorders>
            <w:gridSpan w:val="9"/>
          </w:tcPr>
          <w:p>
            <w:pPr>
              <w:spacing w:after="0" w:line="189" w:lineRule="exact"/>
              <w:rPr>
                <w:sz w:val="20"/>
                <w:szCs w:val="20"/>
                <w:color w:val="auto"/>
              </w:rPr>
            </w:pPr>
            <w:r>
              <w:rPr>
                <w:rFonts w:ascii="Arial" w:cs="Arial" w:eastAsia="Arial" w:hAnsi="Arial"/>
                <w:sz w:val="18"/>
                <w:szCs w:val="18"/>
                <w:color w:val="0000FF"/>
              </w:rPr>
              <w:t>Mine Safety Disclosures</w:t>
            </w:r>
          </w:p>
        </w:tc>
        <w:tc>
          <w:tcPr>
            <w:tcW w:w="6900" w:type="dxa"/>
            <w:vAlign w:val="bottom"/>
            <w:tcBorders>
              <w:top w:val="single" w:sz="8" w:color="CCEEFF"/>
            </w:tcBorders>
            <w:gridSpan w:val="15"/>
          </w:tcPr>
          <w:p>
            <w:pPr>
              <w:spacing w:after="0"/>
              <w:rPr>
                <w:sz w:val="16"/>
                <w:szCs w:val="16"/>
                <w:color w:val="auto"/>
              </w:rPr>
            </w:pPr>
          </w:p>
        </w:tc>
        <w:tc>
          <w:tcPr>
            <w:tcW w:w="10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0"/>
              </w:rPr>
              <w:t>Item 5.</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132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2"/>
              </w:rPr>
              <w:t>Other Information</w:t>
            </w:r>
          </w:p>
        </w:tc>
        <w:tc>
          <w:tcPr>
            <w:tcW w:w="7900" w:type="dxa"/>
            <w:vAlign w:val="bottom"/>
            <w:tcBorders>
              <w:bottom w:val="single" w:sz="8" w:color="CCEEFF"/>
            </w:tcBorders>
            <w:gridSpan w:val="18"/>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Arial" w:cs="Arial" w:eastAsia="Arial" w:hAnsi="Arial"/>
                <w:sz w:val="18"/>
                <w:szCs w:val="18"/>
                <w:color w:val="0000FF"/>
              </w:rPr>
              <w:t>Item 6.</w:t>
            </w:r>
          </w:p>
        </w:tc>
        <w:tc>
          <w:tcPr>
            <w:tcW w:w="9220" w:type="dxa"/>
            <w:vAlign w:val="bottom"/>
            <w:gridSpan w:val="24"/>
          </w:tcPr>
          <w:p>
            <w:pPr>
              <w:spacing w:after="0" w:line="189" w:lineRule="exact"/>
              <w:rPr>
                <w:sz w:val="20"/>
                <w:szCs w:val="20"/>
                <w:color w:val="auto"/>
              </w:rPr>
            </w:pPr>
            <w:r>
              <w:rPr>
                <w:rFonts w:ascii="Arial" w:cs="Arial" w:eastAsia="Arial" w:hAnsi="Arial"/>
                <w:sz w:val="18"/>
                <w:szCs w:val="18"/>
                <w:color w:val="0000FF"/>
              </w:rPr>
              <w:t>Exhibits</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2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82</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212" w:lineRule="exact"/>
        <w:rPr>
          <w:sz w:val="20"/>
          <w:szCs w:val="20"/>
          <w:color w:val="auto"/>
        </w:rPr>
      </w:pPr>
    </w:p>
    <w:p>
      <w:pPr>
        <w:jc w:val="both"/>
        <w:ind w:left="1140" w:hanging="322"/>
        <w:spacing w:after="0" w:line="263"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83" w:lineRule="exact"/>
        <w:rPr>
          <w:rFonts w:ascii="Arial" w:cs="Arial" w:eastAsia="Arial" w:hAnsi="Arial"/>
          <w:sz w:val="18"/>
          <w:szCs w:val="18"/>
          <w:color w:val="auto"/>
        </w:rPr>
      </w:pPr>
    </w:p>
    <w:p>
      <w:pPr>
        <w:ind w:left="1140" w:right="340" w:hanging="322"/>
        <w:spacing w:after="0" w:line="27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cloud platform;</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cloud platform;</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solutions, or enhancements to our existing solutions, and bring them to market in a timely manner;</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 and technology alliance partners;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and cash equivalents to meet cash needs for at least the next 12 months;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internationally;</w:t>
      </w:r>
    </w:p>
    <w:p>
      <w:pPr>
        <w:spacing w:after="0" w:line="225" w:lineRule="exact"/>
        <w:rPr>
          <w:rFonts w:ascii="Arial" w:cs="Arial" w:eastAsia="Arial" w:hAnsi="Arial"/>
          <w:sz w:val="18"/>
          <w:szCs w:val="18"/>
          <w:color w:val="auto"/>
        </w:rPr>
      </w:pPr>
    </w:p>
    <w:p>
      <w:pPr>
        <w:ind w:left="1140" w:right="360" w:hanging="322"/>
        <w:spacing w:after="0" w:line="27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maintain, and improve our internal control over financial reporting;</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macroeconomic factors, including instability in the global credit and financial markets;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close and integrate acquisitions to contribute to our growth objectives;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ectPr>
          <w:pgSz w:w="11900" w:h="16838" w:orient="portrait"/>
          <w:cols w:equalWidth="0" w:num="1">
            <w:col w:w="11200"/>
          </w:cols>
          <w:pgMar w:left="320" w:top="3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67" w:lineRule="exact"/>
        <w:rPr>
          <w:sz w:val="20"/>
          <w:szCs w:val="20"/>
          <w:color w:val="auto"/>
        </w:rPr>
      </w:pPr>
    </w:p>
    <w:p>
      <w:pPr>
        <w:ind w:right="60" w:firstLine="648"/>
        <w:spacing w:after="0" w:line="269" w:lineRule="auto"/>
        <w:rPr>
          <w:sz w:val="20"/>
          <w:szCs w:val="20"/>
          <w:color w:val="auto"/>
        </w:rPr>
      </w:pPr>
      <w:r>
        <w:rPr>
          <w:rFonts w:ascii="Arial" w:cs="Arial" w:eastAsia="Arial" w:hAnsi="Arial"/>
          <w:sz w:val="16"/>
          <w:szCs w:val="16"/>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jc w:val="both"/>
        <w:ind w:right="60" w:firstLine="648"/>
        <w:spacing w:after="0" w:line="238" w:lineRule="auto"/>
        <w:rPr>
          <w:sz w:val="20"/>
          <w:szCs w:val="20"/>
          <w:color w:val="auto"/>
        </w:rPr>
      </w:pPr>
      <w:r>
        <w:rPr>
          <w:rFonts w:ascii="Arial" w:cs="Arial" w:eastAsia="Arial" w:hAnsi="Arial"/>
          <w:sz w:val="18"/>
          <w:szCs w:val="18"/>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91" w:lineRule="exact"/>
        <w:rPr>
          <w:sz w:val="20"/>
          <w:szCs w:val="20"/>
          <w:color w:val="auto"/>
        </w:rPr>
      </w:pPr>
    </w:p>
    <w:p>
      <w:pPr>
        <w:ind w:left="1140" w:right="60" w:hanging="322"/>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and if we do not manage our future growth, our business and results of operations will be adversely affected.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be able to achieve or sustain profitability in the future.</w:t>
      </w:r>
    </w:p>
    <w:p>
      <w:pPr>
        <w:spacing w:after="0" w:line="225" w:lineRule="exact"/>
        <w:rPr>
          <w:rFonts w:ascii="Arial" w:cs="Arial" w:eastAsia="Arial" w:hAnsi="Arial"/>
          <w:sz w:val="18"/>
          <w:szCs w:val="18"/>
          <w:color w:val="auto"/>
        </w:rPr>
      </w:pPr>
    </w:p>
    <w:p>
      <w:pPr>
        <w:ind w:left="1140" w:right="600" w:hanging="322"/>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organizations do not adopt cloud-based SaaS-delivered endpoint security solutions, our ability to grow our business and results of operations may be adversely affected.</w:t>
      </w:r>
    </w:p>
    <w:p>
      <w:pPr>
        <w:spacing w:after="0" w:line="170" w:lineRule="exact"/>
        <w:rPr>
          <w:rFonts w:ascii="Arial" w:cs="Arial" w:eastAsia="Arial" w:hAnsi="Arial"/>
          <w:sz w:val="18"/>
          <w:szCs w:val="18"/>
          <w:color w:val="auto"/>
        </w:rPr>
      </w:pPr>
    </w:p>
    <w:p>
      <w:pPr>
        <w:ind w:left="1140" w:hanging="322"/>
        <w:spacing w:after="0" w:line="342" w:lineRule="auto"/>
        <w:tabs>
          <w:tab w:leader="none" w:pos="1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23" w:lineRule="exact"/>
        <w:rPr>
          <w:rFonts w:ascii="Arial" w:cs="Arial" w:eastAsia="Arial" w:hAnsi="Arial"/>
          <w:sz w:val="16"/>
          <w:szCs w:val="16"/>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attract new customers, our future results of operations could be harmed.</w:t>
      </w:r>
    </w:p>
    <w:p>
      <w:pPr>
        <w:spacing w:after="0" w:line="225"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customers do not renew their subscriptions for our products and add additional cloud modules to their subscriptions, our future results of operations could be harmed.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cycles can be long and unpredictable, and our sales efforts require considerable time and expense.</w:t>
      </w:r>
    </w:p>
    <w:p>
      <w:pPr>
        <w:spacing w:after="0" w:line="225" w:lineRule="exact"/>
        <w:rPr>
          <w:rFonts w:ascii="Arial" w:cs="Arial" w:eastAsia="Arial" w:hAnsi="Arial"/>
          <w:sz w:val="18"/>
          <w:szCs w:val="18"/>
          <w:color w:val="auto"/>
        </w:rPr>
      </w:pPr>
    </w:p>
    <w:p>
      <w:pPr>
        <w:ind w:left="1140" w:right="60" w:hanging="322"/>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 which could adversely affect our business, financial condition, and results of operations.</w:t>
      </w:r>
    </w:p>
    <w:p>
      <w:pPr>
        <w:spacing w:after="0" w:line="170" w:lineRule="exact"/>
        <w:rPr>
          <w:rFonts w:ascii="Arial" w:cs="Arial" w:eastAsia="Arial" w:hAnsi="Arial"/>
          <w:sz w:val="18"/>
          <w:szCs w:val="18"/>
          <w:color w:val="auto"/>
        </w:rPr>
      </w:pPr>
    </w:p>
    <w:p>
      <w:pPr>
        <w:ind w:left="1140" w:right="140" w:hanging="322"/>
        <w:spacing w:after="0" w:line="308" w:lineRule="auto"/>
        <w:tabs>
          <w:tab w:leader="none" w:pos="11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46" w:lineRule="exact"/>
        <w:rPr>
          <w:rFonts w:ascii="Arial" w:cs="Arial" w:eastAsia="Arial" w:hAnsi="Arial"/>
          <w:sz w:val="17"/>
          <w:szCs w:val="17"/>
          <w:color w:val="auto"/>
        </w:rPr>
      </w:pPr>
    </w:p>
    <w:p>
      <w:pPr>
        <w:ind w:left="1140" w:right="140" w:hanging="322"/>
        <w:spacing w:after="0" w:line="342" w:lineRule="auto"/>
        <w:tabs>
          <w:tab w:leader="none" w:pos="1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23" w:lineRule="exact"/>
        <w:rPr>
          <w:rFonts w:ascii="Arial" w:cs="Arial" w:eastAsia="Arial" w:hAnsi="Arial"/>
          <w:sz w:val="16"/>
          <w:szCs w:val="16"/>
          <w:color w:val="auto"/>
        </w:rPr>
      </w:pPr>
    </w:p>
    <w:p>
      <w:pPr>
        <w:ind w:left="1140" w:right="80" w:hanging="322"/>
        <w:spacing w:after="0" w:line="263"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our key technical, sales and management personnel to grow our business, and the loss of one or more key employees could harm our business.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attract and retain qualified personnel, our business could be harmed.</w:t>
      </w:r>
    </w:p>
    <w:p>
      <w:pPr>
        <w:spacing w:after="0" w:line="225" w:lineRule="exact"/>
        <w:rPr>
          <w:rFonts w:ascii="Arial" w:cs="Arial" w:eastAsia="Arial" w:hAnsi="Arial"/>
          <w:sz w:val="18"/>
          <w:szCs w:val="18"/>
          <w:color w:val="auto"/>
        </w:rPr>
      </w:pPr>
    </w:p>
    <w:p>
      <w:pPr>
        <w:ind w:left="1140" w:right="120" w:hanging="322"/>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which could make our future results difficult to predict and could cause our results of operations to fall below expectations.</w:t>
      </w:r>
    </w:p>
    <w:p>
      <w:pPr>
        <w:spacing w:after="0" w:line="170" w:lineRule="exact"/>
        <w:rPr>
          <w:rFonts w:ascii="Arial" w:cs="Arial" w:eastAsia="Arial" w:hAnsi="Arial"/>
          <w:sz w:val="18"/>
          <w:szCs w:val="18"/>
          <w:color w:val="auto"/>
        </w:rPr>
      </w:pPr>
    </w:p>
    <w:p>
      <w:pPr>
        <w:ind w:left="1140" w:right="460" w:hanging="322"/>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70" w:lineRule="exact"/>
        <w:rPr>
          <w:rFonts w:ascii="Arial" w:cs="Arial" w:eastAsia="Arial" w:hAnsi="Arial"/>
          <w:sz w:val="18"/>
          <w:szCs w:val="18"/>
          <w:color w:val="auto"/>
        </w:rPr>
      </w:pPr>
    </w:p>
    <w:p>
      <w:pPr>
        <w:ind w:left="1140" w:right="820" w:hanging="322"/>
        <w:spacing w:after="0" w:line="308" w:lineRule="auto"/>
        <w:tabs>
          <w:tab w:leader="none" w:pos="11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not able to comply with applicable data protection, security, privacy, and other government- and industry-specific laws, regulations, standards or requirements, our business, results of operations, and financial condition could be harmed.</w:t>
      </w:r>
    </w:p>
    <w:p>
      <w:pPr>
        <w:spacing w:after="0" w:line="146" w:lineRule="exact"/>
        <w:rPr>
          <w:rFonts w:ascii="Arial" w:cs="Arial" w:eastAsia="Arial" w:hAnsi="Arial"/>
          <w:sz w:val="17"/>
          <w:szCs w:val="17"/>
          <w:color w:val="auto"/>
        </w:rPr>
      </w:pPr>
    </w:p>
    <w:p>
      <w:pPr>
        <w:ind w:left="1140" w:right="40" w:hanging="322"/>
        <w:spacing w:after="0" w:line="342" w:lineRule="auto"/>
        <w:tabs>
          <w:tab w:leader="none" w:pos="1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31,</w:t>
            </w:r>
          </w:p>
        </w:tc>
        <w:tc>
          <w:tcPr>
            <w:tcW w:w="26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2,466,551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1,996,633</w:t>
            </w:r>
          </w:p>
        </w:tc>
        <w:tc>
          <w:tcPr>
            <w:tcW w:w="0" w:type="dxa"/>
            <w:vAlign w:val="bottom"/>
          </w:tcPr>
          <w:p>
            <w:pPr>
              <w:spacing w:after="0"/>
              <w:rPr>
                <w:sz w:val="1"/>
                <w:szCs w:val="1"/>
                <w:color w:val="auto"/>
              </w:rPr>
            </w:pPr>
          </w:p>
        </w:tc>
      </w:tr>
      <w:tr>
        <w:trPr>
          <w:trHeight w:val="135"/>
        </w:trPr>
        <w:tc>
          <w:tcPr>
            <w:tcW w:w="8100" w:type="dxa"/>
            <w:vAlign w:val="bottom"/>
          </w:tcPr>
          <w:p>
            <w:pPr>
              <w:ind w:left="140"/>
              <w:spacing w:after="0" w:line="135" w:lineRule="exact"/>
              <w:rPr>
                <w:sz w:val="20"/>
                <w:szCs w:val="20"/>
                <w:color w:val="auto"/>
              </w:rPr>
            </w:pPr>
            <w:r>
              <w:rPr>
                <w:rFonts w:ascii="Arial" w:cs="Arial" w:eastAsia="Arial" w:hAnsi="Arial"/>
                <w:sz w:val="14"/>
                <w:szCs w:val="14"/>
                <w:color w:val="auto"/>
                <w:w w:val="97"/>
              </w:rPr>
              <w:t>Accounts receivable, net of allowance for credit losses of $2.5 million and $1.6 million as of October 31, 2022 and January 31, 2022,</w:t>
            </w:r>
          </w:p>
        </w:tc>
        <w:tc>
          <w:tcPr>
            <w:tcW w:w="2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485,313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368,145</w:t>
            </w:r>
          </w:p>
        </w:tc>
        <w:tc>
          <w:tcPr>
            <w:tcW w:w="0" w:type="dxa"/>
            <w:vAlign w:val="bottom"/>
          </w:tcPr>
          <w:p>
            <w:pPr>
              <w:spacing w:after="0"/>
              <w:rPr>
                <w:sz w:val="1"/>
                <w:szCs w:val="1"/>
                <w:color w:val="auto"/>
              </w:rPr>
            </w:pPr>
          </w:p>
        </w:tc>
      </w:tr>
      <w:tr>
        <w:trPr>
          <w:trHeight w:val="199"/>
        </w:trPr>
        <w:tc>
          <w:tcPr>
            <w:tcW w:w="810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contract acquisition costs, current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126,822</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79,352</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3,203,613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2,570,952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4"/>
                <w:szCs w:val="14"/>
                <w:color w:val="auto"/>
              </w:rPr>
              <w:t>Strategic investments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46,395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23,632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260,577</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31,735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192,358</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430,285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416,445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97,336</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25,346</w:t>
            </w: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4,469,443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3,618,381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89,289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47,634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83,382</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4"/>
                <w:szCs w:val="14"/>
                <w:color w:val="auto"/>
              </w:rPr>
              <w:t>Accrued payroll and benefits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122,558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104,563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current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9,820</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1,483,223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1,136,502</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24,929</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1,817,053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1,406,830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740,633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739,517</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532,316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392,819</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25,379</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noncurrent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16,193</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3,131,811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2,580,738</w:t>
            </w:r>
          </w:p>
        </w:tc>
        <w:tc>
          <w:tcPr>
            <w:tcW w:w="0" w:type="dxa"/>
            <w:vAlign w:val="bottom"/>
          </w:tcPr>
          <w:p>
            <w:pPr>
              <w:spacing w:after="0"/>
              <w:rPr>
                <w:sz w:val="1"/>
                <w:szCs w:val="1"/>
                <w:color w:val="auto"/>
              </w:rPr>
            </w:pPr>
          </w:p>
        </w:tc>
      </w:tr>
      <w:tr>
        <w:trPr>
          <w:trHeight w:val="162"/>
        </w:trPr>
        <w:tc>
          <w:tcPr>
            <w:tcW w:w="810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100" w:type="dxa"/>
            <w:vAlign w:val="bottom"/>
          </w:tcPr>
          <w:p>
            <w:pPr>
              <w:ind w:left="20"/>
              <w:spacing w:after="0" w:line="135" w:lineRule="exact"/>
              <w:rPr>
                <w:sz w:val="20"/>
                <w:szCs w:val="20"/>
                <w:color w:val="auto"/>
              </w:rPr>
            </w:pPr>
            <w:r>
              <w:rPr>
                <w:rFonts w:ascii="Arial" w:cs="Arial" w:eastAsia="Arial" w:hAnsi="Arial"/>
                <w:sz w:val="14"/>
                <w:szCs w:val="14"/>
                <w:color w:val="auto"/>
                <w:w w:val="98"/>
              </w:rPr>
              <w:t>Preferred stock, $0.0005 par value; 100,000 shares authorized as of October 31, 2022 and January 31, 2022; no shares issued and</w:t>
            </w:r>
          </w:p>
        </w:tc>
        <w:tc>
          <w:tcPr>
            <w:tcW w:w="26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100" w:type="dxa"/>
            <w:vAlign w:val="bottom"/>
          </w:tcPr>
          <w:p>
            <w:pPr>
              <w:ind w:left="20"/>
              <w:spacing w:after="0"/>
              <w:rPr>
                <w:sz w:val="20"/>
                <w:szCs w:val="20"/>
                <w:color w:val="auto"/>
              </w:rPr>
            </w:pPr>
            <w:r>
              <w:rPr>
                <w:rFonts w:ascii="Arial" w:cs="Arial" w:eastAsia="Arial" w:hAnsi="Arial"/>
                <w:sz w:val="14"/>
                <w:szCs w:val="14"/>
                <w:color w:val="auto"/>
              </w:rPr>
              <w:t>outstanding as of October 31, 2022 and January 31, 2022.</w:t>
            </w:r>
          </w:p>
        </w:tc>
        <w:tc>
          <w:tcPr>
            <w:tcW w:w="2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3"/>
              </w:rPr>
              <w:t>Class A common stock, $0.0005 par value; 2,000,000 shares authorized as of October 31, 2022 and January 31, 2022; 218,245 shares and</w:t>
            </w: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1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209,996 shares issued and outstanding as of October 31, 2022 and January 31, 2022, respectively; Class B common stock, $0.0005 par</w:t>
            </w: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2"/>
              </w:rPr>
              <w:t>value; 300,000 shares authorized as of October 31, 2022 and January 31, 2022; 16,116 shares and 20,710 shares issued and outstanding as</w:t>
            </w:r>
          </w:p>
        </w:tc>
        <w:tc>
          <w:tcPr>
            <w:tcW w:w="2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October 31, 2022 and January 31, 2022, respectively.</w:t>
            </w:r>
          </w:p>
        </w:tc>
        <w:tc>
          <w:tcPr>
            <w:tcW w:w="2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2,424,038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1,991,807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(964,918)</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CrowdStrike Holdings, Inc. stockholders’ equity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1,314,289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1,025,764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11,879</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1,337,632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1,037,643</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4,469,443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3,618,381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October 31,</w:t>
            </w:r>
          </w:p>
        </w:tc>
        <w:tc>
          <w:tcPr>
            <w:tcW w:w="320" w:type="dxa"/>
            <w:vAlign w:val="bottom"/>
          </w:tcPr>
          <w:p>
            <w:pPr>
              <w:spacing w:after="0"/>
              <w:rPr>
                <w:sz w:val="16"/>
                <w:szCs w:val="16"/>
                <w:color w:val="auto"/>
              </w:rPr>
            </w:pPr>
          </w:p>
        </w:tc>
        <w:tc>
          <w:tcPr>
            <w:tcW w:w="28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547,376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357,030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1,513,397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954,094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66,490</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1,020,584</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226,360</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44,241</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270,601</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749,983</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239,672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657,970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453,952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266,265</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148,780</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868,997</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(119,014)</w:t>
            </w: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(18,929)</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(116,265)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(131,866)</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58,773</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(133,353)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(190,639)</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Net loss attributable to CrowdStrike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(135,764)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(192,822)</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rPr>
              <w:t>Net loss per share attributable to CrowdStrike common</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21"/>
        </w:trPr>
        <w:tc>
          <w:tcPr>
            <w:tcW w:w="4780" w:type="dxa"/>
            <w:vAlign w:val="bottom"/>
          </w:tcPr>
          <w:p>
            <w:pPr>
              <w:ind w:left="20"/>
              <w:spacing w:after="0"/>
              <w:rPr>
                <w:sz w:val="20"/>
                <w:szCs w:val="20"/>
                <w:color w:val="auto"/>
              </w:rPr>
            </w:pPr>
            <w:r>
              <w:rPr>
                <w:rFonts w:ascii="Arial" w:cs="Arial" w:eastAsia="Arial" w:hAnsi="Arial"/>
                <w:sz w:val="18"/>
                <w:szCs w:val="18"/>
                <w:color w:val="auto"/>
              </w:rPr>
              <w:t>stockholders, basic and diluted</w:t>
            </w:r>
          </w:p>
        </w:tc>
        <w:tc>
          <w:tcPr>
            <w:tcW w:w="3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w w:val="93"/>
              </w:rPr>
              <w:t>Weighted-average shares used in computing net loss per share</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780" w:type="dxa"/>
            <w:vAlign w:val="bottom"/>
          </w:tcPr>
          <w:p>
            <w:pPr>
              <w:ind w:left="20"/>
              <w:spacing w:after="0" w:line="189" w:lineRule="exact"/>
              <w:rPr>
                <w:sz w:val="20"/>
                <w:szCs w:val="20"/>
                <w:color w:val="auto"/>
              </w:rPr>
            </w:pPr>
            <w:r>
              <w:rPr>
                <w:rFonts w:ascii="Arial" w:cs="Arial" w:eastAsia="Arial" w:hAnsi="Arial"/>
                <w:sz w:val="18"/>
                <w:szCs w:val="18"/>
                <w:color w:val="auto"/>
                <w:w w:val="98"/>
              </w:rPr>
              <w:t>attributable to CrowdStrike common stockholders, basic and</w:t>
            </w:r>
          </w:p>
        </w:tc>
        <w:tc>
          <w:tcPr>
            <w:tcW w:w="3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233,785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228,293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232,502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226,292</w:t>
            </w: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80"/>
          </w:cols>
          <w:pgMar w:left="320" w:top="34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282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8"/>
              </w:rPr>
              <w:t>Nine Months Ended October 31,</w:t>
            </w:r>
          </w:p>
        </w:tc>
      </w:tr>
      <w:tr>
        <w:trPr>
          <w:trHeight w:val="210"/>
        </w:trPr>
        <w:tc>
          <w:tcPr>
            <w:tcW w:w="49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(190,639)</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23"/>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r>
      <w:tr>
        <w:trPr>
          <w:trHeight w:val="223"/>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Less: Comprehensive income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23"/>
        </w:trPr>
        <w:tc>
          <w:tcPr>
            <w:tcW w:w="4980" w:type="dxa"/>
            <w:vAlign w:val="bottom"/>
          </w:tcPr>
          <w:p>
            <w:pPr>
              <w:ind w:left="40"/>
              <w:spacing w:after="0"/>
              <w:rPr>
                <w:sz w:val="20"/>
                <w:szCs w:val="20"/>
                <w:color w:val="auto"/>
              </w:rPr>
            </w:pPr>
            <w:r>
              <w:rPr>
                <w:rFonts w:ascii="Arial" w:cs="Arial" w:eastAsia="Arial" w:hAnsi="Arial"/>
                <w:sz w:val="18"/>
                <w:szCs w:val="18"/>
                <w:color w:val="auto"/>
              </w:rPr>
              <w:t>Total comprehensive loss attributable to CrowdStrike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(194,256)</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CrowdStrike Holdings, Inc.</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Three Months Ended October 31, 2022 and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tcPr>
          <w:p>
            <w:pPr>
              <w:ind w:left="20"/>
              <w:spacing w:after="0" w:line="61" w:lineRule="exact"/>
              <w:rPr>
                <w:sz w:val="20"/>
                <w:szCs w:val="20"/>
                <w:color w:val="auto"/>
              </w:rPr>
            </w:pPr>
            <w:r>
              <w:rPr>
                <w:rFonts w:ascii="Arial" w:cs="Arial" w:eastAsia="Arial" w:hAnsi="Arial"/>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Accumulated</w:t>
            </w:r>
          </w:p>
        </w:tc>
        <w:tc>
          <w:tcPr>
            <w:tcW w:w="1300" w:type="dxa"/>
            <w:vAlign w:val="bottom"/>
            <w:gridSpan w:val="3"/>
          </w:tcPr>
          <w:p>
            <w:pPr>
              <w:jc w:val="center"/>
              <w:ind w:right="120"/>
              <w:spacing w:after="0" w:line="61" w:lineRule="exact"/>
              <w:rPr>
                <w:sz w:val="20"/>
                <w:szCs w:val="20"/>
                <w:color w:val="auto"/>
              </w:rPr>
            </w:pPr>
            <w:r>
              <w:rPr>
                <w:rFonts w:ascii="Arial" w:cs="Arial" w:eastAsia="Arial" w:hAnsi="Arial"/>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Arial" w:cs="Arial" w:eastAsia="Arial" w:hAnsi="Arial"/>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July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233,368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2,276,704</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(1,045,726)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17,928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1,243,347</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1,478</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Issuance of common stock for restricted stock awards</w:t>
            </w:r>
          </w:p>
        </w:tc>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options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w w:val="99"/>
              </w:rPr>
              <w:t>Issuance of common stock for founders holdbacks related to</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1,201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1,201</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acquisitions</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138,453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138,453</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5,419</w:t>
            </w:r>
          </w:p>
        </w:tc>
        <w:tc>
          <w:tcPr>
            <w:tcW w:w="0" w:type="dxa"/>
            <w:vAlign w:val="bottom"/>
          </w:tcPr>
          <w:p>
            <w:pPr>
              <w:spacing w:after="0"/>
              <w:rPr>
                <w:sz w:val="1"/>
                <w:szCs w:val="1"/>
                <w:color w:val="auto"/>
              </w:rPr>
            </w:pPr>
          </w:p>
        </w:tc>
      </w:tr>
      <w:tr>
        <w:trPr>
          <w:trHeight w:val="145"/>
        </w:trPr>
        <w:tc>
          <w:tcPr>
            <w:tcW w:w="35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Fair value of replacement equity awards attributable to pre-</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service</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(54,956)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(54,631)</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5,090</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(3,509)</w:t>
            </w:r>
          </w:p>
        </w:tc>
        <w:tc>
          <w:tcPr>
            <w:tcW w:w="0" w:type="dxa"/>
            <w:vAlign w:val="bottom"/>
          </w:tcPr>
          <w:p>
            <w:pPr>
              <w:spacing w:after="0"/>
              <w:rPr>
                <w:sz w:val="1"/>
                <w:szCs w:val="1"/>
                <w:color w:val="auto"/>
              </w:rPr>
            </w:pPr>
          </w:p>
        </w:tc>
      </w:tr>
      <w:tr>
        <w:trPr>
          <w:trHeight w:val="214"/>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October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234,361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2,424,038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(1,100,682)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1,337,632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 Other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tcPr>
          <w:p>
            <w:pPr>
              <w:ind w:left="20"/>
              <w:spacing w:after="0" w:line="61" w:lineRule="exact"/>
              <w:rPr>
                <w:sz w:val="20"/>
                <w:szCs w:val="20"/>
                <w:color w:val="auto"/>
              </w:rPr>
            </w:pPr>
            <w:r>
              <w:rPr>
                <w:rFonts w:ascii="Arial" w:cs="Arial" w:eastAsia="Arial" w:hAnsi="Arial"/>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Arial" w:cs="Arial" w:eastAsia="Arial" w:hAnsi="Arial"/>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Arial" w:cs="Arial" w:eastAsia="Arial" w:hAnsi="Arial"/>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July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228,152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1,775,087</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(872,483)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911,401</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2,580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2,580</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Vesting of early exercised options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795</w:t>
            </w:r>
          </w:p>
        </w:tc>
        <w:tc>
          <w:tcPr>
            <w:tcW w:w="0" w:type="dxa"/>
            <w:vAlign w:val="bottom"/>
          </w:tcPr>
          <w:p>
            <w:pPr>
              <w:spacing w:after="0"/>
              <w:rPr>
                <w:sz w:val="1"/>
                <w:szCs w:val="1"/>
                <w:color w:val="auto"/>
              </w:rPr>
            </w:pPr>
          </w:p>
        </w:tc>
      </w:tr>
      <w:tr>
        <w:trPr>
          <w:trHeight w:val="145"/>
        </w:trPr>
        <w:tc>
          <w:tcPr>
            <w:tcW w:w="35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w w:val="99"/>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0" w:type="dxa"/>
            <w:vAlign w:val="bottom"/>
          </w:tcPr>
          <w:p>
            <w:pPr>
              <w:spacing w:after="0"/>
              <w:rPr>
                <w:sz w:val="1"/>
                <w:szCs w:val="1"/>
                <w:color w:val="auto"/>
              </w:rPr>
            </w:pPr>
          </w:p>
        </w:tc>
      </w:tr>
      <w:tr>
        <w:trPr>
          <w:trHeight w:val="18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85,706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85,706</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3,086</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(50,455)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(50,450)</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214"/>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October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229,297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1,870,120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(922,938)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959,570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CrowdStrike Holdings, Inc.</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Nine Months Ended October 31, 2022 and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tcPr>
          <w:p>
            <w:pPr>
              <w:ind w:left="20"/>
              <w:spacing w:after="0" w:line="61" w:lineRule="exact"/>
              <w:rPr>
                <w:sz w:val="20"/>
                <w:szCs w:val="20"/>
                <w:color w:val="auto"/>
              </w:rPr>
            </w:pPr>
            <w:r>
              <w:rPr>
                <w:rFonts w:ascii="Arial" w:cs="Arial" w:eastAsia="Arial" w:hAnsi="Arial"/>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Accumulated</w:t>
            </w:r>
          </w:p>
        </w:tc>
        <w:tc>
          <w:tcPr>
            <w:tcW w:w="1300" w:type="dxa"/>
            <w:vAlign w:val="bottom"/>
            <w:gridSpan w:val="3"/>
          </w:tcPr>
          <w:p>
            <w:pPr>
              <w:jc w:val="center"/>
              <w:ind w:right="120"/>
              <w:spacing w:after="0" w:line="61" w:lineRule="exact"/>
              <w:rPr>
                <w:sz w:val="20"/>
                <w:szCs w:val="20"/>
                <w:color w:val="auto"/>
              </w:rPr>
            </w:pPr>
            <w:r>
              <w:rPr>
                <w:rFonts w:ascii="Arial" w:cs="Arial" w:eastAsia="Arial" w:hAnsi="Arial"/>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Arial" w:cs="Arial" w:eastAsia="Arial" w:hAnsi="Arial"/>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Deficit</w:t>
            </w: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January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230,706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1,991,807</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(964,918)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11,879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1,037,643</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Arial" w:cs="Arial" w:eastAsia="Arial" w:hAnsi="Arial"/>
                <w:sz w:val="13"/>
                <w:szCs w:val="13"/>
                <w:color w:val="auto"/>
              </w:rPr>
              <w:t>779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6,394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6,396</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34,445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34,445</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for restricted stock awards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Vesting of early exercised options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2,204</w:t>
            </w:r>
          </w:p>
        </w:tc>
        <w:tc>
          <w:tcPr>
            <w:tcW w:w="0" w:type="dxa"/>
            <w:vAlign w:val="bottom"/>
          </w:tcPr>
          <w:p>
            <w:pPr>
              <w:spacing w:after="0"/>
              <w:rPr>
                <w:sz w:val="1"/>
                <w:szCs w:val="1"/>
                <w:color w:val="auto"/>
              </w:rPr>
            </w:pPr>
          </w:p>
        </w:tc>
      </w:tr>
      <w:tr>
        <w:trPr>
          <w:trHeight w:val="145"/>
        </w:trPr>
        <w:tc>
          <w:tcPr>
            <w:tcW w:w="35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w w:val="99"/>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6,328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6,328</w:t>
            </w:r>
          </w:p>
        </w:tc>
        <w:tc>
          <w:tcPr>
            <w:tcW w:w="0" w:type="dxa"/>
            <w:vAlign w:val="bottom"/>
          </w:tcPr>
          <w:p>
            <w:pPr>
              <w:spacing w:after="0"/>
              <w:rPr>
                <w:sz w:val="1"/>
                <w:szCs w:val="1"/>
                <w:color w:val="auto"/>
              </w:rPr>
            </w:pPr>
          </w:p>
        </w:tc>
      </w:tr>
      <w:tr>
        <w:trPr>
          <w:trHeight w:val="18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369,012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369,012</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13,798</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rPr>
              <w:t>Fair value of replacement equity awards attributable to pre-</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acquisition service</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(133,353)</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9,053</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(7,944)</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Balances at October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234,361</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2,424,038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(1,100,682)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(9,184)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23,343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1,337,632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 Other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tcPr>
          <w:p>
            <w:pPr>
              <w:ind w:left="20"/>
              <w:spacing w:after="0" w:line="61" w:lineRule="exact"/>
              <w:rPr>
                <w:sz w:val="20"/>
                <w:szCs w:val="20"/>
                <w:color w:val="auto"/>
              </w:rPr>
            </w:pPr>
            <w:r>
              <w:rPr>
                <w:rFonts w:ascii="Arial" w:cs="Arial" w:eastAsia="Arial" w:hAnsi="Arial"/>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Arial" w:cs="Arial" w:eastAsia="Arial" w:hAnsi="Arial"/>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Arial" w:cs="Arial" w:eastAsia="Arial" w:hAnsi="Arial"/>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Income</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at January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223,724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1,598,259</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(730,116)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871,874</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Arial" w:cs="Arial" w:eastAsia="Arial" w:hAnsi="Arial"/>
                <w:sz w:val="13"/>
                <w:szCs w:val="13"/>
                <w:color w:val="auto"/>
              </w:rPr>
              <w:t>2,136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12,794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12,796</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689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27,452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27,452</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for restricted stock awards</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Vesting of early exercised options</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2,389</w:t>
            </w:r>
          </w:p>
        </w:tc>
        <w:tc>
          <w:tcPr>
            <w:tcW w:w="0" w:type="dxa"/>
            <w:vAlign w:val="bottom"/>
          </w:tcPr>
          <w:p>
            <w:pPr>
              <w:spacing w:after="0"/>
              <w:rPr>
                <w:sz w:val="1"/>
                <w:szCs w:val="1"/>
                <w:color w:val="auto"/>
              </w:rPr>
            </w:pPr>
          </w:p>
        </w:tc>
      </w:tr>
      <w:tr>
        <w:trPr>
          <w:trHeight w:val="145"/>
        </w:trPr>
        <w:tc>
          <w:tcPr>
            <w:tcW w:w="35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w w:val="99"/>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0" w:type="dxa"/>
            <w:vAlign w:val="bottom"/>
          </w:tcPr>
          <w:p>
            <w:pPr>
              <w:spacing w:after="0"/>
              <w:rPr>
                <w:sz w:val="1"/>
                <w:szCs w:val="1"/>
                <w:color w:val="auto"/>
              </w:rPr>
            </w:pPr>
          </w:p>
        </w:tc>
      </w:tr>
      <w:tr>
        <w:trPr>
          <w:trHeight w:val="18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214,716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214,716</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7,633</w:t>
            </w:r>
          </w:p>
        </w:tc>
        <w:tc>
          <w:tcPr>
            <w:tcW w:w="0" w:type="dxa"/>
            <w:vAlign w:val="bottom"/>
          </w:tcPr>
          <w:p>
            <w:pPr>
              <w:spacing w:after="0"/>
              <w:rPr>
                <w:sz w:val="1"/>
                <w:szCs w:val="1"/>
                <w:color w:val="auto"/>
              </w:rPr>
            </w:pPr>
          </w:p>
        </w:tc>
      </w:tr>
      <w:tr>
        <w:trPr>
          <w:trHeight w:val="138"/>
        </w:trPr>
        <w:tc>
          <w:tcPr>
            <w:tcW w:w="3500" w:type="dxa"/>
            <w:vAlign w:val="bottom"/>
          </w:tcPr>
          <w:p>
            <w:pPr>
              <w:ind w:left="20"/>
              <w:spacing w:after="0" w:line="138" w:lineRule="exact"/>
              <w:rPr>
                <w:sz w:val="20"/>
                <w:szCs w:val="20"/>
                <w:color w:val="auto"/>
              </w:rPr>
            </w:pPr>
            <w:r>
              <w:rPr>
                <w:rFonts w:ascii="Arial" w:cs="Arial" w:eastAsia="Arial" w:hAnsi="Arial"/>
                <w:sz w:val="13"/>
                <w:szCs w:val="13"/>
                <w:color w:val="auto"/>
              </w:rPr>
              <w:t>Fair value of replacement equity awards attributable to pre-</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4,011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4,011</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Arial" w:cs="Arial" w:eastAsia="Arial" w:hAnsi="Arial"/>
                <w:sz w:val="13"/>
                <w:szCs w:val="13"/>
                <w:color w:val="auto"/>
              </w:rPr>
              <w:t>acquisition service</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(190,639)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7,905</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Balances at October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229,297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1,870,120</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(922,938)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11,388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959,570</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CrowdStrike Holdings, Inc.</w:t>
      </w:r>
    </w:p>
    <w:p>
      <w:pPr>
        <w:ind w:left="4060"/>
        <w:spacing w:after="0" w:line="206" w:lineRule="auto"/>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21" w:lineRule="auto"/>
        <w:rPr>
          <w:sz w:val="20"/>
          <w:szCs w:val="20"/>
          <w:color w:val="auto"/>
        </w:rPr>
      </w:pPr>
      <w:r>
        <w:rPr>
          <w:rFonts w:ascii="Arial" w:cs="Arial" w:eastAsia="Arial" w:hAnsi="Arial"/>
          <w:sz w:val="14"/>
          <w:szCs w:val="14"/>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0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rPr>
              <w:t>Nine Months Ended October 31,</w:t>
            </w:r>
          </w:p>
        </w:tc>
        <w:tc>
          <w:tcPr>
            <w:tcW w:w="600" w:type="dxa"/>
            <w:vAlign w:val="bottom"/>
            <w:tcBorders>
              <w:bottom w:val="single" w:sz="8" w:color="auto"/>
            </w:tcBorders>
          </w:tcPr>
          <w:p>
            <w:pPr>
              <w:spacing w:after="0"/>
              <w:rPr>
                <w:sz w:val="15"/>
                <w:szCs w:val="15"/>
                <w:color w:val="auto"/>
              </w:rPr>
            </w:pPr>
          </w:p>
        </w:tc>
      </w:tr>
      <w:tr>
        <w:trPr>
          <w:trHeight w:val="170"/>
        </w:trPr>
        <w:tc>
          <w:tcPr>
            <w:tcW w:w="8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4"/>
                <w:szCs w:val="14"/>
                <w:color w:val="auto"/>
              </w:rPr>
            </w:pPr>
          </w:p>
        </w:tc>
      </w:tr>
      <w:tr>
        <w:trPr>
          <w:trHeight w:val="16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(133,353)</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(190,639)</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53,622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39,506</w:t>
            </w: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intangible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9,072</w:t>
            </w: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Amortization of 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121,550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79,712</w:t>
            </w: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operating lease cost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6,727</w:t>
            </w: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374,157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217,315</w:t>
            </w: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w:t>
            </w: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Non-cash interest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2,077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1,824</w:t>
            </w:r>
          </w:p>
        </w:tc>
      </w:tr>
      <w:tr>
        <w:trPr>
          <w:trHeight w:val="183"/>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(4,356)</w:t>
            </w:r>
          </w:p>
        </w:tc>
      </w:tr>
      <w:tr>
        <w:trPr>
          <w:trHeight w:val="168"/>
        </w:trPr>
        <w:tc>
          <w:tcPr>
            <w:tcW w:w="8100" w:type="dxa"/>
            <w:vAlign w:val="bottom"/>
          </w:tcPr>
          <w:p>
            <w:pPr>
              <w:ind w:left="140"/>
              <w:spacing w:after="0"/>
              <w:rPr>
                <w:sz w:val="20"/>
                <w:szCs w:val="20"/>
                <w:color w:val="auto"/>
              </w:rPr>
            </w:pPr>
            <w:r>
              <w:rPr>
                <w:rFonts w:ascii="Arial" w:cs="Arial" w:eastAsia="Arial" w:hAnsi="Arial"/>
                <w:sz w:val="13"/>
                <w:szCs w:val="13"/>
                <w:color w:val="auto"/>
              </w:rPr>
              <w:t>Changes in operating assets and liabilities, net of impact of acquisitions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receivable, net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(117,240)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(40,644)</w:t>
            </w:r>
          </w:p>
        </w:tc>
      </w:tr>
      <w:tr>
        <w:trPr>
          <w:trHeight w:val="168"/>
        </w:trPr>
        <w:tc>
          <w:tcPr>
            <w:tcW w:w="8100" w:type="dxa"/>
            <w:vAlign w:val="bottom"/>
          </w:tcPr>
          <w:p>
            <w:pPr>
              <w:ind w:left="220"/>
              <w:spacing w:after="0"/>
              <w:rPr>
                <w:sz w:val="20"/>
                <w:szCs w:val="20"/>
                <w:color w:val="auto"/>
              </w:rPr>
            </w:pPr>
            <w:r>
              <w:rPr>
                <w:rFonts w:ascii="Arial" w:cs="Arial" w:eastAsia="Arial" w:hAnsi="Arial"/>
                <w:sz w:val="13"/>
                <w:szCs w:val="13"/>
                <w:color w:val="auto"/>
              </w:rPr>
              <w:t>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(183,265)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(151,901)</w:t>
            </w: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expenses and other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(8,051)</w:t>
            </w:r>
          </w:p>
        </w:tc>
      </w:tr>
      <w:tr>
        <w:trPr>
          <w:trHeight w:val="168"/>
        </w:trPr>
        <w:tc>
          <w:tcPr>
            <w:tcW w:w="810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25,007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(7,033)</w:t>
            </w: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expenses and other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21,820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74,426</w:t>
            </w:r>
          </w:p>
        </w:tc>
      </w:tr>
      <w:tr>
        <w:trPr>
          <w:trHeight w:val="168"/>
        </w:trPr>
        <w:tc>
          <w:tcPr>
            <w:tcW w:w="8100" w:type="dxa"/>
            <w:vAlign w:val="bottom"/>
          </w:tcPr>
          <w:p>
            <w:pPr>
              <w:ind w:left="220"/>
              <w:spacing w:after="0"/>
              <w:rPr>
                <w:sz w:val="20"/>
                <w:szCs w:val="20"/>
                <w:color w:val="auto"/>
              </w:rPr>
            </w:pPr>
            <w:r>
              <w:rPr>
                <w:rFonts w:ascii="Arial" w:cs="Arial" w:eastAsia="Arial" w:hAnsi="Arial"/>
                <w:sz w:val="13"/>
                <w:szCs w:val="13"/>
                <w:color w:val="auto"/>
              </w:rPr>
              <w:t>Accrued payroll and benefits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21,635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22,258</w:t>
            </w:r>
          </w:p>
        </w:tc>
      </w:tr>
      <w:tr>
        <w:trPr>
          <w:trHeight w:val="183"/>
        </w:trPr>
        <w:tc>
          <w:tcPr>
            <w:tcW w:w="8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(7,394)</w:t>
            </w:r>
          </w:p>
        </w:tc>
      </w:tr>
      <w:tr>
        <w:trPr>
          <w:trHeight w:val="169"/>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Deferred revenue</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486,177</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375,582</w:t>
            </w:r>
          </w:p>
        </w:tc>
      </w:tr>
      <w:tr>
        <w:trPr>
          <w:trHeight w:val="175"/>
        </w:trPr>
        <w:tc>
          <w:tcPr>
            <w:tcW w:w="810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667,714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415,066</w:t>
            </w:r>
          </w:p>
        </w:tc>
      </w:tr>
      <w:tr>
        <w:trPr>
          <w:trHeight w:val="170"/>
        </w:trPr>
        <w:tc>
          <w:tcPr>
            <w:tcW w:w="810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(179,609)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(85,420)</w:t>
            </w: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Capitalized internal-use software and website development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(20,739)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(15,201)</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(15,809)</w:t>
            </w: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Business acquisitions, net of cash acquired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(18,464)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(353,746)</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intangible assets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w:t>
            </w:r>
          </w:p>
        </w:tc>
      </w:tr>
      <w:tr>
        <w:trPr>
          <w:trHeight w:val="161"/>
        </w:trPr>
        <w:tc>
          <w:tcPr>
            <w:tcW w:w="8100" w:type="dxa"/>
            <w:vAlign w:val="bottom"/>
          </w:tcPr>
          <w:p>
            <w:pPr>
              <w:ind w:left="360"/>
              <w:spacing w:after="0" w:line="141" w:lineRule="exact"/>
              <w:rPr>
                <w:sz w:val="20"/>
                <w:szCs w:val="20"/>
                <w:color w:val="auto"/>
              </w:rPr>
            </w:pPr>
            <w:r>
              <w:rPr>
                <w:rFonts w:ascii="Arial" w:cs="Arial" w:eastAsia="Arial" w:hAnsi="Arial"/>
                <w:sz w:val="13"/>
                <w:szCs w:val="13"/>
                <w:color w:val="auto"/>
              </w:rPr>
              <w:t>Net cash used in investing activities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(237,518)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(470,856)</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Payment of debt issuance costs related to revolving line of credit</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debt issuance costs related to Senior Notes</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w:t>
            </w: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Repayment of loan payable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(1,591)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upon exercise of stock options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w:t>
            </w: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34,445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27,452</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contributions from non-controlling interest holders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9,053</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7,905</w:t>
            </w:r>
          </w:p>
        </w:tc>
      </w:tr>
      <w:tr>
        <w:trPr>
          <w:trHeight w:val="161"/>
        </w:trPr>
        <w:tc>
          <w:tcPr>
            <w:tcW w:w="8100" w:type="dxa"/>
            <w:vAlign w:val="bottom"/>
          </w:tcPr>
          <w:p>
            <w:pPr>
              <w:ind w:left="360"/>
              <w:spacing w:after="0" w:line="141" w:lineRule="exact"/>
              <w:rPr>
                <w:sz w:val="20"/>
                <w:szCs w:val="20"/>
                <w:color w:val="auto"/>
              </w:rPr>
            </w:pPr>
            <w:r>
              <w:rPr>
                <w:rFonts w:ascii="Arial" w:cs="Arial" w:eastAsia="Arial" w:hAnsi="Arial"/>
                <w:sz w:val="13"/>
                <w:szCs w:val="13"/>
                <w:color w:val="auto"/>
              </w:rPr>
              <w:t>Net cash provided by financing activities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48,303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46,353</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foreign exchange rates on cash, cash equivalents and restricted cash</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(7,074)</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(1,663)</w:t>
            </w:r>
          </w:p>
        </w:tc>
      </w:tr>
      <w:tr>
        <w:trPr>
          <w:trHeight w:val="161"/>
        </w:trPr>
        <w:tc>
          <w:tcPr>
            <w:tcW w:w="8100" w:type="dxa"/>
            <w:vAlign w:val="bottom"/>
          </w:tcPr>
          <w:p>
            <w:pPr>
              <w:ind w:left="360"/>
              <w:spacing w:after="0" w:line="141" w:lineRule="exact"/>
              <w:rPr>
                <w:sz w:val="20"/>
                <w:szCs w:val="20"/>
                <w:color w:val="auto"/>
              </w:rPr>
            </w:pPr>
            <w:r>
              <w:rPr>
                <w:rFonts w:ascii="Arial" w:cs="Arial" w:eastAsia="Arial" w:hAnsi="Arial"/>
                <w:sz w:val="13"/>
                <w:szCs w:val="13"/>
                <w:color w:val="auto"/>
              </w:rPr>
              <w:t>Net increase (decrease) in cash, cash equivalents and restricted cash</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471,425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(11,100)</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1,996,633</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1,918,608</w:t>
            </w:r>
          </w:p>
        </w:tc>
      </w:tr>
      <w:tr>
        <w:trPr>
          <w:trHeight w:val="163"/>
        </w:trPr>
        <w:tc>
          <w:tcPr>
            <w:tcW w:w="8100" w:type="dxa"/>
            <w:vAlign w:val="bottom"/>
          </w:tcPr>
          <w:p>
            <w:pPr>
              <w:ind w:left="360"/>
              <w:spacing w:after="0"/>
              <w:rPr>
                <w:sz w:val="20"/>
                <w:szCs w:val="20"/>
                <w:color w:val="auto"/>
              </w:rPr>
            </w:pPr>
            <w:r>
              <w:rPr>
                <w:rFonts w:ascii="Arial" w:cs="Arial" w:eastAsia="Arial" w:hAnsi="Arial"/>
                <w:sz w:val="13"/>
                <w:szCs w:val="13"/>
                <w:color w:val="auto"/>
              </w:rPr>
              <w:t>Cash, cash equivalents and restricted cash at end of period</w:t>
            </w:r>
          </w:p>
        </w:tc>
        <w:tc>
          <w:tcPr>
            <w:tcW w:w="92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2,468,058</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1,907,508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9"/>
        </w:trPr>
        <w:tc>
          <w:tcPr>
            <w:tcW w:w="810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Cash, cash equivalents and restricted cash at the end of period:</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2,466,551</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1,907,508</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prepaid expenses and other assets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100" w:type="dxa"/>
            <w:vAlign w:val="bottom"/>
          </w:tcPr>
          <w:p>
            <w:pPr>
              <w:ind w:left="20"/>
              <w:spacing w:after="0"/>
              <w:rPr>
                <w:sz w:val="20"/>
                <w:szCs w:val="20"/>
                <w:color w:val="auto"/>
              </w:rPr>
            </w:pPr>
            <w:r>
              <w:rPr>
                <w:rFonts w:ascii="Arial" w:cs="Arial" w:eastAsia="Arial" w:hAnsi="Arial"/>
                <w:sz w:val="13"/>
                <w:szCs w:val="13"/>
                <w:color w:val="auto"/>
              </w:rPr>
              <w:t>Total cash, cash equivalents and restricted cash shown in the condensed consolidated statements of cash flows</w:t>
            </w:r>
          </w:p>
        </w:tc>
        <w:tc>
          <w:tcPr>
            <w:tcW w:w="92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2,468,058</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1,907,508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48"/>
        </w:trPr>
        <w:tc>
          <w:tcPr>
            <w:tcW w:w="810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Interest paid</w:t>
            </w: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22,547</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13,048</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paid, net of refunds received</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3,854</w:t>
            </w:r>
          </w:p>
        </w:tc>
      </w:tr>
      <w:tr>
        <w:trPr>
          <w:trHeight w:val="170"/>
        </w:trPr>
        <w:tc>
          <w:tcPr>
            <w:tcW w:w="810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in property and equipment included in accounts payable and accrued expenses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7,066</w:t>
            </w: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2,204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2,389</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consideration for acquisitions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4,011</w:t>
            </w:r>
          </w:p>
        </w:tc>
      </w:tr>
      <w:tr>
        <w:trPr>
          <w:trHeight w:val="160"/>
        </w:trPr>
        <w:tc>
          <w:tcPr>
            <w:tcW w:w="8100" w:type="dxa"/>
            <w:vAlign w:val="bottom"/>
          </w:tcPr>
          <w:p>
            <w:pPr>
              <w:ind w:left="20"/>
              <w:spacing w:after="0"/>
              <w:rPr>
                <w:sz w:val="20"/>
                <w:szCs w:val="20"/>
                <w:color w:val="auto"/>
              </w:rPr>
            </w:pPr>
            <w:r>
              <w:rPr>
                <w:rFonts w:ascii="Arial" w:cs="Arial" w:eastAsia="Arial" w:hAnsi="Arial"/>
                <w:sz w:val="13"/>
                <w:szCs w:val="13"/>
                <w:color w:val="auto"/>
              </w:rPr>
              <w:t>Operating lease liabilities arising from obtaining operating right of-use assets</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1,702</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4,591</w:t>
            </w: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right="6580" w:hanging="652"/>
        <w:spacing w:after="0" w:line="500" w:lineRule="auto"/>
        <w:tabs>
          <w:tab w:leader="none" w:pos="192"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 and Significant Accounting Policies Business</w:t>
      </w:r>
    </w:p>
    <w:p>
      <w:pPr>
        <w:spacing w:after="0" w:line="2"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CrowdStrike Holdings, Inc. (the “Company”) was formed on November 7, 2011. The Company is a global cybersecurity leader that provides cloud-delivered protection of endpoints, cloud workloads, identity, and data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Company’s principal executive offices are in Austin, Texas. The Company conducts its business in the United States, as well as locations internationally, including in Australia, Germany, India, Israel, Romania, and the United Kingdom.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2022,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Certain prior year amounts in the condensed consolidated statements of cash flows were reclassified to conform to the current period presentation. These reclassifications had no effect on net cash provided by (used in) operating, investing, and financing activities and cash and cash equivalent amounts. The results of operations for the three and nine months ended October 31, 2022 are not necessarily indicative of the results to be expected for the year ending January 31, 2023 or for any other interim period or for any other future year.</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2022, filed with the SEC on March 16,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88"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measurement and disclosure of contingent liabilities, income taxes, stock-based compensation, the fair value of assets acquired and liabilities assumed for business combinations.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Geographic Information</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cash equivalents, accounts receivable, and strategic investments. The Company’s cash is placed with high-credit-quality financial institutions and issuers, and at times exceed federally insured limits. The Company limits its concentration of risk in cash equivalents by diversifying its investments among a variety of financial institutions. The Company has not experienced any credit loss relating to its cash equivalents and strategic investments. The Company performs periodic credit evaluations of its customers and generally does not require collateral.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Channel partners or direct customers who represented 10% or more of the Company’s accounts receivable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740" w:type="dxa"/>
            <w:vAlign w:val="bottom"/>
            <w:gridSpan w:val="2"/>
          </w:tcPr>
          <w:p>
            <w:pPr>
              <w:ind w:left="300"/>
              <w:spacing w:after="0"/>
              <w:rPr>
                <w:sz w:val="20"/>
                <w:szCs w:val="20"/>
                <w:color w:val="auto"/>
              </w:rPr>
            </w:pPr>
            <w:r>
              <w:rPr>
                <w:rFonts w:ascii="Arial" w:cs="Arial" w:eastAsia="Arial" w:hAnsi="Arial"/>
                <w:sz w:val="14"/>
                <w:szCs w:val="14"/>
                <w:b w:val="1"/>
                <w:bCs w:val="1"/>
                <w:color w:val="auto"/>
              </w:rPr>
              <w:t>October 31, 2022</w:t>
            </w:r>
          </w:p>
        </w:tc>
        <w:tc>
          <w:tcPr>
            <w:tcW w:w="1640" w:type="dxa"/>
            <w:vAlign w:val="bottom"/>
          </w:tcPr>
          <w:p>
            <w:pPr>
              <w:jc w:val="right"/>
              <w:ind w:right="216"/>
              <w:spacing w:after="0"/>
              <w:rPr>
                <w:sz w:val="20"/>
                <w:szCs w:val="20"/>
                <w:color w:val="auto"/>
              </w:rPr>
            </w:pPr>
            <w:r>
              <w:rPr>
                <w:rFonts w:ascii="Arial" w:cs="Arial" w:eastAsia="Arial" w:hAnsi="Arial"/>
                <w:sz w:val="14"/>
                <w:szCs w:val="14"/>
                <w:b w:val="1"/>
                <w:bCs w:val="1"/>
                <w:color w:val="auto"/>
              </w:rPr>
              <w:t>January 31, 2022</w:t>
            </w:r>
          </w:p>
        </w:tc>
      </w:tr>
      <w:tr>
        <w:trPr>
          <w:trHeight w:val="26"/>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partner 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Customer A</w:t>
            </w:r>
          </w:p>
        </w:tc>
        <w:tc>
          <w:tcPr>
            <w:tcW w:w="16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10 %</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(1) Channel Partner A and Customer A are controlled by the same company.</w:t>
      </w:r>
    </w:p>
    <w:p>
      <w:pPr>
        <w:spacing w:after="0" w:line="21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There were no direct customers or channel partners who represented 10% or more of the Company’s total revenue during the three and nine months ended October 31, 2022 and October 31,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the Company’s Annual Report on Form 10-K for the year ended January 31, 2022. There have been no significant changes to these policies that have had a material impact on the Company’s condensed consolidated financial statements and related notes for the three and nine months ended October 31,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October 2021, the Financial Accounting Standards Board (the “FASB”) issued Accounting Standards Update (“ASU”) 2021-08, Business Combinations (Topic 805):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For public business entities, this ASU is effective for fiscal years beginning after December 15, 2022, and interim periods within those fiscal years. The Company is currently evaluating the impact of the adoption of this ASU on its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Investments and Fair Value Measurements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follows ASC 820</w:t>
      </w:r>
      <w:r>
        <w:rPr>
          <w:rFonts w:ascii="Arial" w:cs="Arial" w:eastAsia="Arial" w:hAnsi="Arial"/>
          <w:sz w:val="17"/>
          <w:szCs w:val="17"/>
          <w:i w:val="1"/>
          <w:iCs w:val="1"/>
          <w:color w:val="auto"/>
        </w:rPr>
        <w:t>, Fair Value Measurements</w:t>
      </w:r>
      <w:r>
        <w:rPr>
          <w:rFonts w:ascii="Arial" w:cs="Arial" w:eastAsia="Arial" w:hAnsi="Arial"/>
          <w:sz w:val="17"/>
          <w:szCs w:val="17"/>
          <w:color w:val="auto"/>
        </w:rPr>
        <w:t>, with respect to cash equivalents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hierarchy is broken down into three levels as follows:</w:t>
      </w:r>
    </w:p>
    <w:p>
      <w:pPr>
        <w:spacing w:after="0" w:line="225" w:lineRule="exact"/>
        <w:rPr>
          <w:sz w:val="20"/>
          <w:szCs w:val="20"/>
          <w:color w:val="auto"/>
        </w:rPr>
      </w:pPr>
    </w:p>
    <w:p>
      <w:pPr>
        <w:ind w:left="660" w:right="380"/>
        <w:spacing w:after="0" w:line="291" w:lineRule="auto"/>
        <w:rPr>
          <w:sz w:val="20"/>
          <w:szCs w:val="20"/>
          <w:color w:val="auto"/>
        </w:rPr>
      </w:pPr>
      <w:r>
        <w:rPr>
          <w:rFonts w:ascii="Arial" w:cs="Arial" w:eastAsia="Arial" w:hAnsi="Arial"/>
          <w:sz w:val="16"/>
          <w:szCs w:val="16"/>
          <w:color w:val="auto"/>
        </w:rPr>
        <w:t>Level 1 Assets and liabilities whose values are based on unadjusted quoted market prices for identical assets and liabilities in active markets Level 2 Assets and liabilities whose values are based on quoted prices in markets that are not active or inputs that are observable for</w:t>
      </w:r>
    </w:p>
    <w:p>
      <w:pPr>
        <w:ind w:left="1460"/>
        <w:spacing w:after="0"/>
        <w:rPr>
          <w:sz w:val="20"/>
          <w:szCs w:val="20"/>
          <w:color w:val="auto"/>
        </w:rPr>
      </w:pPr>
      <w:r>
        <w:rPr>
          <w:rFonts w:ascii="Arial" w:cs="Arial" w:eastAsia="Arial" w:hAnsi="Arial"/>
          <w:sz w:val="18"/>
          <w:szCs w:val="18"/>
          <w:color w:val="auto"/>
        </w:rPr>
        <w:t>substantially the full term of the asset or liability</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80" w:right="620" w:hanging="809"/>
        <w:spacing w:after="0" w:line="277" w:lineRule="auto"/>
        <w:tabs>
          <w:tab w:leader="none" w:pos="1360" w:val="left"/>
        </w:tabs>
        <w:rPr>
          <w:sz w:val="20"/>
          <w:szCs w:val="20"/>
          <w:color w:val="auto"/>
        </w:rPr>
      </w:pPr>
      <w:r>
        <w:rPr>
          <w:rFonts w:ascii="Arial" w:cs="Arial" w:eastAsia="Arial" w:hAnsi="Arial"/>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right="400" w:firstLine="648"/>
        <w:spacing w:after="0" w:line="269" w:lineRule="auto"/>
        <w:rPr>
          <w:sz w:val="20"/>
          <w:szCs w:val="20"/>
          <w:color w:val="auto"/>
        </w:rPr>
      </w:pPr>
      <w:r>
        <w:rPr>
          <w:rFonts w:ascii="Arial" w:cs="Arial" w:eastAsia="Arial" w:hAnsi="Arial"/>
          <w:sz w:val="18"/>
          <w:szCs w:val="18"/>
          <w:color w:val="auto"/>
        </w:rPr>
        <w:t>The Company’s fair value hierarchy for its financial assets and liabilities that are measured at fair value on a recurring basis are as follows (in thousands):</w:t>
      </w: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ind w:left="220"/>
              <w:spacing w:after="0"/>
              <w:rPr>
                <w:sz w:val="20"/>
                <w:szCs w:val="20"/>
                <w:color w:val="auto"/>
              </w:rPr>
            </w:pPr>
            <w:r>
              <w:rPr>
                <w:rFonts w:ascii="Arial" w:cs="Arial" w:eastAsia="Arial" w:hAnsi="Arial"/>
                <w:sz w:val="14"/>
                <w:szCs w:val="14"/>
                <w:b w:val="1"/>
                <w:bCs w:val="1"/>
                <w:color w:val="auto"/>
              </w:rPr>
              <w:t>October 31, 2022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b w:val="1"/>
                <w:bCs w:val="1"/>
                <w:color w:val="auto"/>
              </w:rPr>
              <w:t>January 31, 2022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6"/>
        </w:trPr>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0"/>
        </w:trPr>
        <w:tc>
          <w:tcPr>
            <w:tcW w:w="2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Total</w:t>
            </w:r>
          </w:p>
        </w:tc>
      </w:tr>
      <w:tr>
        <w:trPr>
          <w:trHeight w:val="20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16"/>
        </w:trPr>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95,581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95,581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300,027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300,027</w:t>
            </w: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95,581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95,581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300,027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300,027</w:t>
            </w:r>
          </w:p>
        </w:tc>
      </w:tr>
      <w:tr>
        <w:trPr>
          <w:trHeight w:val="21"/>
        </w:trPr>
        <w:tc>
          <w:tcPr>
            <w:tcW w:w="2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12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“Cash and cash equivalents” on the condensed consolidated balance sheets.</w:t>
      </w:r>
    </w:p>
    <w:p>
      <w:pPr>
        <w:spacing w:after="0" w:line="21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 were no transfers between the levels of the fair value hierarchy during the periods presented.</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 following summarizes the net carrying value of the strategic investments, which are Level 3 within the fair value hierarchy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31, 2022</w:t>
            </w:r>
          </w:p>
        </w:tc>
        <w:tc>
          <w:tcPr>
            <w:tcW w:w="180" w:type="dxa"/>
            <w:vAlign w:val="bottom"/>
          </w:tcPr>
          <w:p>
            <w:pPr>
              <w:spacing w:after="0"/>
              <w:rPr>
                <w:sz w:val="16"/>
                <w:szCs w:val="16"/>
                <w:color w:val="auto"/>
              </w:rPr>
            </w:pPr>
          </w:p>
        </w:tc>
        <w:tc>
          <w:tcPr>
            <w:tcW w:w="13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January 31, 2022</w:t>
            </w:r>
          </w:p>
        </w:tc>
        <w:tc>
          <w:tcPr>
            <w:tcW w:w="0" w:type="dxa"/>
            <w:vAlign w:val="bottom"/>
          </w:tcPr>
          <w:p>
            <w:pPr>
              <w:spacing w:after="0"/>
              <w:rPr>
                <w:sz w:val="1"/>
                <w:szCs w:val="1"/>
                <w:color w:val="auto"/>
              </w:rPr>
            </w:pPr>
          </w:p>
        </w:tc>
      </w:tr>
      <w:tr>
        <w:trPr>
          <w:trHeight w:val="26"/>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initial cost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18,809</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gains due to changes in fair value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Carrying value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3. Balance Sheet Components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1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ind w:left="66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 2022</w:t>
            </w:r>
          </w:p>
        </w:tc>
        <w:tc>
          <w:tcPr>
            <w:tcW w:w="180" w:type="dxa"/>
            <w:vAlign w:val="bottom"/>
          </w:tcPr>
          <w:p>
            <w:pPr>
              <w:spacing w:after="0"/>
              <w:rPr>
                <w:sz w:val="17"/>
                <w:szCs w:val="17"/>
                <w:color w:val="auto"/>
              </w:rPr>
            </w:pPr>
          </w:p>
        </w:tc>
        <w:tc>
          <w:tcPr>
            <w:tcW w:w="13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January 31, 2022</w:t>
            </w:r>
          </w:p>
        </w:tc>
        <w:tc>
          <w:tcPr>
            <w:tcW w:w="0" w:type="dxa"/>
            <w:vAlign w:val="bottom"/>
          </w:tcPr>
          <w:p>
            <w:pPr>
              <w:spacing w:after="0"/>
              <w:rPr>
                <w:sz w:val="1"/>
                <w:szCs w:val="1"/>
                <w:color w:val="auto"/>
              </w:rPr>
            </w:pPr>
          </w:p>
        </w:tc>
      </w:tr>
      <w:tr>
        <w:trPr>
          <w:trHeight w:val="25"/>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 and other computer equipment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198,297</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Capitalized internal-use software and website development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98,097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70,476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22,029</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process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99,030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402,355</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(192,157)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(141,778)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430,030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260,577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Construction in process mainly includes data center equipment purchased that has not yet been placed in service. Data center equipment that was purchased but not yet been placed into service was $215.1 million as of October 31, 2022.</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Depreciation and amortization expense of property and equipment was $19.5 million and $14.5 million during the three months ended October 31, 2022 and October 31, 2021, respectively, and $53.6 million and $39.2 million during the nine months ended October 31, 2022 and October 31, 2021,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There was no impairment of property and equipment during the three and nine months ended October 31, 2022 and October 31, 2021. The Company capitalized $12.9 million and $9.0 million in internal-use software and website development costs during the three months ended October 31, 2022 and October 31, 2021, respectively, and $34.5 million and $22.8 million during the nine months ended October 31, 2022 and October 31, 2021, respectively. Amortization expense associated with internal-use software and website development costs totaled $5.6 million and $3.3 million during the three months ended October 31, 2022 and October 31, 2021, respectively, and $14.8 million and $8.6 million during the nine months ended October 31, 2022 and October 31, 2021, respectively. The net book value of capitalized internal-use software and website development costs was $58.4 million and $38.6 million as of October 31, 2022 and January 31, 2022, respectively.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intangible assets, net consisted of the following (dollars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October 31, 2022</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1"/>
                <w:szCs w:val="11"/>
                <w:color w:val="auto"/>
              </w:rPr>
            </w:pPr>
          </w:p>
        </w:tc>
        <w:tc>
          <w:tcPr>
            <w:tcW w:w="12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1"/>
                <w:szCs w:val="11"/>
                <w:color w:val="auto"/>
              </w:rPr>
            </w:pPr>
          </w:p>
        </w:tc>
        <w:tc>
          <w:tcPr>
            <w:tcW w:w="1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7"/>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4"/>
        </w:trPr>
        <w:tc>
          <w:tcPr>
            <w:tcW w:w="4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months)</w:t>
            </w:r>
          </w:p>
        </w:tc>
        <w:tc>
          <w:tcPr>
            <w:tcW w:w="0" w:type="dxa"/>
            <w:vAlign w:val="bottom"/>
          </w:tcPr>
          <w:p>
            <w:pPr>
              <w:spacing w:after="0"/>
              <w:rPr>
                <w:sz w:val="1"/>
                <w:szCs w:val="1"/>
                <w:color w:val="auto"/>
              </w:rPr>
            </w:pPr>
          </w:p>
        </w:tc>
      </w:tr>
      <w:tr>
        <w:trPr>
          <w:trHeight w:val="23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8,648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89,500</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493"/>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January 31, 2022</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1"/>
                <w:szCs w:val="11"/>
                <w:color w:val="auto"/>
              </w:rPr>
            </w:pPr>
          </w:p>
        </w:tc>
        <w:tc>
          <w:tcPr>
            <w:tcW w:w="12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1"/>
                <w:szCs w:val="11"/>
                <w:color w:val="auto"/>
              </w:rPr>
            </w:pPr>
          </w:p>
        </w:tc>
        <w:tc>
          <w:tcPr>
            <w:tcW w:w="1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4"/>
        </w:trPr>
        <w:tc>
          <w:tcPr>
            <w:tcW w:w="4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months)</w:t>
            </w:r>
          </w:p>
        </w:tc>
        <w:tc>
          <w:tcPr>
            <w:tcW w:w="0" w:type="dxa"/>
            <w:vAlign w:val="bottom"/>
          </w:tcPr>
          <w:p>
            <w:pPr>
              <w:spacing w:after="0"/>
              <w:rPr>
                <w:sz w:val="1"/>
                <w:szCs w:val="1"/>
                <w:color w:val="auto"/>
              </w:rPr>
            </w:pPr>
          </w:p>
        </w:tc>
      </w:tr>
      <w:tr>
        <w:trPr>
          <w:trHeight w:val="23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10,072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900" w:type="dxa"/>
            <w:vAlign w:val="bottom"/>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97,336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Amortization expense of intangible assets was $4.1 million and $3.4 million during the three months ended October 31, 2022 and October 31, 2021, respectively, and $12.3 million and $9.1 million during the nine months ended October 31, 2022 and October 31, 2021,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aggregate future amortization expense of intangible assets as of October 31, 2022 is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 (remaining three months)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16,358</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15,186</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24,426</w:t>
            </w:r>
          </w:p>
        </w:tc>
      </w:tr>
      <w:tr>
        <w:trPr>
          <w:trHeight w:val="248"/>
        </w:trPr>
        <w:tc>
          <w:tcPr>
            <w:tcW w:w="9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developed technology, customer relationships, and other acquired intangible assets are amortized over their estimated useful lives, generally on a straight-line basis for periods ranging from 2 to 20 years.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Goodwill</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9720" w:type="dxa"/>
            <w:vAlign w:val="bottom"/>
          </w:tcPr>
          <w:p>
            <w:pPr>
              <w:ind w:left="660"/>
              <w:spacing w:after="0"/>
              <w:rPr>
                <w:sz w:val="20"/>
                <w:szCs w:val="20"/>
                <w:color w:val="auto"/>
              </w:rPr>
            </w:pPr>
            <w:r>
              <w:rPr>
                <w:rFonts w:ascii="Arial" w:cs="Arial" w:eastAsia="Arial" w:hAnsi="Arial"/>
                <w:sz w:val="18"/>
                <w:szCs w:val="18"/>
                <w:color w:val="auto"/>
                <w:w w:val="99"/>
              </w:rPr>
              <w:t>The changes in goodwill during the nine months ended October 31, 2022 consisted of the following (in thousands):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9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as of January 31, 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416,445</w:t>
            </w:r>
          </w:p>
        </w:tc>
      </w:tr>
      <w:tr>
        <w:trPr>
          <w:trHeight w:val="229"/>
        </w:trPr>
        <w:tc>
          <w:tcPr>
            <w:tcW w:w="9720" w:type="dxa"/>
            <w:vAlign w:val="bottom"/>
          </w:tcPr>
          <w:p>
            <w:pPr>
              <w:ind w:left="140"/>
              <w:spacing w:after="0" w:line="230" w:lineRule="exact"/>
              <w:rPr>
                <w:sz w:val="20"/>
                <w:szCs w:val="20"/>
                <w:color w:val="auto"/>
              </w:rPr>
            </w:pPr>
            <w:r>
              <w:rPr>
                <w:rFonts w:ascii="Arial" w:cs="Arial" w:eastAsia="Arial" w:hAnsi="Arial"/>
                <w:sz w:val="18"/>
                <w:szCs w:val="18"/>
                <w:color w:val="auto"/>
              </w:rPr>
              <w:t>Goodwill acquired</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14,225</w:t>
            </w:r>
          </w:p>
        </w:tc>
      </w:tr>
      <w:tr>
        <w:trPr>
          <w:trHeight w:val="229"/>
        </w:trPr>
        <w:tc>
          <w:tcPr>
            <w:tcW w:w="9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adjustment for the SecureCircle acquisition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9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as of October 31, 2022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430,285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221"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Goodwill acquired resulted from the acquisition of Reposify Ltd. Refer to Note 9 for additional information.</w:t>
      </w:r>
    </w:p>
    <w:p>
      <w:pPr>
        <w:spacing w:after="0" w:line="21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Accrued Expenses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Accrued expenses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2022</w:t>
            </w:r>
          </w:p>
        </w:tc>
        <w:tc>
          <w:tcPr>
            <w:tcW w:w="180" w:type="dxa"/>
            <w:vAlign w:val="bottom"/>
          </w:tcPr>
          <w:p>
            <w:pPr>
              <w:spacing w:after="0"/>
              <w:rPr>
                <w:sz w:val="16"/>
                <w:szCs w:val="16"/>
                <w:color w:val="auto"/>
              </w:rPr>
            </w:pPr>
          </w:p>
        </w:tc>
        <w:tc>
          <w:tcPr>
            <w:tcW w:w="13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January 31, 2022</w:t>
            </w:r>
          </w:p>
        </w:tc>
        <w:tc>
          <w:tcPr>
            <w:tcW w:w="0" w:type="dxa"/>
            <w:vAlign w:val="bottom"/>
          </w:tcPr>
          <w:p>
            <w:pPr>
              <w:spacing w:after="0"/>
              <w:rPr>
                <w:sz w:val="1"/>
                <w:szCs w:val="1"/>
                <w:color w:val="auto"/>
              </w:rPr>
            </w:pPr>
          </w:p>
        </w:tc>
      </w:tr>
      <w:tr>
        <w:trPr>
          <w:trHeight w:val="26"/>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Web hosting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23,711</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13,988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marketing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purchases of property and equipment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Accrued interest expense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partner commissions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83,382</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660"/>
              <w:spacing w:after="0"/>
              <w:rPr>
                <w:sz w:val="20"/>
                <w:szCs w:val="20"/>
                <w:color w:val="auto"/>
              </w:rPr>
            </w:pPr>
            <w:r>
              <w:rPr>
                <w:rFonts w:ascii="Arial" w:cs="Arial" w:eastAsia="Arial" w:hAnsi="Arial"/>
                <w:sz w:val="18"/>
                <w:szCs w:val="18"/>
                <w:b w:val="1"/>
                <w:bCs w:val="1"/>
                <w:i w:val="1"/>
                <w:iCs w:val="1"/>
                <w:color w:val="auto"/>
              </w:rPr>
              <w:t>Accrued Payroll and Benefits</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ind w:left="660"/>
              <w:spacing w:after="0"/>
              <w:rPr>
                <w:sz w:val="20"/>
                <w:szCs w:val="20"/>
                <w:color w:val="auto"/>
              </w:rPr>
            </w:pPr>
            <w:r>
              <w:rPr>
                <w:rFonts w:ascii="Arial" w:cs="Arial" w:eastAsia="Arial" w:hAnsi="Arial"/>
                <w:sz w:val="18"/>
                <w:szCs w:val="18"/>
                <w:color w:val="auto"/>
              </w:rPr>
              <w:t>Accrued payroll and benefits consisted of the following (in thousands):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2022</w:t>
            </w:r>
          </w:p>
        </w:tc>
        <w:tc>
          <w:tcPr>
            <w:tcW w:w="180" w:type="dxa"/>
            <w:vAlign w:val="bottom"/>
          </w:tcPr>
          <w:p>
            <w:pPr>
              <w:spacing w:after="0"/>
              <w:rPr>
                <w:sz w:val="17"/>
                <w:szCs w:val="17"/>
                <w:color w:val="auto"/>
              </w:rPr>
            </w:pPr>
          </w:p>
        </w:tc>
        <w:tc>
          <w:tcPr>
            <w:tcW w:w="13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January 31, 2022</w:t>
            </w:r>
          </w:p>
        </w:tc>
        <w:tc>
          <w:tcPr>
            <w:tcW w:w="0" w:type="dxa"/>
            <w:vAlign w:val="bottom"/>
          </w:tcPr>
          <w:p>
            <w:pPr>
              <w:spacing w:after="0"/>
              <w:rPr>
                <w:sz w:val="1"/>
                <w:szCs w:val="1"/>
                <w:color w:val="auto"/>
              </w:rPr>
            </w:pPr>
          </w:p>
        </w:tc>
      </w:tr>
      <w:tr>
        <w:trPr>
          <w:trHeight w:val="25"/>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Accrued payroll and related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24,910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bonuses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17,591</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payroll and benefits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 April 2020, the Company began deferring payment on its share of payroll taxes owed, as permitted by the CARES Act through December 31, 2020. As of October 31, 2022 and January 31, 2022, the Company had deferred $5.1 million of payroll taxes in other current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Secured Revolving Credit Facility</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170"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6"/>
          <w:szCs w:val="16"/>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w:t>
      </w:r>
    </w:p>
    <w:p>
      <w:pPr>
        <w:spacing w:after="0" w:line="1" w:lineRule="exact"/>
        <w:rPr>
          <w:sz w:val="20"/>
          <w:szCs w:val="20"/>
          <w:color w:val="auto"/>
        </w:rPr>
      </w:pPr>
    </w:p>
    <w:p>
      <w:pPr>
        <w:ind w:right="120" w:firstLine="8"/>
        <w:spacing w:after="0" w:line="298" w:lineRule="auto"/>
        <w:tabs>
          <w:tab w:leader="none" w:pos="24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Term Secured Overnight Finance Rate (the “Term SOFR”) for a one-month tenor in effect on such day plus 1.00%, in each case plus a margin between (0.25)% and 0.25%, depending on the senior secured leverage ratio. The Company will be charged a commitment fee of 0.15% to 0.25% per year</w:t>
      </w:r>
    </w:p>
    <w:p>
      <w:pPr>
        <w:spacing w:after="0" w:line="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for committed but unused amounts, depending on the senior secured leverage ratio. The financial covenants require the Company to maintain a minimum consolidated interest coverage ratio of 3.00:1.00, a maximum senior secured leverage ratio of 3.00:1.00 (through January 31, 2023), and a maximum total leverage ratio of 5.50:1.00 stepping down to 3.50:1.00 over time. The Company was in compliance with the financial covenants as of October 31, 2022.</w:t>
      </w:r>
    </w:p>
    <w:p>
      <w:pPr>
        <w:spacing w:after="0" w:line="135"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outstanding under the Amended A&amp;R Credit Agreement as of October 31, 2022 and January 31,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6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and $18.0 million during both the three and nine months ended October 31, 2022 and 2021.</w:t>
      </w:r>
    </w:p>
    <w:p>
      <w:pPr>
        <w:spacing w:after="0" w:line="18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indenture governing the Senior Notes (the “Indenture”) contain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October 31, 2022, the Company was in compliance with all of its financial covenants under the Indenture associated with the Senior Notes.</w:t>
      </w:r>
    </w:p>
    <w:p>
      <w:pPr>
        <w:spacing w:after="0" w:line="24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Based on the trading prices of the Senior Notes, the fair value of the Senior Notes was approximately $637.7 million and $708.7 million as of October 31, 2022 and January 31, 2022,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Income Taxes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recognized income tax expense of $8.9 million and $4.5 million for the three months ended October 31, 2022 and October 31, 2021, respectively, and $17.1 million and $58.8 million for the nine months ended October 31, 2022 and October 31, 2021, respectively. The tax expense for the three and nine months ended October 31, 2022 was primarily attributable to the tax impact from the intercompany sale of intellectual property, pre-tax foreign earnings and withholding taxes related to customer payments in certain foreign jurisdictions in which the Company conducts business. The tax expense for the three months ended October 31, 2021 was primarily attributable to pre-tax foreign earnings. The tax expense for the nine months ended October 31, 2021 was primarily attributable to the intercompany sale of intellectual property from Humio and pre-tax foreign earnings. The Company’s effective tax rates of (19.4)% and (9.7)% for the three months ended October 31, 2022 and October 31, 2021, respectively, differ from the U.S. statutory tax rate primarily due to U.S. losses for which there is no benefit and the tax impact from the intercompany sale of intellectual property for the three months ended October 31, 2022. The Company’s effective tax rates of (14.7)% and (43.8)% for the nine months ended October 31, 2022 and October 31, 2021, respectively, differ from the U.S. statutory tax rate primarily due to U.S. losses for which there is no benefit, the tax impact from the intercompany sale of intellectual property from acquisitions for the nine months ended October 31, 2022, and October 31, 2021, respectively.</w:t>
      </w:r>
    </w:p>
    <w:p>
      <w:pPr>
        <w:spacing w:after="0" w:line="17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has a full valuation allowance on its U.S. federal and state and its U.K. deferred tax assets. As a result, the Company does not record a tax benefit on these losses because it is more likely than not that the benefit will not be realized.</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balance of gross unrecognized tax benefits was $37.3 million and $26.3 million as of October 31, 2022 and January 31, 2022, respectively. The increase was primarily due to establishing an uncertain tax position associated with research &amp; development tax credits. As of October 31, 2022 and January 31, 2022, approximately $4.7 million and $1.9 million, respectively of the unrecognized tax benefits including interest and penalties would affect the Company’s effective tax rate if favorably resolved. The Company is subject to examination by tax authorities both domestically and internationally. The Company believes that adequate amounts have been reserved for any adjustments that may result from these examinations, although the Company cannot assure that this will be the case given the inherent uncertainties in these examinations. It is impractical to determine the amount and timing of these adjustments. The potential change in unrecognized tax benefits during the next 12 months is not expected to be material.</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225"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stock options was generally estimated on the date of grant using the following assumptions during the period: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Nine Months Ended October</w:t>
            </w:r>
          </w:p>
        </w:tc>
        <w:tc>
          <w:tcPr>
            <w:tcW w:w="0" w:type="dxa"/>
            <w:vAlign w:val="bottom"/>
          </w:tcPr>
          <w:p>
            <w:pPr>
              <w:spacing w:after="0"/>
              <w:rPr>
                <w:sz w:val="1"/>
                <w:szCs w:val="1"/>
                <w:color w:val="auto"/>
              </w:rPr>
            </w:pPr>
          </w:p>
        </w:tc>
      </w:tr>
      <w:tr>
        <w:trPr>
          <w:trHeight w:val="192"/>
        </w:trPr>
        <w:tc>
          <w:tcPr>
            <w:tcW w:w="8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3.82 - 5.63</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 - 1.0%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- 37.1%</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526"/>
        </w:trPr>
        <w:tc>
          <w:tcPr>
            <w:tcW w:w="8100" w:type="dxa"/>
            <w:vAlign w:val="bottom"/>
          </w:tcPr>
          <w:p>
            <w:pPr>
              <w:ind w:left="660"/>
              <w:spacing w:after="0"/>
              <w:rPr>
                <w:sz w:val="20"/>
                <w:szCs w:val="20"/>
                <w:color w:val="auto"/>
              </w:rPr>
            </w:pPr>
            <w:r>
              <w:rPr>
                <w:rFonts w:ascii="Arial" w:cs="Arial" w:eastAsia="Arial" w:hAnsi="Arial"/>
                <w:sz w:val="18"/>
                <w:szCs w:val="18"/>
                <w:color w:val="auto"/>
                <w:w w:val="91"/>
              </w:rPr>
              <w:t>The stock options granted during the three and nine months ended October 31, 2022 were immaterial.</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tcPr>
          <w:p>
            <w:pPr>
              <w:ind w:left="660"/>
              <w:spacing w:after="0"/>
              <w:rPr>
                <w:sz w:val="20"/>
                <w:szCs w:val="20"/>
                <w:color w:val="auto"/>
              </w:rPr>
            </w:pPr>
            <w:r>
              <w:rPr>
                <w:rFonts w:ascii="Arial" w:cs="Arial" w:eastAsia="Arial" w:hAnsi="Arial"/>
                <w:sz w:val="18"/>
                <w:szCs w:val="18"/>
                <w:color w:val="auto"/>
                <w:w w:val="92"/>
              </w:rPr>
              <w:t>The following table is a summary of stock option activity for the nine months ended October 31, 2022:</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94"/>
        </w:trPr>
        <w:tc>
          <w:tcPr>
            <w:tcW w:w="810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31, 2022</w:t>
            </w:r>
          </w:p>
        </w:tc>
        <w:tc>
          <w:tcPr>
            <w:tcW w:w="1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3,938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October 31, 2022</w:t>
            </w:r>
          </w:p>
        </w:tc>
        <w:tc>
          <w:tcPr>
            <w:tcW w:w="15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3,124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Options vested and expected to vest at October 31, 2022</w:t>
            </w:r>
          </w:p>
        </w:tc>
        <w:tc>
          <w:tcPr>
            <w:tcW w:w="1520" w:type="dxa"/>
            <w:vAlign w:val="bottom"/>
            <w:tcBorders>
              <w:bottom w:val="single" w:sz="8" w:color="auto"/>
            </w:tcBorders>
            <w:gridSpan w:val="2"/>
          </w:tcPr>
          <w:p>
            <w:pPr>
              <w:jc w:val="right"/>
              <w:ind w:right="8"/>
              <w:spacing w:after="0" w:line="203" w:lineRule="exact"/>
              <w:rPr>
                <w:sz w:val="20"/>
                <w:szCs w:val="20"/>
                <w:color w:val="auto"/>
              </w:rPr>
            </w:pPr>
            <w:r>
              <w:rPr>
                <w:rFonts w:ascii="Arial" w:cs="Arial" w:eastAsia="Arial" w:hAnsi="Arial"/>
                <w:sz w:val="18"/>
                <w:szCs w:val="18"/>
                <w:color w:val="auto"/>
              </w:rPr>
              <w:t>3,124</w:t>
            </w:r>
          </w:p>
        </w:tc>
        <w:tc>
          <w:tcPr>
            <w:tcW w:w="2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October 31, 2022</w:t>
            </w:r>
          </w:p>
        </w:tc>
        <w:tc>
          <w:tcPr>
            <w:tcW w:w="15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2,669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Options outstanding include 351,989 options that were unvested and exercisable as of October 31, 2022.</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aggregate intrinsic value of options vested and exercisable was $409.1 million and $480.5 million as of October 31, 2022 and January 31, 2022, respectively. The weighted-average remaining contractual term of options vested and exercisable was 5.2 years and 5.7 years as of October 31, 2022 and January 31, 2022, respectively.</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weighted-average grant date fair values of all options granted was $116.30 and $180.08 per share during the nine months ended October 31, 2022 and October 31, 2021, respectively. The total intrinsic value of all options exercised was $23.7 million and $94.9 million during the three months ended October 31, 2022 and October 31, 2021, respectively, and $141.4 million and $483.3 million during the nine months ended October 31, 2022 and October 31, 2021, respectively.</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aggregate intrinsic value of stock options outstanding as of October 31, 2022 and January 31, 2022 was $476.9 million and $678.0 million, respectively, which represents the excess of the fair value of the Company’s common stock over the exercise price of the options multiplied by the number of options outstanding. The weighted-average remaining contractual term of stock options outstanding was 5.4 years and 6.1 years as of October 31, 2022 and January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Total unrecognized stock-based compensation expense related to unvested options was $7.1 million as of October 31, 2022. This expense is expected to be amortized on a straight-line basis over a weighted-average vesting period of 1.6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during the three and nine months ended October 31, 2022 or October 31, 2021. As of October 31, 2022, there were no shares of common stock related to early exercised stock options subject to repurchase. As of January 31, 2022, the number of shares of common stock related to early exercised stock options subject to repurchase was 197,994 shares for $2.2 million. Common stock purchased pursuant to an early exercise of stock options is not deemed to be outstanding for accounting purposes until those shares vest. The Company includes unvested shares subject to repurchase in the number of shares outstanding in the condensed consolidated balance sheet and statements of stockholders’ equity.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Restricted Stock Units (“RSUs”) granted under the 2019 Plan are generally subject to only a service-based vesting condition. The service-based vesting condition is generally satisfied based on one of four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(iii) vesting in eight equal quarterly installments, subject to continued service, or (iv) vesting sixteen quarterly installments with 10% in the first year, 15% in the second year, 25% in the third year and 50% in the fourth year, subject to continued service. The valuation of such RSUs is based solely on the fair value of the Company’s stock price on the date of grant.</w:t>
      </w:r>
    </w:p>
    <w:p>
      <w:pPr>
        <w:spacing w:after="0" w:line="17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Expense for RSUs is generally amortized on a straight-line basis. Total unrecognized stock-based compensation expense related to unvested RSUs was $1.3 billion as of October 31, 2022. This expense is expected to be amortized (subject to acceleration or straight-line basis) over a weighted-average vesting period of 2.8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Performance-based Stock Units</w:t>
      </w:r>
    </w:p>
    <w:p>
      <w:pPr>
        <w:spacing w:after="0" w:line="225" w:lineRule="exact"/>
        <w:rPr>
          <w:sz w:val="20"/>
          <w:szCs w:val="20"/>
          <w:color w:val="auto"/>
        </w:rPr>
      </w:pPr>
    </w:p>
    <w:p>
      <w:pPr>
        <w:ind w:right="200" w:firstLine="648"/>
        <w:spacing w:after="0" w:line="249" w:lineRule="auto"/>
        <w:rPr>
          <w:sz w:val="20"/>
          <w:szCs w:val="20"/>
          <w:color w:val="auto"/>
        </w:rPr>
      </w:pPr>
      <w:r>
        <w:rPr>
          <w:rFonts w:ascii="Arial" w:cs="Arial" w:eastAsia="Arial" w:hAnsi="Arial"/>
          <w:sz w:val="18"/>
          <w:szCs w:val="18"/>
          <w:color w:val="auto"/>
        </w:rPr>
        <w:t>Performance-based stock units (“PSUs”)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compensation cost is recognized over the requisite service period when it is probable that the performance condition will be satisfied.</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Expense for PSUs is amortized under the accelerated attribution method and may be adjusted over the vesting period based on interim estimates of performance against pre-set objectives.</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Total unrecognized stock-based compensation expense related to unvested PSUs was $80.1 million as of October 31, 2022. This expense is expected to be amortized over a weighted-average vesting period of 1.2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PSU Awards</w:t>
      </w:r>
    </w:p>
    <w:p>
      <w:pPr>
        <w:spacing w:after="0" w:line="2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In fiscal 2022 the Company’s Board of Directors granted 655,000 performance stock units (the “Special PSU Awards”) to certain executives under the 2019 Plan. The Special PSU Awards will vest upon the satisfaction of the Company’s achievement of specified stock price hurdles, which is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w:t>
      </w:r>
      <w:r>
        <w:rPr>
          <w:rFonts w:ascii="Arial" w:cs="Arial" w:eastAsia="Arial" w:hAnsi="Arial"/>
          <w:sz w:val="17"/>
          <w:szCs w:val="17"/>
          <w:i w:val="1"/>
          <w:iCs w:val="1"/>
          <w:color w:val="auto"/>
        </w:rPr>
        <w:t>i.e.</w:t>
      </w:r>
      <w:r>
        <w:rPr>
          <w:rFonts w:ascii="Arial" w:cs="Arial" w:eastAsia="Arial" w:hAnsi="Arial"/>
          <w:sz w:val="17"/>
          <w:szCs w:val="17"/>
          <w:color w:val="auto"/>
        </w:rPr>
        <w:t>, February 1, 2022, February 1, 2023, February 1, 2024 and February 1, 2025) and (ii) the remaining PSUs with respect to such tranche will thereafter service vest in four equal quarterly installments of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The Company measured the fair value of the Special PSU Awards on the grant date using a Monte Carlo simulation valuation model. The risk-free interest rates used were 0.85% -1.51%, which was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w:t>
      </w:r>
    </w:p>
    <w:p>
      <w:pPr>
        <w:spacing w:after="0" w:line="20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Stock-based compensation expense relating to the Special PSU Awards is recognized using the accelerated attribution method over the longer of the derived service period and the explicit service period.</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Total unrecognized stock-based compensation expense related to the unvested portion of the Special PSU Awards was $79.4 million as of October 31, 2022. This expense is expected to be amortized over a weighted-average vesting period of 2.1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is a summary of RSUs, PSUs and the Special PSU Awards activities for the nine months ended October 31,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r>
      <w:tr>
        <w:trPr>
          <w:trHeight w:val="139"/>
        </w:trPr>
        <w:tc>
          <w:tcPr>
            <w:tcW w:w="8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95"/>
              </w:rPr>
              <w:t>Average Grant</w:t>
            </w:r>
          </w:p>
        </w:tc>
      </w:tr>
      <w:tr>
        <w:trPr>
          <w:trHeight w:val="158"/>
        </w:trPr>
        <w:tc>
          <w:tcPr>
            <w:tcW w:w="810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w w:val="94"/>
              </w:rPr>
              <w:t>Date Fair Value</w:t>
            </w:r>
          </w:p>
        </w:tc>
      </w:tr>
      <w:tr>
        <w:trPr>
          <w:trHeight w:val="196"/>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Per Share</w:t>
            </w:r>
          </w:p>
        </w:tc>
      </w:tr>
      <w:tr>
        <w:trPr>
          <w:trHeight w:val="194"/>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RSUs and PSUs outstanding at January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125.04</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5,040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186.91</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w:t>
            </w:r>
          </w:p>
        </w:tc>
      </w:tr>
      <w:tr>
        <w:trPr>
          <w:trHeight w:val="230"/>
        </w:trPr>
        <w:tc>
          <w:tcPr>
            <w:tcW w:w="8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Performance adjustment </w:t>
            </w:r>
            <w:r>
              <w:rPr>
                <w:rFonts w:ascii="Arial" w:cs="Arial" w:eastAsia="Arial" w:hAnsi="Arial"/>
                <w:sz w:val="23"/>
                <w:szCs w:val="23"/>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194.19</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RSUs and PSUs outstanding at October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160.97</w:t>
            </w:r>
          </w:p>
        </w:tc>
      </w:tr>
      <w:tr>
        <w:trPr>
          <w:trHeight w:val="20"/>
        </w:trPr>
        <w:tc>
          <w:tcPr>
            <w:tcW w:w="8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234" w:lineRule="exact"/>
        <w:rPr>
          <w:sz w:val="20"/>
          <w:szCs w:val="20"/>
          <w:color w:val="auto"/>
        </w:rPr>
      </w:pPr>
    </w:p>
    <w:p>
      <w:pPr>
        <w:ind w:left="660" w:right="120" w:hanging="652"/>
        <w:spacing w:after="0" w:line="29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performance adjustment represents adjustments in shares outstanding due to the actual achievement of performance-based awards, the achievement of which was based upon predefined financial performance targets.</w:t>
      </w:r>
    </w:p>
    <w:p>
      <w:pPr>
        <w:spacing w:after="0" w:line="15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8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648"/>
        <w:spacing w:after="0" w:line="278" w:lineRule="auto"/>
        <w:rPr>
          <w:sz w:val="20"/>
          <w:szCs w:val="20"/>
          <w:color w:val="auto"/>
        </w:rPr>
      </w:pPr>
      <w:r>
        <w:rPr>
          <w:rFonts w:ascii="Arial" w:cs="Arial" w:eastAsia="Arial" w:hAnsi="Arial"/>
          <w:sz w:val="16"/>
          <w:szCs w:val="16"/>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pre- and post-modification fair values are calculated on the date of the modification, and the total incremental expense was $11.4 million to be amortized over the remaining purchase periods.</w:t>
      </w:r>
    </w:p>
    <w:p>
      <w:pPr>
        <w:spacing w:after="0" w:line="16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ESPP offers a two-year look-back feature as well as a rollover feature that provides for an offering period to be rolled over to a new lower-priced offering if the offering price of the new offering period is less than that of the current offering period. An ESPP rollover occurred on June 13, 2022 because the Company’s closing stock price on the purchase date, June 10, 2022, was lower than the Company’s closing stock price on December 11, 2020, June 11, 2021, and December 13, 2021, which were the first days of each offering period. As a result, these offering dates were rolled over to a new 24-month offering period through June 10, 2024. This rollover was accounted for as a modification to the original offerings. The total incremental expense as a result of such modification was $30.9 million to be amortized from June 13, 2022 to June 10, 2024.</w:t>
      </w:r>
    </w:p>
    <w:p>
      <w:pPr>
        <w:spacing w:after="0" w:line="17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Employee payroll contributions ultimately used to purchase shares are reclassified to stockholders’ equity on the purchase date. ESPP employee payroll contributions accrued at October 31, 2022 and January 31, 2022 totaled $22.8 million and $14.8 million respectively, and are included within accrued payroll and benefits in the condensed consolidated balance sheets.</w:t>
      </w:r>
    </w:p>
    <w:p>
      <w:pPr>
        <w:spacing w:after="0" w:line="18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to be issued under the ESPP for the offering periods beginning in June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5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 October 31,</w:t>
            </w:r>
          </w:p>
        </w:tc>
      </w:tr>
      <w:tr>
        <w:trPr>
          <w:trHeight w:val="223"/>
        </w:trPr>
        <w:tc>
          <w:tcPr>
            <w:tcW w:w="76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0.5 - 2.0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0.5 - 2.0</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40" w:type="dxa"/>
            <w:vAlign w:val="bottom"/>
          </w:tcPr>
          <w:p>
            <w:pPr>
              <w:jc w:val="right"/>
              <w:spacing w:after="0"/>
              <w:rPr>
                <w:sz w:val="20"/>
                <w:szCs w:val="20"/>
                <w:color w:val="auto"/>
              </w:rPr>
            </w:pPr>
            <w:r>
              <w:rPr>
                <w:rFonts w:ascii="Arial" w:cs="Arial" w:eastAsia="Arial" w:hAnsi="Arial"/>
                <w:sz w:val="18"/>
                <w:szCs w:val="18"/>
                <w:color w:val="auto"/>
              </w:rPr>
              <w:t>0.1% - 3.4%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0.0% - 1.9%</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- 67.4%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 - 55.9%</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included in the condensed consolidated statements of operations is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October 31,</w:t>
            </w: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6"/>
              </w:rPr>
              <w:t>Nine Months Ended October 31,</w:t>
            </w:r>
          </w:p>
        </w:tc>
      </w:tr>
      <w:tr>
        <w:trPr>
          <w:trHeight w:val="223"/>
        </w:trPr>
        <w:tc>
          <w:tcPr>
            <w:tcW w:w="4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15,548</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Professional services cost of revenue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6,963</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68,178</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120,347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70,942</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55,684</w:t>
            </w:r>
          </w:p>
        </w:tc>
      </w:tr>
      <w:tr>
        <w:trPr>
          <w:trHeight w:val="223"/>
        </w:trPr>
        <w:tc>
          <w:tcPr>
            <w:tcW w:w="454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217,315</w:t>
            </w: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108"/>
        </w:trPr>
        <w:tc>
          <w:tcPr>
            <w:tcW w:w="4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Revenue, Deferred Revenue and Remaining Performance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revenue from contracts by type of customer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6"/>
              </w:rPr>
              <w:t>Three Months Ended October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Nine Months Ended October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2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r>
      <w:tr>
        <w:trPr>
          <w:trHeight w:val="190"/>
        </w:trPr>
        <w:tc>
          <w:tcPr>
            <w:tcW w:w="2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w w:val="89"/>
              </w:rPr>
              <w:t>2021</w:t>
            </w:r>
          </w:p>
        </w:tc>
      </w:tr>
      <w:tr>
        <w:trPr>
          <w:trHeight w:val="196"/>
        </w:trPr>
        <w:tc>
          <w:tcPr>
            <w:tcW w:w="2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 Revenue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 Revenue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9"/>
              </w:rPr>
              <w:t>% Revenue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 Revenue</w:t>
            </w:r>
          </w:p>
        </w:tc>
      </w:tr>
      <w:tr>
        <w:trPr>
          <w:trHeight w:val="216"/>
        </w:trPr>
        <w:tc>
          <w:tcPr>
            <w:tcW w:w="2140" w:type="dxa"/>
            <w:vAlign w:val="bottom"/>
            <w:shd w:val="clear" w:color="auto" w:fill="CCEEFF"/>
          </w:tcPr>
          <w:p>
            <w:pPr>
              <w:jc w:val="center"/>
              <w:ind w:right="899"/>
              <w:spacing w:after="0"/>
              <w:rPr>
                <w:sz w:val="20"/>
                <w:szCs w:val="20"/>
                <w:color w:val="auto"/>
              </w:rPr>
            </w:pPr>
            <w:r>
              <w:rPr>
                <w:rFonts w:ascii="Arial" w:cs="Arial" w:eastAsia="Arial" w:hAnsi="Arial"/>
                <w:sz w:val="16"/>
                <w:szCs w:val="16"/>
                <w:color w:val="auto"/>
                <w:w w:val="89"/>
              </w:rPr>
              <w:t>Channel Partners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1,321,757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761,597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213"/>
        </w:trPr>
        <w:tc>
          <w:tcPr>
            <w:tcW w:w="2140" w:type="dxa"/>
            <w:vAlign w:val="bottom"/>
            <w:tcBorders>
              <w:bottom w:val="single" w:sz="8" w:color="CCEEFF"/>
            </w:tcBorders>
          </w:tcPr>
          <w:p>
            <w:pPr>
              <w:jc w:val="center"/>
              <w:ind w:right="879"/>
              <w:spacing w:after="0"/>
              <w:rPr>
                <w:sz w:val="20"/>
                <w:szCs w:val="20"/>
                <w:color w:val="auto"/>
              </w:rPr>
            </w:pPr>
            <w:r>
              <w:rPr>
                <w:rFonts w:ascii="Arial" w:cs="Arial" w:eastAsia="Arial" w:hAnsi="Arial"/>
                <w:sz w:val="16"/>
                <w:szCs w:val="16"/>
                <w:color w:val="auto"/>
                <w:w w:val="92"/>
              </w:rPr>
              <w:t>Direct Customers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282,112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258,987</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r>
      <w:tr>
        <w:trPr>
          <w:trHeight w:val="233"/>
        </w:trPr>
        <w:tc>
          <w:tcPr>
            <w:tcW w:w="2140" w:type="dxa"/>
            <w:vAlign w:val="bottom"/>
            <w:shd w:val="clear" w:color="auto" w:fill="CCEEFF"/>
          </w:tcPr>
          <w:p>
            <w:pPr>
              <w:jc w:val="center"/>
              <w:ind w:right="879"/>
              <w:spacing w:after="0"/>
              <w:rPr>
                <w:sz w:val="20"/>
                <w:szCs w:val="20"/>
                <w:color w:val="auto"/>
              </w:rPr>
            </w:pPr>
            <w:r>
              <w:rPr>
                <w:rFonts w:ascii="Arial" w:cs="Arial" w:eastAsia="Arial" w:hAnsi="Arial"/>
                <w:sz w:val="16"/>
                <w:szCs w:val="16"/>
                <w:color w:val="auto"/>
                <w:w w:val="91"/>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580,882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1,603,869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1,020,584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7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also uses referral and marketplace partners. Referral partners refer customers in exchange for a referral fee while marketplace partners process the transactions and charge a transaction processing fee. For both sets of partners,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revenue by region based on the shipping address of customers who have contracted to use the Company’s platform or service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7"/>
              </w:rPr>
              <w:t>Three Months Ended October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Nine Months Ended October 31,</w:t>
            </w:r>
          </w:p>
        </w:tc>
        <w:tc>
          <w:tcPr>
            <w:tcW w:w="940" w:type="dxa"/>
            <w:vAlign w:val="bottom"/>
          </w:tcPr>
          <w:p>
            <w:pPr>
              <w:spacing w:after="0"/>
              <w:rPr>
                <w:sz w:val="16"/>
                <w:szCs w:val="16"/>
                <w:color w:val="auto"/>
              </w:rPr>
            </w:pPr>
          </w:p>
        </w:tc>
      </w:tr>
      <w:tr>
        <w:trPr>
          <w:trHeight w:val="25"/>
        </w:trPr>
        <w:tc>
          <w:tcPr>
            <w:tcW w:w="2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2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r>
      <w:tr>
        <w:trPr>
          <w:trHeight w:val="196"/>
        </w:trPr>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ind w:right="101"/>
              <w:spacing w:after="0"/>
              <w:rPr>
                <w:sz w:val="20"/>
                <w:szCs w:val="20"/>
                <w:color w:val="auto"/>
              </w:rPr>
            </w:pPr>
            <w:r>
              <w:rPr>
                <w:rFonts w:ascii="Arial" w:cs="Arial" w:eastAsia="Arial" w:hAnsi="Arial"/>
                <w:sz w:val="14"/>
                <w:szCs w:val="14"/>
                <w:b w:val="1"/>
                <w:bCs w:val="1"/>
                <w:color w:val="auto"/>
                <w:w w:val="93"/>
              </w:rPr>
              <w:t>% Revenue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right"/>
              <w:ind w:right="101"/>
              <w:spacing w:after="0"/>
              <w:rPr>
                <w:sz w:val="20"/>
                <w:szCs w:val="20"/>
                <w:color w:val="auto"/>
              </w:rPr>
            </w:pPr>
            <w:r>
              <w:rPr>
                <w:rFonts w:ascii="Arial" w:cs="Arial" w:eastAsia="Arial" w:hAnsi="Arial"/>
                <w:sz w:val="14"/>
                <w:szCs w:val="14"/>
                <w:b w:val="1"/>
                <w:bCs w:val="1"/>
                <w:color w:val="auto"/>
                <w:w w:val="96"/>
              </w:rPr>
              <w:t>% Revenue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w w:val="96"/>
              </w:rPr>
              <w:t>% Revenue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 Revenue</w:t>
            </w:r>
          </w:p>
        </w:tc>
      </w:tr>
      <w:tr>
        <w:trPr>
          <w:trHeight w:val="216"/>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403,302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276,698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1,123,153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741,168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w w:val="97"/>
              </w:rPr>
              <w:t>Europe, Middle East, and Africa</w:t>
            </w:r>
          </w:p>
        </w:tc>
        <w:tc>
          <w:tcPr>
            <w:tcW w:w="18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85,665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50,721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138,920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60,011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99,263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13"/>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31,904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41,233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r>
      <w:tr>
        <w:trPr>
          <w:trHeight w:val="238"/>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580,882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1,020,584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revenue during the three and nine months ended October 31, 2022 and October 31,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Contract liabilities consist of deferred revenue and include payments received in advance of performance under the contract. Such amounts are recognized as revenue over the contractual period. The Company recognized revenue of $498.0 million and $316.2 million for the three months ended October 31, 2022 and October 31, 2021, respectively, and $972.4 million and $598.8 million for the nine months ended October 31, 2022 and October 31, 2021, respectively, that were included in the corresponding contract liability balance at the beginning of the period.</w:t>
      </w:r>
    </w:p>
    <w:p>
      <w:pPr>
        <w:spacing w:after="0" w:line="157"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deferred revenue were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October 31,</w:t>
            </w:r>
          </w:p>
        </w:tc>
        <w:tc>
          <w:tcPr>
            <w:tcW w:w="260" w:type="dxa"/>
            <w:vAlign w:val="bottom"/>
          </w:tcPr>
          <w:p>
            <w:pPr>
              <w:spacing w:after="0"/>
              <w:rPr>
                <w:sz w:val="18"/>
                <w:szCs w:val="18"/>
                <w:color w:val="auto"/>
              </w:rPr>
            </w:pPr>
          </w:p>
        </w:tc>
        <w:tc>
          <w:tcPr>
            <w:tcW w:w="284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w w:val="98"/>
              </w:rPr>
              <w:t>Nine Months Ended October 31,</w:t>
            </w:r>
          </w:p>
        </w:tc>
      </w:tr>
      <w:tr>
        <w:trPr>
          <w:trHeight w:val="210"/>
        </w:trPr>
        <w:tc>
          <w:tcPr>
            <w:tcW w:w="4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50"/>
        </w:trPr>
        <w:tc>
          <w:tcPr>
            <w:tcW w:w="49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Carrying Amount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2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89"/>
              </w:rPr>
              <w:t>1,529,321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911,895</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Additions to deferred revenue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752,269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503,890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273"/>
              <w:spacing w:after="0"/>
              <w:rPr>
                <w:sz w:val="20"/>
                <w:szCs w:val="20"/>
                <w:color w:val="auto"/>
              </w:rPr>
            </w:pPr>
            <w:r>
              <w:rPr>
                <w:rFonts w:ascii="Arial" w:cs="Arial" w:eastAsia="Arial" w:hAnsi="Arial"/>
                <w:sz w:val="18"/>
                <w:szCs w:val="18"/>
                <w:color w:val="auto"/>
                <w:w w:val="89"/>
              </w:rPr>
              <w:t>2,090,087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1,396,885</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1"/>
              </w:rPr>
              <w:t>(1,603,869)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(1,020,584)</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2,015,539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1,288,196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89"/>
              </w:rPr>
              <w:t>2,015,539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1,288,196</w:t>
            </w:r>
          </w:p>
        </w:tc>
      </w:tr>
      <w:tr>
        <w:trPr>
          <w:trHeight w:val="21"/>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October 31, 2022, the aggregate amount of the transaction price allocated to remaining performance obligations was $2.8 billion. The Company expects to recognize approximately 64% of the remaining performance obligations in the 12 months following October 31, 2022 and 35% between 13 to 36 months, with the remainder to be recognized thereafter.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to Obtain and Fulfill a Contract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capitalizes referral fees paid to partners and sales commission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eight months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nine months ended October 31, 2022 and October 31, 2021.</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of deferred contract acquisition costs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October 31,</w:t>
            </w:r>
          </w:p>
        </w:tc>
        <w:tc>
          <w:tcPr>
            <w:tcW w:w="320" w:type="dxa"/>
            <w:vAlign w:val="bottom"/>
          </w:tcPr>
          <w:p>
            <w:pPr>
              <w:spacing w:after="0"/>
              <w:rPr>
                <w:sz w:val="18"/>
                <w:szCs w:val="18"/>
                <w:color w:val="auto"/>
              </w:rPr>
            </w:pPr>
          </w:p>
        </w:tc>
        <w:tc>
          <w:tcPr>
            <w:tcW w:w="2960" w:type="dxa"/>
            <w:vAlign w:val="bottom"/>
            <w:gridSpan w:val="4"/>
          </w:tcPr>
          <w:p>
            <w:pPr>
              <w:ind w:left="200"/>
              <w:spacing w:after="0"/>
              <w:rPr>
                <w:sz w:val="20"/>
                <w:szCs w:val="20"/>
                <w:color w:val="auto"/>
              </w:rPr>
            </w:pPr>
            <w:r>
              <w:rPr>
                <w:rFonts w:ascii="Arial" w:cs="Arial" w:eastAsia="Arial" w:hAnsi="Arial"/>
                <w:sz w:val="16"/>
                <w:szCs w:val="16"/>
                <w:b w:val="1"/>
                <w:bCs w:val="1"/>
                <w:color w:val="auto"/>
              </w:rPr>
              <w:t>Nine Months Ended October 31,</w:t>
            </w:r>
          </w:p>
        </w:tc>
      </w:tr>
      <w:tr>
        <w:trPr>
          <w:trHeight w:val="210"/>
        </w:trPr>
        <w:tc>
          <w:tcPr>
            <w:tcW w:w="4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2021</w:t>
            </w:r>
          </w:p>
        </w:tc>
      </w:tr>
      <w:tr>
        <w:trPr>
          <w:trHeight w:val="22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9"/>
              </w:rPr>
              <w:t>319,180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198,756</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center"/>
              <w:ind w:left="452"/>
              <w:spacing w:after="0"/>
              <w:rPr>
                <w:sz w:val="20"/>
                <w:szCs w:val="20"/>
                <w:color w:val="auto"/>
              </w:rPr>
            </w:pPr>
            <w:r>
              <w:rPr>
                <w:rFonts w:ascii="Arial" w:cs="Arial" w:eastAsia="Arial" w:hAnsi="Arial"/>
                <w:sz w:val="18"/>
                <w:szCs w:val="18"/>
                <w:color w:val="auto"/>
                <w:w w:val="89"/>
              </w:rPr>
              <w:t>183,265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ind w:left="560"/>
              <w:spacing w:after="0"/>
              <w:rPr>
                <w:sz w:val="20"/>
                <w:szCs w:val="20"/>
                <w:color w:val="auto"/>
              </w:rPr>
            </w:pPr>
            <w:r>
              <w:rPr>
                <w:rFonts w:ascii="Arial" w:cs="Arial" w:eastAsia="Arial" w:hAnsi="Arial"/>
                <w:sz w:val="18"/>
                <w:szCs w:val="18"/>
                <w:color w:val="auto"/>
                <w:w w:val="98"/>
              </w:rPr>
              <w:t>151,901</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w w:val="90"/>
              </w:rPr>
              <w:t>(121,550)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2"/>
              </w:rPr>
              <w:t>(79,712)</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380,895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9"/>
              </w:rPr>
              <w:t>380,895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8"/>
              </w:rPr>
              <w:t>270,945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162,260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108,636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center"/>
              <w:ind w:left="452"/>
              <w:spacing w:after="0"/>
              <w:rPr>
                <w:sz w:val="20"/>
                <w:szCs w:val="20"/>
                <w:color w:val="auto"/>
              </w:rPr>
            </w:pPr>
            <w:r>
              <w:rPr>
                <w:rFonts w:ascii="Arial" w:cs="Arial" w:eastAsia="Arial" w:hAnsi="Arial"/>
                <w:sz w:val="18"/>
                <w:szCs w:val="18"/>
                <w:color w:val="auto"/>
                <w:w w:val="89"/>
              </w:rPr>
              <w:t>162,260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560"/>
              <w:spacing w:after="0"/>
              <w:rPr>
                <w:sz w:val="20"/>
                <w:szCs w:val="20"/>
                <w:color w:val="auto"/>
              </w:rPr>
            </w:pPr>
            <w:r>
              <w:rPr>
                <w:rFonts w:ascii="Arial" w:cs="Arial" w:eastAsia="Arial" w:hAnsi="Arial"/>
                <w:sz w:val="18"/>
                <w:szCs w:val="18"/>
                <w:color w:val="auto"/>
                <w:w w:val="98"/>
              </w:rPr>
              <w:t>108,636</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9"/>
              </w:rPr>
              <w:t>218,635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8"/>
              </w:rPr>
              <w:t>162,309</w:t>
            </w:r>
          </w:p>
        </w:tc>
      </w:tr>
      <w:tr>
        <w:trPr>
          <w:trHeight w:val="223"/>
        </w:trPr>
        <w:tc>
          <w:tcPr>
            <w:tcW w:w="4580" w:type="dxa"/>
            <w:vAlign w:val="bottom"/>
          </w:tcPr>
          <w:p>
            <w:pPr>
              <w:ind w:left="140"/>
              <w:spacing w:after="0"/>
              <w:rPr>
                <w:sz w:val="20"/>
                <w:szCs w:val="20"/>
                <w:color w:val="auto"/>
              </w:rPr>
            </w:pPr>
            <w:r>
              <w:rPr>
                <w:rFonts w:ascii="Arial" w:cs="Arial" w:eastAsia="Arial" w:hAnsi="Arial"/>
                <w:sz w:val="18"/>
                <w:szCs w:val="18"/>
                <w:color w:val="auto"/>
              </w:rPr>
              <w:t>Total deferred contract acquisition costs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380,895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9"/>
              </w:rPr>
              <w:t>380,895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8"/>
              </w:rPr>
              <w:t>270,945</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162"/>
        </w:trPr>
        <w:tc>
          <w:tcPr>
            <w:tcW w:w="4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8600" w:hanging="652"/>
        <w:spacing w:after="0" w:line="601" w:lineRule="auto"/>
        <w:tabs>
          <w:tab w:leader="none" w:pos="192" w:val="left"/>
        </w:tabs>
        <w:numPr>
          <w:ilvl w:val="0"/>
          <w:numId w:val="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Purchase Obligations</w:t>
      </w:r>
    </w:p>
    <w:p>
      <w:pPr>
        <w:ind w:right="60" w:firstLine="648"/>
        <w:spacing w:after="0" w:line="263" w:lineRule="auto"/>
        <w:rPr>
          <w:sz w:val="20"/>
          <w:szCs w:val="20"/>
          <w:color w:val="auto"/>
        </w:rPr>
      </w:pPr>
      <w:r>
        <w:rPr>
          <w:rFonts w:ascii="Arial" w:cs="Arial" w:eastAsia="Arial" w:hAnsi="Arial"/>
          <w:sz w:val="18"/>
          <w:szCs w:val="18"/>
          <w:color w:val="auto"/>
        </w:rPr>
        <w:t>The Company enters into long-term non-cancelable agreements with providers to purchase data center capacity, such as bandwidth and colocation space, for the Company’s cloud platform. As of October 31, 2022, the Company is committed to spend $83.7 million on such agreements through fiscal 2030. These obligations are included in purchase obligations below.</w:t>
      </w:r>
    </w:p>
    <w:p>
      <w:pPr>
        <w:spacing w:after="0" w:line="130" w:lineRule="exact"/>
        <w:rPr>
          <w:sz w:val="20"/>
          <w:szCs w:val="20"/>
          <w:color w:val="auto"/>
        </w:rPr>
      </w:pPr>
    </w:p>
    <w:p>
      <w:pPr>
        <w:ind w:right="120" w:firstLine="648"/>
        <w:spacing w:after="0" w:line="280" w:lineRule="auto"/>
        <w:rPr>
          <w:sz w:val="20"/>
          <w:szCs w:val="20"/>
          <w:color w:val="auto"/>
        </w:rPr>
      </w:pPr>
      <w:r>
        <w:rPr>
          <w:rFonts w:ascii="Arial" w:cs="Arial" w:eastAsia="Arial" w:hAnsi="Arial"/>
          <w:sz w:val="17"/>
          <w:szCs w:val="17"/>
          <w:color w:val="auto"/>
        </w:rPr>
        <w:t>In the normal course of business, the Company enters into non-cancelable purchase commitments with various parties to purchase products and services such as advertising, technology, equipment, office renovations, corporate events, and consulting services. A summary of non-cancelable purchase obligations in excess of one year as of October 31, 2022 with expected date of payment is as follows (in thousands):</w:t>
      </w:r>
    </w:p>
    <w:tbl>
      <w:tblPr>
        <w:tblLayout w:type="fixed"/>
        <w:tblInd w:w="0" w:type="dxa"/>
        <w:tblCellMar>
          <w:top w:w="0" w:type="dxa"/>
          <w:left w:w="0" w:type="dxa"/>
          <w:bottom w:w="0" w:type="dxa"/>
          <w:right w:w="0" w:type="dxa"/>
        </w:tblCellMar>
      </w:tblPr>
      <w:tr>
        <w:trPr>
          <w:trHeight w:val="181"/>
        </w:trPr>
        <w:tc>
          <w:tcPr>
            <w:tcW w:w="9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470"/>
              <w:spacing w:after="0" w:line="181" w:lineRule="exact"/>
              <w:rPr>
                <w:sz w:val="20"/>
                <w:szCs w:val="20"/>
                <w:color w:val="auto"/>
              </w:rPr>
            </w:pPr>
            <w:r>
              <w:rPr>
                <w:rFonts w:ascii="Arial" w:cs="Arial" w:eastAsia="Arial" w:hAnsi="Arial"/>
                <w:sz w:val="18"/>
                <w:szCs w:val="18"/>
                <w:b w:val="1"/>
                <w:bCs w:val="1"/>
                <w:color w:val="auto"/>
              </w:rPr>
              <w:t>Total</w:t>
            </w:r>
          </w:p>
        </w:tc>
      </w:tr>
      <w:tr>
        <w:trPr>
          <w:trHeight w:val="239"/>
        </w:trPr>
        <w:tc>
          <w:tcPr>
            <w:tcW w:w="9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Commitments</w:t>
            </w:r>
          </w:p>
        </w:tc>
      </w:tr>
      <w:tr>
        <w:trPr>
          <w:trHeight w:val="227"/>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 (remaining three months)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51,050</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80,653</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36,234</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9,877</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purchase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184,135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October 2021, the Company entered into a new private pricing addendum with Amazon Web Services (“AWS”), which provides the Company with cloud computing infrastructure. Under the new pricing addendum, the minimum commitment is $600.0 million of cloud services from AWS through September 2026. As of October 31, 2022, the Company had utilized $223.6 million of this commitment. The remaining commitment is excluded from the table above and the Company expects to meet its remaining commitment with AWS.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of October 31, 2022, the Company has entered into non-cancelable operating leases with terms greater than 12 months that have not yet commenced with undiscounted future minimum payments of approximately $18.7 million. These operating leases are expected to commence during the fourth quarter of fiscal 2023 with lease terms up to six years. There have been no other significant changes to the Company’s leases as disclosed in the Company’s Annual Report on Form 10-K for the year ended January 31,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October 31, 2022 and January 31, 2022, the Company had unused standby letters of credit for $0.4 million securing its facility in Sunnyvale, California, and $0.8 million securing its principal executive offices in Austin, Texas.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In June 2022, the Company and Fair Isaac Corporation (“FICO”) resolved a trademark dispute that was pending before the Trademark Trial and Appellate Board (“TTAB”) at the U.S. Patent and Trademark Office. The TTAB dismissed all proceedings between the parties in July 2022.</w:t>
      </w:r>
    </w:p>
    <w:p>
      <w:pPr>
        <w:spacing w:after="0" w:line="137"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In May 2022, CrowdStrike, Inc. asserted counterclaims alleging that certain of Webroot’s products infringe two patents. In the filing, CrowdStrike, Inc. sought unspecified damages, reasonable fees and costs, and a permanent injunction. In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September 2022, Webroot amended its complaint to assert six additional patents. The Company intends to vigorously defend against Webroot’s allegations.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2022, the Company is unable to predict the likelihood of success of Webroot’s claims or estimate a loss or a range of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2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7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October 31, 2022 or January 31, 2022.</w:t>
      </w:r>
    </w:p>
    <w:p>
      <w:pPr>
        <w:spacing w:after="0" w:line="166" w:lineRule="exact"/>
        <w:rPr>
          <w:sz w:val="20"/>
          <w:szCs w:val="20"/>
          <w:color w:val="auto"/>
        </w:rPr>
      </w:pPr>
    </w:p>
    <w:p>
      <w:pPr>
        <w:ind w:left="660" w:right="9580" w:hanging="652"/>
        <w:spacing w:after="0" w:line="601" w:lineRule="auto"/>
        <w:tabs>
          <w:tab w:leader="none" w:pos="192"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Acquisitions Reposify Ltd.</w:t>
      </w:r>
    </w:p>
    <w:p>
      <w:pPr>
        <w:ind w:right="100" w:firstLine="648"/>
        <w:spacing w:after="0" w:line="288" w:lineRule="auto"/>
        <w:rPr>
          <w:sz w:val="20"/>
          <w:szCs w:val="20"/>
          <w:color w:val="auto"/>
        </w:rPr>
      </w:pPr>
      <w:r>
        <w:rPr>
          <w:rFonts w:ascii="Arial" w:cs="Arial" w:eastAsia="Arial" w:hAnsi="Arial"/>
          <w:sz w:val="16"/>
          <w:szCs w:val="16"/>
          <w:color w:val="auto"/>
        </w:rPr>
        <w:t>On October 3, 2022, the Company acquired 100% of the equity interest of Reposify Ltd. (“Reposify”), a privately-held company that provides an external attack surface management platform that scans the internet for exposed assets of an organization to detect and eliminate risk from vulnerable and unknown assets before attackers can exploit them. The acquisition has been accounted for as a business combination. The total consideration transferred consisted of $18.9 million, net of cash acquired of $0.5 million, and an immaterial amount representing the fair value of replacement equity awards attributable to pre-acquisition service. The remaining fair value of these replacement awards is subject to the recipient’s continued service and thus were excluded from the purchase price. The purchase price was allocated on a preliminary basis, subject to working capital adjustment and continuing management analysis, to developed technology of $3.8 million, net tangible assets acquired of $0.9 million, and goodwill of $14.2 million, which was allocated to the Company’s one reporting unit and represents the excess of the purchase price over the fair value of net tangible and intangible assets acquired. The goodwill was primarily attributable to the assembled workforce of Reposify, planned growth in new markets, and synergies expected to be achieved from the integration of Reposify. Goodwill was not deductible for income tax purposes.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developed technology acquired was $3.8 million with a useful life of 72 months.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acquisition costs during the nine months ended October 31, 2022 were not material. The acquisition costs are recorded in general and administrative expenses on the Company’s condensed consolidated statement of operations.</w:t>
      </w:r>
    </w:p>
    <w:p>
      <w:pPr>
        <w:spacing w:after="0" w:line="170"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The results of operations of Reposify have been included in the Company’s condensed consolidated financial statements from the date of acquisition. The acquisition of Reposify did not have a material impact on the Company’s condensed consolidated financial statements, and therefore historical and pro forma disclosures have not been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Secure Circle, LLC</w:t>
      </w:r>
    </w:p>
    <w:p>
      <w:pPr>
        <w:spacing w:after="0" w:line="225"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On November 29, 2021, the Company acquired 100% of the equity interest of Secure Circle, LLC (“SecureCircle”), a SaaS-based cybersecurity service that extends Zero Trust security to data on, from and to the endpoint. The acquisition has been accounted for as a business combination. The total consideration transferred was $60.8 million, which consisted solely of cash. The purchase price was allocated, on a preliminary basis, to identified intangible assets, which include developed technology and customer relationships of $18.3 million, net tangible assets acquired of $(0.8) million and goodwill of $43.3 million allocated to the Company’s one reporting unit, representing the excess of the purchase price over the fair value of net tangible and intangible assets acquired. The goodwill was primarily attributable to the assembled workforce of SecureCircle, planned growth in new markets and synergies expected to be achieved from the integration of SecureCircle. Goodwill was deductible for income tax purposes.</w:t>
      </w:r>
    </w:p>
    <w:p>
      <w:pPr>
        <w:spacing w:after="0" w:line="16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Subsequent to the closing of the acquisition, SecureCircle employees were granted RSUs and PSUs under the 2019 Plan.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Useful Life</w:t>
            </w:r>
          </w:p>
        </w:tc>
      </w:tr>
      <w:tr>
        <w:trPr>
          <w:trHeight w:val="223"/>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(in months)</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w:t>
            </w: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intangible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acquisition costs during the nine months ended October 31, 2022 were not material. The acquisition costs are recorded in general and administrative expenses on the Company’s condensed consolidated statement of operations.</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results of operations of SecureCircle have been included in the Company’s condensed consolidated financial statements from the date of acquisition. The acquisition of SecureCircle did not have a material impact on the Company’s condensed consolidated financial statements, and therefore historical and pro forma disclosures have not been presented.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Humio Limited</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March 5, 2021, the Company acquired 100% of the equity interest of Humio Limited (“Humio”), a privately-held company that is a leading provider of high-performance cloud log management and observability technology. The total consideration transferred was $370.3 million which consisted of $353.8 million in cash, net of $12.5 million cash acquired, and $4.0 million representing the fair value of replacement equity awards attributable to pre-acquisition service. The purchase price was allocated to identified intangible assets, which include developed technology, customer relationships, and trade names, of $75.6 million, net tangible assets acquired of $3.4 million, and goodwill of $291.3 million allocated to the Company’s one reporting unit, representing the excess of the purchase price over the fair value of net tangible and intangible assets acquired. The goodwill was primarily attributable to the assembled workforce of Humio, planned growth in new markets, and synergies expected to be achieved from the integration of Humio. Goodwill was not deductible for income tax purposes.</w:t>
      </w:r>
    </w:p>
    <w:p>
      <w:pPr>
        <w:spacing w:after="0" w:line="19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Per the terms of the share purchase agreement with Humio, certain unvested stock options held by Humio employees were canceled and exchanged for replacement stock options under the 2019 Plan. Additionally, certain shares of stock issued pursuant to share-based compensation awards to entities affiliated with certain Humio employees were exchanged for replacement RSAs of the Company, which are subject to future vesting. The portion of the fair value of the replacement equity awards associated with pre-acquisition service of Humio’s employees represented a component of the total purchase consideration. The remaining fair value of these issued awards is subject to the recipients’ continued service and thus were excluded from the purchase price. In addition, Humio employees were granted RSUs and PSUs under the 2019 Plan. The awards which are subject to continued service are recognized ratably as stock-based compensation expense over the requisite service period. The awards which are based on specified performance targets were recognized under the accelerated attribution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60" w:firstLine="648"/>
        <w:spacing w:after="0" w:line="271" w:lineRule="auto"/>
        <w:rPr>
          <w:sz w:val="20"/>
          <w:szCs w:val="20"/>
          <w:color w:val="auto"/>
        </w:rPr>
      </w:pPr>
      <w:r>
        <w:rPr>
          <w:rFonts w:ascii="Arial" w:cs="Arial" w:eastAsia="Arial" w:hAnsi="Arial"/>
          <w:sz w:val="18"/>
          <w:szCs w:val="18"/>
          <w:color w:val="auto"/>
        </w:rPr>
        <w:t>The following table sets forth the fair value of the identifiable intangible assets acquired and their estimated useful lives as of the date of acquisition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Useful Life</w:t>
            </w:r>
          </w:p>
        </w:tc>
      </w:tr>
      <w:tr>
        <w:trPr>
          <w:trHeight w:val="223"/>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(in months)</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 intangible assets acquired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75,600</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9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acquisition costs during the nine months ended October 31, 2022 were not material. The acquisition costs are recorded in general and administrative expenses in the Company’s condensed consolidated statement of operations.</w:t>
      </w:r>
    </w:p>
    <w:p>
      <w:pPr>
        <w:spacing w:after="0" w:line="170"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The results of operations of Humio have been included in the Company’s condensed consolidated financial statements from the date of acquisition. The acquisition of Humio did not have a material impact on the Company’s condensed consolidated financial statements, and therefore historical and pro forma disclosures have not been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Loss Per Share Attributable to Common Stockholders</w:t>
      </w:r>
    </w:p>
    <w:p>
      <w:pPr>
        <w:spacing w:after="0" w:line="212" w:lineRule="exact"/>
        <w:rPr>
          <w:sz w:val="20"/>
          <w:szCs w:val="20"/>
          <w:color w:val="auto"/>
        </w:rPr>
      </w:pPr>
    </w:p>
    <w:p>
      <w:pPr>
        <w:ind w:right="360" w:firstLine="648"/>
        <w:spacing w:after="0" w:line="238" w:lineRule="auto"/>
        <w:rPr>
          <w:sz w:val="20"/>
          <w:szCs w:val="20"/>
          <w:color w:val="auto"/>
        </w:rPr>
      </w:pPr>
      <w:r>
        <w:rPr>
          <w:rFonts w:ascii="Arial" w:cs="Arial" w:eastAsia="Arial" w:hAnsi="Arial"/>
          <w:sz w:val="18"/>
          <w:szCs w:val="18"/>
          <w:color w:val="auto"/>
        </w:rPr>
        <w:t>Basic and diluted net loss per share attributable to CrowdStrike’s common stockholders is computed in conformity with the two-class method required for participating securities. Basic net loss per share attributable to CrowdStrike common stockholders is computed by dividing the net loss attributable to CrowdStrike by the weighted-average number of shares of common stock outstanding during the period. Diluted net loss per share is the same as basic net loss per share because the effects of potentially dilutive items were antidilutive given the Company’s net loss position in the periods presented.</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loss per share attributable to CrowdStrike common stockholders are the same for shares of Class A and Class B common stock.</w:t>
      </w:r>
    </w:p>
    <w:p>
      <w:pPr>
        <w:spacing w:after="0" w:line="177" w:lineRule="exact"/>
        <w:rPr>
          <w:sz w:val="20"/>
          <w:szCs w:val="20"/>
          <w:color w:val="auto"/>
        </w:rPr>
      </w:pPr>
    </w:p>
    <w:p>
      <w:pPr>
        <w:ind w:right="600" w:firstLine="648"/>
        <w:spacing w:after="0" w:line="269"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CrowdStrike common stockholders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100"/>
              <w:spacing w:after="0"/>
              <w:rPr>
                <w:sz w:val="20"/>
                <w:szCs w:val="20"/>
                <w:color w:val="auto"/>
              </w:rPr>
            </w:pPr>
            <w:r>
              <w:rPr>
                <w:rFonts w:ascii="Arial" w:cs="Arial" w:eastAsia="Arial" w:hAnsi="Arial"/>
                <w:sz w:val="17"/>
                <w:szCs w:val="17"/>
                <w:b w:val="1"/>
                <w:bCs w:val="1"/>
                <w:color w:val="auto"/>
              </w:rPr>
              <w:t>Three Months Ended October 31,</w:t>
            </w:r>
          </w:p>
        </w:tc>
        <w:tc>
          <w:tcPr>
            <w:tcW w:w="240" w:type="dxa"/>
            <w:vAlign w:val="bottom"/>
          </w:tcPr>
          <w:p>
            <w:pPr>
              <w:spacing w:after="0"/>
              <w:rPr>
                <w:sz w:val="20"/>
                <w:szCs w:val="20"/>
                <w:color w:val="auto"/>
              </w:rPr>
            </w:pPr>
          </w:p>
        </w:tc>
        <w:tc>
          <w:tcPr>
            <w:tcW w:w="2860" w:type="dxa"/>
            <w:vAlign w:val="bottom"/>
            <w:gridSpan w:val="4"/>
          </w:tcPr>
          <w:p>
            <w:pPr>
              <w:jc w:val="right"/>
              <w:ind w:right="291"/>
              <w:spacing w:after="0"/>
              <w:rPr>
                <w:sz w:val="20"/>
                <w:szCs w:val="20"/>
                <w:color w:val="auto"/>
              </w:rPr>
            </w:pPr>
            <w:r>
              <w:rPr>
                <w:rFonts w:ascii="Arial" w:cs="Arial" w:eastAsia="Arial" w:hAnsi="Arial"/>
                <w:sz w:val="17"/>
                <w:szCs w:val="17"/>
                <w:b w:val="1"/>
                <w:bCs w:val="1"/>
                <w:color w:val="auto"/>
                <w:w w:val="95"/>
              </w:rPr>
              <w:t>Nine Months Ended October 31,</w:t>
            </w:r>
          </w:p>
        </w:tc>
        <w:tc>
          <w:tcPr>
            <w:tcW w:w="0" w:type="dxa"/>
            <w:vAlign w:val="bottom"/>
          </w:tcPr>
          <w:p>
            <w:pPr>
              <w:spacing w:after="0"/>
              <w:rPr>
                <w:sz w:val="1"/>
                <w:szCs w:val="1"/>
                <w:color w:val="auto"/>
              </w:rPr>
            </w:pPr>
          </w:p>
        </w:tc>
      </w:tr>
      <w:tr>
        <w:trPr>
          <w:trHeight w:val="225"/>
        </w:trPr>
        <w:tc>
          <w:tcPr>
            <w:tcW w:w="49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140"/>
              <w:spacing w:after="0" w:line="176" w:lineRule="exact"/>
              <w:rPr>
                <w:sz w:val="20"/>
                <w:szCs w:val="20"/>
                <w:color w:val="auto"/>
              </w:rPr>
            </w:pPr>
            <w:r>
              <w:rPr>
                <w:rFonts w:ascii="Arial" w:cs="Arial" w:eastAsia="Arial" w:hAnsi="Arial"/>
                <w:sz w:val="18"/>
                <w:szCs w:val="18"/>
                <w:color w:val="auto"/>
              </w:rPr>
              <w:t>Net loss attributable to Class A and Class B CrowdStrike</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40"/>
              <w:spacing w:after="0"/>
              <w:rPr>
                <w:sz w:val="20"/>
                <w:szCs w:val="20"/>
                <w:color w:val="auto"/>
              </w:rPr>
            </w:pPr>
            <w:r>
              <w:rPr>
                <w:rFonts w:ascii="Arial" w:cs="Arial" w:eastAsia="Arial" w:hAnsi="Arial"/>
                <w:sz w:val="18"/>
                <w:szCs w:val="18"/>
                <w:color w:val="auto"/>
              </w:rPr>
              <w:t>common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(54,956)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(50,455)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(135,764)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(192,822)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140"/>
              <w:spacing w:after="0" w:line="176" w:lineRule="exact"/>
              <w:rPr>
                <w:sz w:val="20"/>
                <w:szCs w:val="20"/>
                <w:color w:val="auto"/>
              </w:rPr>
            </w:pPr>
            <w:r>
              <w:rPr>
                <w:rFonts w:ascii="Arial" w:cs="Arial" w:eastAsia="Arial" w:hAnsi="Arial"/>
                <w:sz w:val="18"/>
                <w:szCs w:val="18"/>
                <w:color w:val="auto"/>
                <w:w w:val="94"/>
              </w:rPr>
              <w:t>Weighted-average shares used in computing net loss per share</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940" w:type="dxa"/>
            <w:vAlign w:val="bottom"/>
          </w:tcPr>
          <w:p>
            <w:pPr>
              <w:ind w:left="140"/>
              <w:spacing w:after="0" w:line="189" w:lineRule="exact"/>
              <w:rPr>
                <w:sz w:val="20"/>
                <w:szCs w:val="20"/>
                <w:color w:val="auto"/>
              </w:rPr>
            </w:pPr>
            <w:r>
              <w:rPr>
                <w:rFonts w:ascii="Arial" w:cs="Arial" w:eastAsia="Arial" w:hAnsi="Arial"/>
                <w:sz w:val="18"/>
                <w:szCs w:val="18"/>
                <w:color w:val="auto"/>
              </w:rPr>
              <w:t>attributable to Class A and Class B of CrowdStrike common</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stockholders, basic and diluted</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233,785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228,293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232,502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226,292</w:t>
            </w:r>
          </w:p>
        </w:tc>
        <w:tc>
          <w:tcPr>
            <w:tcW w:w="0" w:type="dxa"/>
            <w:vAlign w:val="bottom"/>
          </w:tcPr>
          <w:p>
            <w:pPr>
              <w:spacing w:after="0"/>
              <w:rPr>
                <w:sz w:val="1"/>
                <w:szCs w:val="1"/>
                <w:color w:val="auto"/>
              </w:rPr>
            </w:pPr>
          </w:p>
        </w:tc>
      </w:tr>
      <w:tr>
        <w:trPr>
          <w:trHeight w:val="155"/>
        </w:trPr>
        <w:tc>
          <w:tcPr>
            <w:tcW w:w="4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Net loss per share attributable to Class A and Class B CrowdStrike</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stockholders, basic and diluted</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31, 2022</w:t>
            </w:r>
          </w:p>
        </w:tc>
        <w:tc>
          <w:tcPr>
            <w:tcW w:w="1680" w:type="dxa"/>
            <w:vAlign w:val="bottom"/>
          </w:tcPr>
          <w:p>
            <w:pPr>
              <w:jc w:val="right"/>
              <w:ind w:right="110"/>
              <w:spacing w:after="0"/>
              <w:rPr>
                <w:sz w:val="20"/>
                <w:szCs w:val="20"/>
                <w:color w:val="auto"/>
              </w:rPr>
            </w:pPr>
            <w:r>
              <w:rPr>
                <w:rFonts w:ascii="Arial" w:cs="Arial" w:eastAsia="Arial" w:hAnsi="Arial"/>
                <w:sz w:val="18"/>
                <w:szCs w:val="18"/>
                <w:b w:val="1"/>
                <w:bCs w:val="1"/>
                <w:color w:val="auto"/>
              </w:rPr>
              <w:t>October 31, 2021</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common stock subject to repurchase from outstanding stock options</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RSUs and PSUs subject to future vesting</w:t>
            </w:r>
          </w:p>
        </w:tc>
        <w:tc>
          <w:tcPr>
            <w:tcW w:w="1680" w:type="dxa"/>
            <w:vAlign w:val="bottom"/>
          </w:tcPr>
          <w:p>
            <w:pPr>
              <w:jc w:val="right"/>
              <w:spacing w:after="0"/>
              <w:rPr>
                <w:sz w:val="20"/>
                <w:szCs w:val="20"/>
                <w:color w:val="auto"/>
              </w:rPr>
            </w:pPr>
            <w:r>
              <w:rPr>
                <w:rFonts w:ascii="Arial" w:cs="Arial" w:eastAsia="Arial" w:hAnsi="Arial"/>
                <w:sz w:val="18"/>
                <w:szCs w:val="18"/>
                <w:color w:val="auto"/>
              </w:rPr>
              <w:t>9,958</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8,472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issuable from stock options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 purchase rights under the employee stock purchase plan</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r>
      <w:tr>
        <w:trPr>
          <w:trHeight w:val="248"/>
        </w:trPr>
        <w:tc>
          <w:tcPr>
            <w:tcW w:w="7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Potential common shares excluded from diluted net loss per share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980"/>
        </w:trPr>
        <w:tc>
          <w:tcPr>
            <w:tcW w:w="7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above table excludes founder holdbacks related to business combinations. A variable number of shares will be issued upon vesting to settle a fixed monetary amount of $12.1 million, which shares are contingent upon continued employment with the Company. The share price will be determined based on the Company’s average stock price or the volume weighted average stock price five days prior to each vesting date. As of October 31, 2022, 49,097 shares were issued to settle founder holdbacks at a weighted average price of $206.17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2022,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 Our fiscal year end is January 31, and our fiscal quarters end on April 30, July 31, October 31, and January 31.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CrowdStrike Falcon platform – the first, true cloud-native platform capable of harnessing vast amounts of security and enterprise data to deliver highly modular solutions through a single lightweight agent. Our pioneering platform approach keeps customers ahead of attackers by automatically detecting and preventing threats to stop breaches.</w:t>
      </w:r>
    </w:p>
    <w:p>
      <w:pPr>
        <w:spacing w:after="0" w:line="16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6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Go-To-Market Strategy</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8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8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Certain Factors Affecting Our Performance</w:t>
      </w:r>
    </w:p>
    <w:p>
      <w:pPr>
        <w:spacing w:after="0" w:line="22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b w:val="1"/>
          <w:bCs w:val="1"/>
          <w:i w:val="1"/>
          <w:iCs w:val="1"/>
          <w:color w:val="auto"/>
        </w:rPr>
        <w:t xml:space="preserve">Adoption of Our Solutions. </w:t>
      </w:r>
      <w:r>
        <w:rPr>
          <w:rFonts w:ascii="Arial" w:cs="Arial" w:eastAsia="Arial" w:hAnsi="Arial"/>
          <w:sz w:val="16"/>
          <w:szCs w:val="16"/>
          <w:color w:val="auto"/>
        </w:rPr>
        <w:t>We believe our future success depends in large part on the growth in the market for cloud-based SaaS-delivered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New Customer Acquisition. </w:t>
      </w:r>
      <w:r>
        <w:rPr>
          <w:rFonts w:ascii="Arial" w:cs="Arial" w:eastAsia="Arial" w:hAnsi="Arial"/>
          <w:sz w:val="18"/>
          <w:szCs w:val="18"/>
          <w:color w:val="auto"/>
        </w:rPr>
        <w:t>Our future growth depends in large part on our ability to acquire new customers. If our efforts to attract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92" w:lineRule="exact"/>
        <w:rPr>
          <w:sz w:val="20"/>
          <w:szCs w:val="20"/>
          <w:color w:val="auto"/>
        </w:rPr>
      </w:pPr>
    </w:p>
    <w:p>
      <w:pPr>
        <w:ind w:right="100" w:firstLine="648"/>
        <w:spacing w:after="0" w:line="249" w:lineRule="auto"/>
        <w:rPr>
          <w:sz w:val="20"/>
          <w:szCs w:val="20"/>
          <w:color w:val="auto"/>
        </w:rPr>
      </w:pPr>
      <w:r>
        <w:rPr>
          <w:rFonts w:ascii="Arial" w:cs="Arial" w:eastAsia="Arial" w:hAnsi="Arial"/>
          <w:sz w:val="18"/>
          <w:szCs w:val="18"/>
          <w:b w:val="1"/>
          <w:bCs w:val="1"/>
          <w:i w:val="1"/>
          <w:iCs w:val="1"/>
          <w:color w:val="auto"/>
        </w:rPr>
        <w:t xml:space="preserve">Maintain Customer Retention and Increase Sales. </w:t>
      </w:r>
      <w:r>
        <w:rPr>
          <w:rFonts w:ascii="Arial" w:cs="Arial" w:eastAsia="Arial" w:hAnsi="Arial"/>
          <w:sz w:val="18"/>
          <w:szCs w:val="18"/>
          <w:color w:val="auto"/>
        </w:rPr>
        <w:t>Our ability to increase revenue depends in large part on our ability to retain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increase the ARR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SKU cloud modules.</w:t>
      </w:r>
    </w:p>
    <w:p>
      <w:pPr>
        <w:spacing w:after="0" w:line="18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b w:val="1"/>
          <w:bCs w:val="1"/>
          <w:i w:val="1"/>
          <w:iCs w:val="1"/>
          <w:color w:val="auto"/>
        </w:rPr>
        <w:t xml:space="preserve">Invest in Growth. </w:t>
      </w:r>
      <w:r>
        <w:rPr>
          <w:rFonts w:ascii="Arial" w:cs="Arial" w:eastAsia="Arial" w:hAnsi="Arial"/>
          <w:sz w:val="16"/>
          <w:szCs w:val="16"/>
          <w:color w:val="auto"/>
        </w:rPr>
        <w:t>We believe that our market opportunity is large and requires us to continue to invest significantly in sales and marketing efforts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6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25" w:lineRule="exact"/>
        <w:rPr>
          <w:sz w:val="20"/>
          <w:szCs w:val="20"/>
          <w:color w:val="auto"/>
        </w:rPr>
      </w:pPr>
    </w:p>
    <w:p>
      <w:pPr>
        <w:jc w:val="both"/>
        <w:ind w:right="120" w:firstLine="648"/>
        <w:spacing w:after="0" w:line="301" w:lineRule="auto"/>
        <w:rPr>
          <w:sz w:val="20"/>
          <w:szCs w:val="20"/>
          <w:color w:val="auto"/>
        </w:rPr>
      </w:pPr>
      <w:r>
        <w:rPr>
          <w:rFonts w:ascii="Arial" w:cs="Arial" w:eastAsia="Arial" w:hAnsi="Arial"/>
          <w:sz w:val="16"/>
          <w:szCs w:val="16"/>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660"/>
              <w:spacing w:after="0"/>
              <w:rPr>
                <w:sz w:val="20"/>
                <w:szCs w:val="20"/>
                <w:color w:val="auto"/>
              </w:rPr>
            </w:pPr>
            <w:r>
              <w:rPr>
                <w:rFonts w:ascii="Arial" w:cs="Arial" w:eastAsia="Arial" w:hAnsi="Arial"/>
                <w:sz w:val="18"/>
                <w:szCs w:val="18"/>
                <w:color w:val="auto"/>
                <w:w w:val="92"/>
              </w:rPr>
              <w:t>The following table sets forth the number of our subscription customers as of the dates presented:</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7900" w:type="dxa"/>
            <w:vAlign w:val="bottom"/>
          </w:tcPr>
          <w:p>
            <w:pPr>
              <w:spacing w:after="0"/>
              <w:rPr>
                <w:sz w:val="22"/>
                <w:szCs w:val="22"/>
                <w:color w:val="auto"/>
              </w:rPr>
            </w:pPr>
          </w:p>
        </w:tc>
        <w:tc>
          <w:tcPr>
            <w:tcW w:w="234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88"/>
              </w:rPr>
              <w:t>As of October 31,</w:t>
            </w:r>
          </w:p>
        </w:tc>
        <w:tc>
          <w:tcPr>
            <w:tcW w:w="1000" w:type="dxa"/>
            <w:vAlign w:val="bottom"/>
            <w:tcBorders>
              <w:bottom w:val="single" w:sz="8" w:color="auto"/>
            </w:tcBorders>
          </w:tcPr>
          <w:p>
            <w:pPr>
              <w:spacing w:after="0"/>
              <w:rPr>
                <w:sz w:val="22"/>
                <w:szCs w:val="22"/>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customers</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21,146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14,687</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164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75 %</w:t>
            </w:r>
          </w:p>
        </w:tc>
      </w:tr>
    </w:tbl>
    <w:p>
      <w:pPr>
        <w:spacing w:after="0" w:line="29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added 1,460 and 4,821 net new subscription customers during the three and nine months ended October 31, 2022, respectively, for a total of 21,146 subscription customers as of October 31, 2022, representing 44% growth year-over-year. We added 1,607 and 4,791 net new subscription customers during the three and nine months ended October 31, 2021, respectively, for a total of 14,687 subscription customers as of October 31, 2021, representing 75% growth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660"/>
              <w:spacing w:after="0"/>
              <w:rPr>
                <w:sz w:val="20"/>
                <w:szCs w:val="20"/>
                <w:color w:val="auto"/>
              </w:rPr>
            </w:pPr>
            <w:r>
              <w:rPr>
                <w:rFonts w:ascii="Arial" w:cs="Arial" w:eastAsia="Arial" w:hAnsi="Arial"/>
                <w:sz w:val="18"/>
                <w:szCs w:val="18"/>
                <w:color w:val="auto"/>
              </w:rPr>
              <w:t>The following table sets forth our ARR as of the dates presented (dollars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7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020" w:type="dxa"/>
            <w:vAlign w:val="bottom"/>
            <w:tcBorders>
              <w:bottom w:val="single" w:sz="8" w:color="auto"/>
            </w:tcBorders>
          </w:tcPr>
          <w:p>
            <w:pPr>
              <w:spacing w:after="0"/>
              <w:rPr>
                <w:sz w:val="22"/>
                <w:szCs w:val="22"/>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recurring 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2,338,028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1,514,453</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67 %</w:t>
            </w:r>
          </w:p>
        </w:tc>
      </w:tr>
    </w:tbl>
    <w:p>
      <w:pPr>
        <w:spacing w:after="0" w:line="29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ARR grew to $2.3 billion as of October 31, 2022, of which $198.1 million and $606.7 million was net new ARR added for the three and nine months ended October 31, 2022, respectively. ARR grew to $1.5 billion as of October 31, 2021, of which $170.0 million and $464.4 million was net new ARR added for the three and nine months ended October 31, 2021,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dollar-based net retention rate was above 120% as of October 31, 2022.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18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Subscription revenue primarily consists of subscription fees for our Falcon platform and additional cloud modules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Professional services revenue includes incident response and proactive services, forensic and malware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arrangements, revenue is recognized as services are performed. Fixed fee contracts account for an immaterial portion of our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Subscription Cost of Revenue. </w:t>
      </w:r>
      <w:r>
        <w:rPr>
          <w:rFonts w:ascii="Arial" w:cs="Arial" w:eastAsia="Arial" w:hAnsi="Arial"/>
          <w:sz w:val="18"/>
          <w:szCs w:val="18"/>
          <w:color w:val="auto"/>
        </w:rPr>
        <w:t>Subscription cost of revenue consists primarily of costs related to hosting our cloud-based Falcon platform in data</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8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57"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i w:val="1"/>
          <w:iCs w:val="1"/>
          <w:color w:val="auto"/>
        </w:rPr>
        <w:t xml:space="preserve">Professional Services Cost of Revenue. </w:t>
      </w:r>
      <w:r>
        <w:rPr>
          <w:rFonts w:ascii="Arial" w:cs="Arial" w:eastAsia="Arial" w:hAnsi="Arial"/>
          <w:sz w:val="18"/>
          <w:szCs w:val="18"/>
          <w:color w:val="auto"/>
        </w:rPr>
        <w:t>Professional services cost of revenue consists primarily of employee-related costs, such as salaries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stock-based compensation expense, technology, property and equipment depreciation, and an allocated portion of facilities and administrative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primarily consist of employee-related expenses such as salaries, commissions, and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Sales 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Sales and marketing expenses also include sales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78"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 to period depending on the timing of these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primarily consist of employee-related expenses such as salaries and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71"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 to period depending on the timing of these expenses.</w:t>
      </w:r>
    </w:p>
    <w:p>
      <w:pPr>
        <w:spacing w:after="0" w:line="149"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of employee-related expenses such as salaries and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14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 to period depending on the timing of these expenses.</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primarily of amortization of debt issuance costs, contractual interest expense for our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January 2021, and amortization of debt issuance costs on our secured revolving credit facility.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primarily of income earned on our 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Other income, net, consists primarily of gain on strategic investments and foreign currency transaction gains and losses.</w:t>
      </w:r>
    </w:p>
    <w:p>
      <w:pPr>
        <w:spacing w:after="0" w:line="23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consists of state income taxes in the United States, foreign income taxes, including taxes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intercompany sale of intellectual property, and withholding taxes related to customer payments in certain foreign jurisdictions in which we conduct business. We maintain a full valuation allowance on our U.S. federal and state and UK deferred tax assets that we have determined are not realizable on a more likely than not basis.</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Net income attributable to non-controlling interest consists of the Falcon Funds’ non-controlling interest share of mark-to-market gains and interest income from our strategic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our condensed consolidated statements of operations for each period presented (in thousands, except percentages):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w w:val="97"/>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4"/>
          </w:tcPr>
          <w:p>
            <w:pPr>
              <w:ind w:left="140"/>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October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11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October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10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Subscription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547,376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357,030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190,346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1,513,397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954,094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559,303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90,472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7"/>
        </w:trPr>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580,882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380,051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200,831</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1,603,869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1,020,584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583,285</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19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Subscription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134,229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48,765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362,258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135,898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services</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63,369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07"/>
        </w:trPr>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 of revenue</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101,664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56,564</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425,627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155,026</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144,267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1,178,242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428,259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97,630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57,626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416,519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266,265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150,254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232,365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83,585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07"/>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479,076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318,651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160,425</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1,306,854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868,997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437,857</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860 %</w:t>
            </w:r>
          </w:p>
        </w:tc>
        <w:tc>
          <w:tcPr>
            <w:tcW w:w="0" w:type="dxa"/>
            <w:vAlign w:val="bottom"/>
          </w:tcPr>
          <w:p>
            <w:pPr>
              <w:spacing w:after="0"/>
              <w:rPr>
                <w:sz w:val="1"/>
                <w:szCs w:val="1"/>
                <w:color w:val="auto"/>
              </w:rPr>
            </w:pPr>
          </w:p>
        </w:tc>
      </w:tr>
      <w:tr>
        <w:trPr>
          <w:trHeight w:val="213"/>
        </w:trPr>
        <w:tc>
          <w:tcPr>
            <w:tcW w:w="2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2,412</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Loss before provision for income taxes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2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4,397</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(41,685)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57,286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6"/>
        </w:trPr>
        <w:tc>
          <w:tcPr>
            <w:tcW w:w="2700" w:type="dxa"/>
            <w:vAlign w:val="bottom"/>
          </w:tcPr>
          <w:p>
            <w:pPr>
              <w:ind w:left="20"/>
              <w:spacing w:after="0" w:line="166" w:lineRule="exact"/>
              <w:rPr>
                <w:sz w:val="20"/>
                <w:szCs w:val="20"/>
                <w:color w:val="auto"/>
              </w:rPr>
            </w:pPr>
            <w:r>
              <w:rPr>
                <w:rFonts w:ascii="Arial" w:cs="Arial" w:eastAsia="Arial" w:hAnsi="Arial"/>
                <w:sz w:val="16"/>
                <w:szCs w:val="16"/>
                <w:color w:val="auto"/>
              </w:rPr>
              <w:t>Net income attributable to non-</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6,400 %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2,411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9"/>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controlling interest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CrowdStrike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(50,455)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(135,764)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(192,822)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57,058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3"/>
        </w:trPr>
        <w:tc>
          <w:tcPr>
            <w:tcW w:w="2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firstLine="648"/>
        <w:spacing w:after="0" w:line="269"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total revenue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60" w:type="dxa"/>
            <w:vAlign w:val="bottom"/>
          </w:tcPr>
          <w:p>
            <w:pPr>
              <w:spacing w:after="0"/>
              <w:rPr>
                <w:sz w:val="20"/>
                <w:szCs w:val="20"/>
                <w:color w:val="auto"/>
              </w:rPr>
            </w:pPr>
          </w:p>
        </w:tc>
        <w:tc>
          <w:tcPr>
            <w:tcW w:w="3340" w:type="dxa"/>
            <w:vAlign w:val="bottom"/>
            <w:gridSpan w:val="4"/>
          </w:tcPr>
          <w:p>
            <w:pPr>
              <w:ind w:left="400"/>
              <w:spacing w:after="0"/>
              <w:rPr>
                <w:sz w:val="20"/>
                <w:szCs w:val="20"/>
                <w:color w:val="auto"/>
              </w:rPr>
            </w:pPr>
            <w:r>
              <w:rPr>
                <w:rFonts w:ascii="Arial" w:cs="Arial" w:eastAsia="Arial" w:hAnsi="Arial"/>
                <w:sz w:val="17"/>
                <w:szCs w:val="17"/>
                <w:b w:val="1"/>
                <w:bCs w:val="1"/>
                <w:color w:val="auto"/>
              </w:rPr>
              <w:t>Three Months Ended October 31,</w:t>
            </w:r>
          </w:p>
        </w:tc>
        <w:tc>
          <w:tcPr>
            <w:tcW w:w="3240" w:type="dxa"/>
            <w:vAlign w:val="bottom"/>
            <w:gridSpan w:val="2"/>
          </w:tcPr>
          <w:p>
            <w:pPr>
              <w:jc w:val="right"/>
              <w:ind w:right="350"/>
              <w:spacing w:after="0"/>
              <w:rPr>
                <w:sz w:val="20"/>
                <w:szCs w:val="20"/>
                <w:color w:val="auto"/>
              </w:rPr>
            </w:pPr>
            <w:r>
              <w:rPr>
                <w:rFonts w:ascii="Arial" w:cs="Arial" w:eastAsia="Arial" w:hAnsi="Arial"/>
                <w:sz w:val="17"/>
                <w:szCs w:val="17"/>
                <w:b w:val="1"/>
                <w:bCs w:val="1"/>
                <w:color w:val="auto"/>
              </w:rPr>
              <w:t>Nine Months Ended October 31,</w:t>
            </w:r>
          </w:p>
        </w:tc>
      </w:tr>
      <w:tr>
        <w:trPr>
          <w:trHeight w:val="225"/>
        </w:trPr>
        <w:tc>
          <w:tcPr>
            <w:tcW w:w="46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9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ind w:right="951"/>
              <w:spacing w:after="0"/>
              <w:rPr>
                <w:sz w:val="20"/>
                <w:szCs w:val="20"/>
                <w:color w:val="auto"/>
              </w:rPr>
            </w:pPr>
            <w:r>
              <w:rPr>
                <w:rFonts w:ascii="Arial" w:cs="Arial" w:eastAsia="Arial" w:hAnsi="Arial"/>
                <w:sz w:val="17"/>
                <w:szCs w:val="17"/>
                <w:b w:val="1"/>
                <w:bCs w:val="1"/>
                <w:color w:val="auto"/>
              </w:rPr>
              <w:t>2022</w:t>
            </w: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7"/>
                <w:szCs w:val="17"/>
                <w:b w:val="1"/>
                <w:bCs w:val="1"/>
                <w:color w:val="auto"/>
              </w:rPr>
              <w:t>2021</w:t>
            </w:r>
          </w:p>
        </w:tc>
      </w:tr>
      <w:tr>
        <w:trPr>
          <w:trHeight w:val="223"/>
        </w:trPr>
        <w:tc>
          <w:tcPr>
            <w:tcW w:w="4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jc w:val="right"/>
              <w:ind w:right="211"/>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spacing w:after="0"/>
              <w:rPr>
                <w:sz w:val="19"/>
                <w:szCs w:val="19"/>
                <w:color w:val="auto"/>
              </w:rPr>
            </w:pPr>
          </w:p>
        </w:tc>
      </w:tr>
      <w:tr>
        <w:trPr>
          <w:trHeight w:val="234"/>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94 %</w:t>
            </w:r>
          </w:p>
        </w:tc>
        <w:tc>
          <w:tcPr>
            <w:tcW w:w="124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94 %</w:t>
            </w:r>
          </w:p>
        </w:tc>
        <w:tc>
          <w:tcPr>
            <w:tcW w:w="124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568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100 %</w:t>
            </w: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100 %</w:t>
            </w:r>
          </w:p>
        </w:tc>
        <w:tc>
          <w:tcPr>
            <w:tcW w:w="12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23 %</w:t>
            </w:r>
          </w:p>
        </w:tc>
        <w:tc>
          <w:tcPr>
            <w:tcW w:w="12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23 %</w:t>
            </w:r>
          </w:p>
        </w:tc>
        <w:tc>
          <w:tcPr>
            <w:tcW w:w="12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5680" w:type="dxa"/>
            <w:vAlign w:val="bottom"/>
            <w:gridSpan w:val="2"/>
          </w:tcPr>
          <w:p>
            <w:pPr>
              <w:ind w:left="220"/>
              <w:spacing w:after="0"/>
              <w:rPr>
                <w:sz w:val="20"/>
                <w:szCs w:val="20"/>
                <w:color w:val="auto"/>
              </w:rPr>
            </w:pPr>
            <w:r>
              <w:rPr>
                <w:rFonts w:ascii="Arial" w:cs="Arial" w:eastAsia="Arial" w:hAnsi="Arial"/>
                <w:sz w:val="18"/>
                <w:szCs w:val="18"/>
                <w:color w:val="auto"/>
              </w:rPr>
              <w:t>Total cost of revenue</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27 %</w:t>
            </w:r>
          </w:p>
        </w:tc>
        <w:tc>
          <w:tcPr>
            <w:tcW w:w="12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27 %</w:t>
            </w:r>
          </w:p>
        </w:tc>
        <w:tc>
          <w:tcPr>
            <w:tcW w:w="12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73 %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41 %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41 %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27 %</w:t>
            </w:r>
          </w:p>
        </w:tc>
        <w:tc>
          <w:tcPr>
            <w:tcW w:w="12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26 %</w:t>
            </w:r>
          </w:p>
        </w:tc>
        <w:tc>
          <w:tcPr>
            <w:tcW w:w="12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14 %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82 %</w:t>
            </w:r>
          </w:p>
        </w:tc>
        <w:tc>
          <w:tcPr>
            <w:tcW w:w="124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81 %</w:t>
            </w:r>
          </w:p>
        </w:tc>
        <w:tc>
          <w:tcPr>
            <w:tcW w:w="124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2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3 %</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Provision for income taxes</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2 %</w:t>
            </w: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1 %</w:t>
            </w:r>
          </w:p>
        </w:tc>
        <w:tc>
          <w:tcPr>
            <w:tcW w:w="12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0" w:type="dxa"/>
            <w:vAlign w:val="bottom"/>
          </w:tcPr>
          <w:p>
            <w:pPr>
              <w:jc w:val="right"/>
              <w:ind w:right="371"/>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CrowdStrike</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October 31,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shows total revenue from subscriptions and professional services for the three months ended October 31, 2022 as compared to the three months ended October 31, 2021 (in thousands,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547,376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357,030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190,346</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200,831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Total revenue increased by $200.8 million, or 53%, for the three months ended October 31, 2022 compared to the three months ended October 31, 2021. Subscription revenue accounted for 94% of our total revenue for each of the three months ended October 31, 2022 and October 31, 2021. Professional services revenue accounted for 6% of our total revenue for each of the three months ended October 31, 2022 and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420" w:firstLine="648"/>
        <w:spacing w:after="0" w:line="294" w:lineRule="auto"/>
        <w:rPr>
          <w:sz w:val="20"/>
          <w:szCs w:val="20"/>
          <w:color w:val="auto"/>
        </w:rPr>
      </w:pPr>
      <w:r>
        <w:rPr>
          <w:rFonts w:ascii="Arial" w:cs="Arial" w:eastAsia="Arial" w:hAnsi="Arial"/>
          <w:sz w:val="16"/>
          <w:szCs w:val="16"/>
          <w:color w:val="auto"/>
        </w:rPr>
        <w:t>Subscription revenue increased by $190.3 million, or 53%, for the three months ended October 31, 2022 compared to the three months ended October 31, 2021, which was primarily driven by a combination of the addition of new customers and the sale of additional endpoints and modules to existing customers. As of October 31, 2022, we had a total of 21,146 subscription customers, which represents 44% growth from October 31, 2021.</w:t>
      </w:r>
    </w:p>
    <w:p>
      <w:pPr>
        <w:spacing w:after="0" w:line="16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Professional services revenue increased by $10.5 million, or 46%, for the three months ended October 31, 2022, compared to the three months ended October 31, 2021, which was primarily attributable to an increase in the number of professional service hours performed and an increase in services offerings that are not based on billable hours.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shows cost of revenue related to subscriptions and professional services for the three months ended October 31, 2022 as compared to the three months ended October 31, 2021 (in thousands,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7,799</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Total cost of revenue increased by $56.6 million, or 56%, for the three months ended October 31, 2022 compared to the three months ended October 31, 2021. Subscription cost of revenue increased by $48.8 million, or 57%, for the three months ended October 31, 2022, compared to the three months ended October 31, 2021.The increase in subscription cost of revenue was primarily due to an increase in cloud hosting and related services cost of $27.0 million driven by increased customer activity; an increase in employee-related expenses of $10.1 million, driven by a 44% increase in average headcount; an increase in depreciation of internal-use software of $2.3 million; an increase in stock-based compensation expense of $2.1 million; an increase in allocated overhead costs of $1.9 million; an increase in depreciation of data center equipment of $1.6 million; and an increase in employee health insurance of $1.0 million.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Professional services cost of revenue increased by $7.8 million, or 48%, for the three months ended October 31, 2022, compared to the</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three months ended October 31, 2021. The increase in professional services cost of revenue was primarily due to an increase in employee-related expenses of $5.2 million, driven by an increase in average headcount of 46%; an increase in stock-based compensation expense of $1.5 million; and an increase in company events expenses of $0.7 million.</w:t>
      </w:r>
    </w:p>
    <w:p>
      <w:pPr>
        <w:spacing w:after="0" w:line="19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shows gross profit and gross margin for subscriptions and professional services for the three months ended October 31, 2022 as compared to the three months ended October 31, 2021 (in thousands,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8"/>
          </w:tcPr>
          <w:p>
            <w:pPr>
              <w:ind w:left="12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3"/>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4"/>
          </w:tcPr>
          <w:p>
            <w:pPr>
              <w:jc w:val="center"/>
              <w:ind w:left="1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profit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413,147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271,566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141,581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profit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9,507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6,821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174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278,387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144,267</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393"/>
              <w:spacing w:after="0"/>
              <w:rPr>
                <w:sz w:val="20"/>
                <w:szCs w:val="20"/>
                <w:color w:val="auto"/>
              </w:rPr>
            </w:pPr>
            <w:r>
              <w:rPr>
                <w:rFonts w:ascii="Arial" w:cs="Arial" w:eastAsia="Arial" w:hAnsi="Arial"/>
                <w:sz w:val="16"/>
                <w:szCs w:val="16"/>
                <w:b w:val="1"/>
                <w:bCs w:val="1"/>
                <w:color w:val="auto"/>
                <w:w w:val="94"/>
              </w:rPr>
              <w:t>Three Months Ended October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center"/>
              <w:ind w:left="3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2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Professional services gross margin</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30 %</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margin</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61" w:lineRule="auto"/>
        <w:rPr>
          <w:sz w:val="20"/>
          <w:szCs w:val="20"/>
          <w:color w:val="auto"/>
        </w:rPr>
      </w:pPr>
      <w:r>
        <w:rPr>
          <w:rFonts w:ascii="Arial" w:cs="Arial" w:eastAsia="Arial" w:hAnsi="Arial"/>
          <w:sz w:val="17"/>
          <w:szCs w:val="17"/>
          <w:color w:val="auto"/>
        </w:rPr>
        <w:t>Subscription gross margin slightly decreased for the three months ended October 31, 2022, compared to the three months ended October 31, 2021. The decrease in subscription gross margin was primarily due to higher cloud services costs per sensor, partially offset by slower growth in employee-related expenses during the three months ended October 31, 2022, compared to the three months ended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551815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Professional services gross margin decreased by 2% for the three months ended October 31, 2022 compared to the three months ended October 31, 2021. The decrease in professional services gross margin was primarily due higher employee-related expenses and higher stock-based compensation expense during the three months ended October 31, 2022 compared to the three months ended October 31, 2021, partially offset by an increase in the number of professional service hours performed and an increase in services offerings that are not based on billable hours.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shows sales and marketing expenses for the three months ended October 31, 2022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 except percentage):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Sales and marketing expenses increased by $74.7 million, or 45%, for the three months ended October 31, 2022 compared to the three months ended October 31, 2021. The increase in sales and marketing expenses was primarily due to an increase in employee-related expenses of $38.0 million, driven by a 45% increase in average headcount; an increase in stock-based compensation expense of $16.4 million; an increase in marketing programs of $4.7 million; an increase in allocated overhead costs of $4.4 million; an increase in travel expenses of $3.4 million; an increase in employee health insurance of $2.0 million; and an increase in company events expenses of $1.5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research and development expenses for the three months ended October 31, 2022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 except percentage):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bl>
    <w:p>
      <w:pPr>
        <w:spacing w:after="0" w:line="28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Research and development expenses increased by $57.6 million, or 59%, for the three months ended October 31, 2022 compared to the</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three months ended October 31, 2021. The increase in research and development expenses was primarily due to an increase in employee-related expenses of $25.6 million, driven by a 54% increase in average headcount; an increase in stock-based compensation expense of $18.9 million; an increase in allocated overhead costs of $3.8 million; an increase in cloud hosting and related services cost of $3.5 million; and an increase in travel expenses of $1.8 million; an increase in employee health insurance of $1.3 million; and an increase in company events expenses of $1.2 million; partially offset by an increase in software capitalization of $2.4 million.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general and administrative expenses for the three months ended October 31, 2022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 except percentage):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320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General and administrative expenses increased by $28.1 million, or 50%, for the three months ended October 31, 2022 compared to the</w:t>
      </w:r>
    </w:p>
    <w:p>
      <w:pPr>
        <w:spacing w:after="0" w:line="2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three months ended October 31, 2021. The increase in general and administrative expenses was primarily due to an increase in stock-based compensation expense of $14.4 million; an increase in employee-related expenses of $5.0 million, driven by a 51% increase in average headcount; an increase in legal expenses of $2.6 million; an increase in allocated overhead costs of $1.1 million; an increase in travel expenses of $1.0 million; an increase in consulting expenses of $0.8 million; and an increase in company events expenses of $0.5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Interest Income and Other Income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interest expense and other income, net for the three months ended October 31, 2022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640" w:type="dxa"/>
            <w:vAlign w:val="bottom"/>
          </w:tcPr>
          <w:p>
            <w:pPr>
              <w:jc w:val="right"/>
              <w:ind w:right="474"/>
              <w:spacing w:after="0"/>
              <w:rPr>
                <w:sz w:val="20"/>
                <w:szCs w:val="20"/>
                <w:color w:val="auto"/>
              </w:rPr>
            </w:pPr>
            <w:r>
              <w:rPr>
                <w:rFonts w:ascii="Arial" w:cs="Arial" w:eastAsia="Arial" w:hAnsi="Arial"/>
                <w:sz w:val="16"/>
                <w:szCs w:val="16"/>
                <w:b w:val="1"/>
                <w:bCs w:val="1"/>
                <w:color w:val="auto"/>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15,226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1,494 %</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bl>
    <w:p>
      <w:pPr>
        <w:spacing w:after="0" w:line="29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Interest expense consists primarily of amortization of debt issuance costs, contractual interest expense, and accretion of debt discount for our Senior Notes issued in January 2021.</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increase in interest income for the three months ended October 31, 2022 compared to the three months ended October 31, 2021 was driven by an increase in market interest rates.</w:t>
      </w:r>
    </w:p>
    <w:p>
      <w:pPr>
        <w:spacing w:after="0" w:line="17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increase in other income (expense), net for the three months ended October 31, 2022 compared to the three months ended October 31, 2021 was primarily due to an increase in mark-to-market adjustments of $0.6 million for our strategic investments; and a net increase of $0.5 million from fluctuations in foreign currency transaction gains.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shows the provision for income taxes for the three months ended October 31, 2022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 except percentage):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20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r>
    </w:tbl>
    <w:p>
      <w:pPr>
        <w:spacing w:after="0" w:line="2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increase in provision for income taxes of $4.4 million during the three months ended October 31, 2022 compared to the three months ended October 31, 2021 was primarily attributable to the tax impact from the intercompany sale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October 31,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shows total revenue from subscriptions and professional services for the nine months ended October 31, 2022 as compared to the nine months ended October 31, 2021 (in thousands, except percentages):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6"/>
                <w:szCs w:val="16"/>
                <w:b w:val="1"/>
                <w:bCs w:val="1"/>
                <w:color w:val="auto"/>
              </w:rPr>
              <w:t>Nine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1,513,397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954,094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559,303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23,982</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1,020,584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583,285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revenue increased by $583.3 million, or 57%, for the nine months ended October 31, 2022 compared to the nine months ended October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2021. Subscription revenue accounted for 94% of our total revenue for the nine months ended October 31, 2022, and 93% of our total revenue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October 31, 2021. Professional services revenue accounted for 6% of our total revenue for the nine months ended October 31, 2022,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 of our total revenue for the nine months ended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460" w:firstLine="648"/>
        <w:spacing w:after="0" w:line="294" w:lineRule="auto"/>
        <w:rPr>
          <w:sz w:val="20"/>
          <w:szCs w:val="20"/>
          <w:color w:val="auto"/>
        </w:rPr>
      </w:pPr>
      <w:r>
        <w:rPr>
          <w:rFonts w:ascii="Arial" w:cs="Arial" w:eastAsia="Arial" w:hAnsi="Arial"/>
          <w:sz w:val="16"/>
          <w:szCs w:val="16"/>
          <w:color w:val="auto"/>
        </w:rPr>
        <w:t>Subscription revenue increased by $559.3 million, or 59%, for the nine months ended October 31, 2022 compared to the nine months ended October 31, 2021, which was primarily driven by a combination of the addition of new customers and the sale of additional endpoints and modules to existing customers. As of October 31, 2022, we had a total of 21,146 subscription customers, which represents 44% growth from October 31, 2021.</w:t>
      </w:r>
    </w:p>
    <w:p>
      <w:pPr>
        <w:spacing w:after="0" w:line="16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Professional services revenue increased by $24.0 million, or 36%, for the nine months ended October 31, 2022 compared to the nine months ended October 31, 2021, which was primarily attributable to an increase in the number of professional service hours performed and an increase in services offerings that are not based on billable hours.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shows cost of revenue related to subscriptions and professional services for the nine months ended October 31, 2022 as compared to the nine months ended October 31, 2021 (in thousands,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Nine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135,898</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19,128</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155,026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cost of revenue increased by $155.0 million, or 57%, for the nine months ended October 31, 2022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October 31, 2021. Subscription cost of revenue increased by $135.9 million, or 60%, for the nine months ended October 31, 2022 compared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October 31, 2021. The increase in subscription cost of revenue was primarily due to an increase in cloud hosting and related services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 of $73.2 million, driven by increased customer activity; an increase in employee-related expenses of $29.5 million, driven by a 49%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average headcount; an increase in stock-based compensation expense of $6.4 million; an increase in depreciation of internal-use software of $6.2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allocated overhead costs of $5.7 million; an increase in depreciation of data center equipment of $5.6 million; an increase in amortization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of $2.8 million; an increase in software licenses and maintenance of $2.7 million; and an increase in hardware maintenance of $1.8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Professional services cost of revenue increased by $19.1 million, or 43%, for the nine months ended October 31, 2022 compared to the</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nine months ended October 31, 2021. The increase in professional services cost of revenue was primarily due to an increase in employee-related expenses of $11.2 million, driven by a 47% increase in average headcount; an increase in stock-based compensation expense of $3.6 million; an increase in consulting expense of $1.8 million; and an increase in allocated overhead costs of $1.6 million.</w:t>
      </w:r>
    </w:p>
    <w:p>
      <w:pPr>
        <w:spacing w:after="0" w:line="19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shows gross profit and gross margin for subscriptions and professional services for the nine months ended October 31, 2022 as compared to the nine months ended October 31, 2021 (in thousands,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8"/>
          </w:tcPr>
          <w:p>
            <w:pPr>
              <w:ind w:left="160"/>
              <w:spacing w:after="0"/>
              <w:rPr>
                <w:sz w:val="20"/>
                <w:szCs w:val="20"/>
                <w:color w:val="auto"/>
              </w:rPr>
            </w:pPr>
            <w:r>
              <w:rPr>
                <w:rFonts w:ascii="Arial" w:cs="Arial" w:eastAsia="Arial" w:hAnsi="Arial"/>
                <w:sz w:val="16"/>
                <w:szCs w:val="16"/>
                <w:b w:val="1"/>
                <w:bCs w:val="1"/>
                <w:color w:val="auto"/>
              </w:rPr>
              <w:t>Nine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3"/>
              <w:spacing w:after="0"/>
              <w:rPr>
                <w:sz w:val="20"/>
                <w:szCs w:val="20"/>
                <w:color w:val="auto"/>
              </w:rPr>
            </w:pPr>
            <w:r>
              <w:rPr>
                <w:rFonts w:ascii="Arial" w:cs="Arial" w:eastAsia="Arial" w:hAnsi="Arial"/>
                <w:sz w:val="16"/>
                <w:szCs w:val="16"/>
                <w:b w:val="1"/>
                <w:bCs w:val="1"/>
                <w:color w:val="auto"/>
              </w:rPr>
              <w:t>$</w:t>
            </w:r>
          </w:p>
        </w:tc>
        <w:tc>
          <w:tcPr>
            <w:tcW w:w="1740" w:type="dxa"/>
            <w:vAlign w:val="bottom"/>
            <w:gridSpan w:val="4"/>
          </w:tcPr>
          <w:p>
            <w:pPr>
              <w:jc w:val="center"/>
              <w:ind w:left="1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profit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1,151,139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727,734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423,405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profit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27,103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22,249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c>
          <w:tcPr>
            <w:tcW w:w="174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1,178,242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749,983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428,259</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433"/>
              <w:spacing w:after="0"/>
              <w:rPr>
                <w:sz w:val="20"/>
                <w:szCs w:val="20"/>
                <w:color w:val="auto"/>
              </w:rPr>
            </w:pPr>
            <w:r>
              <w:rPr>
                <w:rFonts w:ascii="Arial" w:cs="Arial" w:eastAsia="Arial" w:hAnsi="Arial"/>
                <w:sz w:val="16"/>
                <w:szCs w:val="16"/>
                <w:b w:val="1"/>
                <w:bCs w:val="1"/>
                <w:color w:val="auto"/>
                <w:w w:val="95"/>
              </w:rPr>
              <w:t>Nine Months Ended October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center"/>
              <w:ind w:left="3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2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Professional services gross margin</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33 %</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margin</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Subscription gross margin was relatively flat for the nine months ended October 31, 2022 compared to the nine months ended 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Professional services gross margin decreased by 3% for the nine months ended October 31, 2022, compared to the nine months ended October 31, 2021. The decrease in professional services gross margin was primarily due to higher employee-related expenses and higher stock-based compensation expense during the nine months ended October 31, 2022 compared to the nine months ended October 31, 2021, partially offset by an increase in the number of professional service hours performed and an increase in services offerings that are not based on billable hours.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shows sales and marketing expenses for the nine months ended October 31, 2022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 except percentage):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Nine Months Ended October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204,018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Sales and marketing expenses increased by $204.0 million, or 45%, for the nine months ended October 31, 2022 compared to the nine months ended October 31, 2021. The increase in sales and marketing expenses was primarily due to an increase in employee-related expenses of $103.4 million, driven by a 45% increase in average headcount; an increase in stock-based compensation expense of $41.0 million; an increase in marketing programs of $19.4 million; an increase in allocated overhead costs of $12.7 million; an increase in travel expenses of $8.1 million; an increase in company events expenses of $7.1 million; and an increase in employee health insurance of $4.0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research and development expenses for the nine months ended October 31, 2022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 except percentage):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Nine Months Ended October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bl>
    <w:p>
      <w:pPr>
        <w:spacing w:after="0" w:line="28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Research and development expenses increased by $150.3 million, or 56%, for the nine months ended October 31, 2022, compared to the nine months ended October 31, 2021. This increase was primarily due to an increase in employee-related expenses of $71.3 million, driven by a 56% increase in average headcount; an increase in stock-based compensation expense of $49.4 million; an increase in allocated overhead costs of $11.3 million; an increase in cloud hosting and related services cost of $5.9 million; an increase in travel expenses of $4.1 million; an increase in company events expenses of $3.9 million; an increase in employee health insurance of $3.1 million; and an increase in software licenses and maintenance of $2.1 million; partially offset by an increase in software capitalization of $7.2 million.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general and administrative expenses for the nine months ended October 31, 2022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 except percentage):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Nine Months Ended October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General and administrative expenses increased by $83.6 million, or 56%, for the nine months ended October 31, 2022 compared to the</w:t>
      </w:r>
    </w:p>
    <w:p>
      <w:pPr>
        <w:spacing w:after="0" w:line="2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nine months ended October 31, 2021. The increase in general and administrative expenses was primarily due to an increase in stock-based compensation expense of $56.4 million; an increase in employee-related expenses of $15.0 million, driven by a 55% increase in average headcount; an increase in legal expenses of $3.7 million; an increase in allocated overhead costs of $3.4 million; an increase in facilities expenses of $2.6 million; an increase in travel expenses of $1.9 million; and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increase in software licenses and maintenance of $1.3 million; partially offset by a decrease in consulting expenses of $6.8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 Interest Income and 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shows interest expense and other income, net for the nine months ended October 31, 2022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 except percentages):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Nine Months Ended October 31,</w:t>
            </w: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640" w:type="dxa"/>
            <w:vAlign w:val="bottom"/>
          </w:tcPr>
          <w:p>
            <w:pPr>
              <w:jc w:val="right"/>
              <w:ind w:right="474"/>
              <w:spacing w:after="0"/>
              <w:rPr>
                <w:sz w:val="20"/>
                <w:szCs w:val="20"/>
                <w:color w:val="auto"/>
              </w:rPr>
            </w:pPr>
            <w:r>
              <w:rPr>
                <w:rFonts w:ascii="Arial" w:cs="Arial" w:eastAsia="Arial" w:hAnsi="Arial"/>
                <w:sz w:val="16"/>
                <w:szCs w:val="16"/>
                <w:b w:val="1"/>
                <w:bCs w:val="1"/>
                <w:color w:val="auto"/>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25,479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22,825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860 %</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bl>
    <w:p>
      <w:pPr>
        <w:spacing w:after="0" w:line="29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Interest expense consists primarily of amortization of debt issuance costs, contractual interest expense and accretion of debt discount for our Senior Notes issued in January 2021.</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increase in interest income for the nine months ended October 31, 2022 compared to the nine months ended October 31, 2021 was driven by an increase in market interest rates.</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increase in other income, net for the nine months ended October 31, 2022 compared to the nine months ended October 31, 2021 was primarily due to a net increase of $2.0 million from fluctuations in foreign currency transaction gains and an increase in mark-to-market adjustments of $0.5 million for our strategic investments.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shows the provision for income taxes for the nine months ended October 31, 2022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(in thousands, except percentage):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200" w:type="dxa"/>
            <w:vAlign w:val="bottom"/>
            <w:gridSpan w:val="6"/>
          </w:tcPr>
          <w:p>
            <w:pPr>
              <w:ind w:left="420"/>
              <w:spacing w:after="0"/>
              <w:rPr>
                <w:sz w:val="20"/>
                <w:szCs w:val="20"/>
                <w:color w:val="auto"/>
              </w:rPr>
            </w:pPr>
            <w:r>
              <w:rPr>
                <w:rFonts w:ascii="Arial" w:cs="Arial" w:eastAsia="Arial" w:hAnsi="Arial"/>
                <w:sz w:val="16"/>
                <w:szCs w:val="16"/>
                <w:b w:val="1"/>
                <w:bCs w:val="1"/>
                <w:color w:val="auto"/>
              </w:rPr>
              <w:t>Nine Months Ended October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07"/>
        </w:trPr>
        <w:tc>
          <w:tcPr>
            <w:tcW w:w="48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6"/>
                <w:szCs w:val="16"/>
                <w:b w:val="1"/>
                <w:bCs w:val="1"/>
                <w:color w:val="auto"/>
              </w:rPr>
              <w:t>%</w:t>
            </w: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bl>
    <w:p>
      <w:pPr>
        <w:spacing w:after="0" w:line="283"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decrease in provision for income taxes of $41.7 million during the nine months ended October 31, 2022 compared to the nine months ended October 31, 2021 was primarily attributable to the tax impact from intercompany sale of intellectual property from Humio during the nine months ended October 31,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primary sources of liquidity as of October 31, 2022, consisted of: (i) $2.5 billion in cash and cash equivalents, (ii) cash we expect to generate from operations, and (iii) available capacity under our $750.0 million senior secured revolving credit facility (the “A&amp;R Credit Agreement”). We expect that the combination of our existing cash and cash equivalents, cash flows from operations, and the A&amp;R Credit Agreement will be sufficient to meet our anticipated cash needs for working capital and capital expenditures for at least the next 12 months.</w:t>
      </w:r>
    </w:p>
    <w:p>
      <w:pPr>
        <w:spacing w:after="0" w:line="17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7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Since our inception, we have generated operating losses, as reflected in our accumulated deficit of $1.1 billion as of October 31, 2022. We expect to continue to incur operating losses for the foreseeable future due to the investments we intend to continue to make, particularly in sales and marketing and research and development. As a result, we may require additional capital resources in the future to execute strategic initiatives to grow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October 31, 2022, we had deferred revenue of $2.0 billion, of which $1.5 billion was recorded as a current liability and is expected to be recorded as revenue in the next 12 months, provided all other revenue recognition criteria have been met.</w:t>
      </w:r>
    </w:p>
    <w:p>
      <w:pPr>
        <w:spacing w:after="0" w:line="176" w:lineRule="exact"/>
        <w:rPr>
          <w:sz w:val="20"/>
          <w:szCs w:val="20"/>
          <w:color w:val="auto"/>
        </w:rPr>
      </w:pPr>
    </w:p>
    <w:p>
      <w:pPr>
        <w:jc w:val="both"/>
        <w:ind w:right="220" w:firstLine="648"/>
        <w:spacing w:after="0" w:line="256"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6"/>
                <w:szCs w:val="16"/>
                <w:b w:val="1"/>
                <w:bCs w:val="1"/>
                <w:color w:val="auto"/>
                <w:w w:val="98"/>
              </w:rPr>
              <w:t>Nine Months Ended October 31,</w:t>
            </w:r>
          </w:p>
        </w:tc>
      </w:tr>
      <w:tr>
        <w:trPr>
          <w:trHeight w:val="226"/>
        </w:trPr>
        <w:tc>
          <w:tcPr>
            <w:tcW w:w="8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415,066</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(237,518)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(470,856)</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46,353</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471,425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(11,100)</w:t>
            </w:r>
          </w:p>
        </w:tc>
      </w:tr>
    </w:tbl>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operating activities during the nine months ended October 31, 2022 was $667.7 million, which resulted from a net loss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$133.4 million, adjusted for non-cash charges of $568.1 million and net cash inflow of $233.0 million from changes in operating assets and liabilities.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charges primarily consisted of $374.2 million in stock-based compensation expense, $121.6 million of amortization of deferred contract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$53.6 million of depreciation and amortization, $12.3 million of amortization for intangibles assets, $6.8 million of non-cash operating lease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$2.3 million change in deferred income taxes, partially offset by $4.8 million change in the fair value of strategic investments. The net cash inflow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from changes in operating assets and liabilities was primarily due to $486.2 million increase in deferred revenue, $25.0 million increase in accounts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payable, $21.8 million increase in accrued expenses and other liabilities, and $21.6 million increase in accrued payroll and benefits, partially offset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$183.3 million increase in deferred contract acquisition costs, $117.2 million increase in accounts receivable, net, $14.1 million increase in prepaid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expenses and other assets, and $7.0 million decrease in operating lease liabilities.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Net cash used in investing activities of $237.5 million during the nine months ended October 31, 2022 was primarily due to the purchases of property and equipment of $179.6 million, capitalized internal-use software and website development costs of $20.7 million, business acquisitions, net of cash acquired, of $18.5 million, which was primarily related to the Reposify acquisition, and purchase of strategic investments of $18.0 million.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Net cash provided by financing activities of $48.3 million during the nine months ended October 31, 2022 was primarily due to the proceeds from our employee stock purchase plan of $34.4 million, $9.1 million of capital contributions from non-controlling interest holders, and proceeds from the exercise of stock options of $6.4 million, partially offset by the repayment of a loan acquired through Reposify of $1.6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in our Notes to Condensed Consolidated Financial Statements in Part I, Item 1 of this Quarterly Report on Form 10-Q, for a brief description of the Senior Notes.</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conduct our operations almost entirely through our subsidiaries. Accordingly, the Obligor Group’s cash flow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all of our consolidated revenue, and there are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60" w:type="dxa"/>
            <w:vAlign w:val="bottom"/>
          </w:tcPr>
          <w:p>
            <w:pPr>
              <w:spacing w:after="0"/>
              <w:rPr>
                <w:sz w:val="17"/>
                <w:szCs w:val="17"/>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Nine Months Ended October</w:t>
            </w:r>
          </w:p>
        </w:tc>
      </w:tr>
      <w:tr>
        <w:trPr>
          <w:trHeight w:val="243"/>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31, 2022</w:t>
            </w:r>
          </w:p>
        </w:tc>
      </w:tr>
      <w:tr>
        <w:trPr>
          <w:trHeight w:val="263"/>
        </w:trPr>
        <w:tc>
          <w:tcPr>
            <w:tcW w:w="8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40" w:type="dxa"/>
            <w:vAlign w:val="bottom"/>
          </w:tcPr>
          <w:p>
            <w:pPr>
              <w:jc w:val="right"/>
              <w:ind w:right="51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1,603,869</w:t>
            </w: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453,618</w:t>
            </w: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1,324,444</w:t>
            </w:r>
          </w:p>
        </w:tc>
      </w:tr>
      <w:tr>
        <w:trPr>
          <w:trHeight w:val="229"/>
        </w:trPr>
        <w:tc>
          <w:tcPr>
            <w:tcW w:w="89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(174,192)</w:t>
            </w: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(175,584)</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Net loss attributable to CrowdStrike</w:t>
            </w:r>
          </w:p>
        </w:tc>
        <w:tc>
          <w:tcPr>
            <w:tcW w:w="3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(175,584)</w:t>
            </w: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Balance Sheets</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October 31, 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January 31, 2022</w:t>
            </w:r>
          </w:p>
        </w:tc>
      </w:tr>
      <w:tr>
        <w:trPr>
          <w:trHeight w:val="263"/>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0" w:type="dxa"/>
            <w:vAlign w:val="bottom"/>
            <w:gridSpan w:val="4"/>
          </w:tcPr>
          <w:p>
            <w:pPr>
              <w:jc w:val="right"/>
              <w:ind w:right="125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(excluding intercompany receivables from non-Guarantors)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3,097,620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2,499,941</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Intercompany receivables from non-Guarantors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24,224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11,900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1,201,620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1,762,088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1,363,873</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 (excluding intercompany payable to non-Guarantors)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1,165,807</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Intercompany payable to non-Guarantors</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263,820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276,919</w:t>
            </w:r>
          </w:p>
        </w:tc>
      </w:tr>
    </w:tbl>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the Falcon Fund II. Further, entities associated with Accel also agreed to commit up to $10.0 million and $50.0 million, respectively, to the Original Falcon Fund and the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nine months ended October 31, 2022, there were no significant changes to our debt obligations related to the Senior Notes, or our contractual obligations under our non-cancelable real estate arrangements other than what we disclosed below, as presented in Part II, Item 7, Management’s Discussion and Analysis of Financial Condition and Results of Operations included in our Annual Report on Form 10-K for the fiscal year ended January 31, 2022.</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non-cancelable data center commitments totaling $141.6 million as of October 31, 2022, of which $83.7 million is due in more than 12 months. We also have non-cancelable purchase commitments with various parties to purchase products and services entered in the normal course of business totaling $117.3 million as of October 31, 2022, of which $100.4 million is due in more than 12 months. We expect to fund these obligations with cash flows from operations and cash on our balance sheet.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contractual commitment amounts above are associated with agreements that are enforceable and legally binding. Obligations under contracts, including purchase orders, that we can cancel without a significant penalty are excluded.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October 2021, we entered into a new private pricing addendum with Amazon Web Services (“AWS”), which provides us with cloud computing infrastructure. Under the new pricing addendum, we committed to purchase a minimum of $600.0 million of cloud services from AWS through September 2026. As of October 31, 2022, we have utilized $223.6 million of this commitment. We expect to meet our remaining commitment with AWS.</w:t>
      </w:r>
    </w:p>
    <w:p>
      <w:pPr>
        <w:spacing w:after="0" w:line="14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October 31, 2022, our unrecognized tax benefits included $4.7 million which were classified as long-term liabilities due to the inherent uncertainty with respect to the timing of future cash outflows associated with our unrecognized tax benefits.</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October 31, 2022, we have entered into non-cancelable operating leases with terms greater than 12 months that have not yet commenced with undiscounted future minimum payments of approximately $18.7 million. These operating leases are expected to commence during the fourth quarter of fiscal 2023 with lease terms up to six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sheets as of October 31, 2022 or January 31, 2022.</w:t>
      </w:r>
    </w:p>
    <w:p>
      <w:pPr>
        <w:spacing w:after="0" w:line="17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liability insurance policy mitigates our exposure. Historically, we have not been obligated to make any payments for these obligations and no liabilities have been recorded for these obligations on our condensed consolidated balance sheets as of October 31, 2022 or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8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76" w:lineRule="exact"/>
        <w:rPr>
          <w:sz w:val="20"/>
          <w:szCs w:val="20"/>
          <w:color w:val="auto"/>
        </w:rPr>
      </w:pPr>
    </w:p>
    <w:p>
      <w:pPr>
        <w:jc w:val="both"/>
        <w:ind w:right="500" w:firstLine="648"/>
        <w:spacing w:after="0" w:line="311" w:lineRule="auto"/>
        <w:rPr>
          <w:sz w:val="20"/>
          <w:szCs w:val="20"/>
          <w:color w:val="auto"/>
        </w:rPr>
      </w:pPr>
      <w:r>
        <w:rPr>
          <w:rFonts w:ascii="Arial" w:cs="Arial" w:eastAsia="Arial" w:hAnsi="Arial"/>
          <w:sz w:val="16"/>
          <w:szCs w:val="16"/>
          <w:color w:val="auto"/>
        </w:rPr>
        <w:t>There have been no significant changes in our critical accounting policies and estimates during the nine months ended October 31, 2022, as compared to the critical accounting policies and estimates disclosed in Management’s Discussion and Analysis of Financial Condition and Results of Operations included in our Annual Report on Form 10-K for the year ended January 31, 2022, filed with the SEC on March 16, 2022.</w:t>
      </w:r>
    </w:p>
    <w:p>
      <w:pPr>
        <w:spacing w:after="0" w:line="14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condensed consolidated financial statements, and are considered by us to be backlog. As of October 31, 2022, we had backlog of approximately $782.2 million.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7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80" w:firstLine="648"/>
        <w:spacing w:after="0" w:line="249" w:lineRule="auto"/>
        <w:rPr>
          <w:sz w:val="20"/>
          <w:szCs w:val="20"/>
          <w:color w:val="auto"/>
        </w:rPr>
      </w:pPr>
      <w:r>
        <w:rPr>
          <w:rFonts w:ascii="Arial" w:cs="Arial" w:eastAsia="Arial" w:hAnsi="Arial"/>
          <w:sz w:val="18"/>
          <w:szCs w:val="18"/>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new hires, and annual sales and marketing events. This also impacts the timing of operating cash flow.</w:t>
      </w:r>
    </w:p>
    <w:p>
      <w:pPr>
        <w:spacing w:after="0" w:line="17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of October 31, 2022, we had 6,959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6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principal executive offices are located at 206 E. 9th Street, Suite 1400, Austin, Texas 78701 and our telephone number is (888) 512-8906. Our website address is www.crowdstrike.com. Information contained on, or that can be accessed through, our website does not constitute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See Note 1, “Description of Business and Significant Accounting Policies”, of our condensed consolidated financial statements included elsewhere in this Quarterly Report on Form 10-Q, for more information about the impact of certain recent accounting pronouncements on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41" w:right="5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cash and cash equivalents primarily consist of cash on hand and highly liquid investments in bank deposits and money market funds. Our investments are exposed to market risk due to fluctuations in interest rates, which may affect our interest income and the fair value of our investments. As of October 31, 2022, we had cash and cash equivalents of $2.5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Due to the short-term nature of our investment portfolio, the effect of a hypothetical 100 basis point change in interest rates would not have had a material effect on the fair market value of our portfolio as of October 31, 2022. We therefore do not expect our results of operations or cash flows to be materially affected by a sudden change in market interest rates.</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debt obligations consist of a variety of financial instruments that expose us to interest rate risk, including, but not limited to our revolving credit facility and the Senior Notes. The interest on the revolving credit facility is tied to short term interest rate benchmarks including the Term SOFR. The interest rate on the Senior Notes is fixed.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net. A hypothetical 10% adverse change in the U.S. dollar against other currencies would have resulted in an increase in operating loss of approximately $38.9 million and $21.3 million for the nine months ended October 31, 2022 and October 31, 2021, respectively. We have not entered into derivative or hedging transactions, but we may do so in the future if our exposure to foreign currency becomes more significant.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We do not believe that inflation had a material effect on our business, financial conditions or results of operations during the nine months ended October 31, 2022.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October 31, 2022. Based on the evaluation of our disclosure controls and procedures as of October 31, 2022, our Chief Executive Officer and Chief Financial Officer concluded that, as of such date,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8, “Commitments and Contingencies” in our Notes to Condensed Consolidated Financial Statements in Part I, Item 1 of this Quarterly Report on Form 10-Q.</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record a liability for any claims for which we believe a loss is both probable and reasonably estimable. There is no pending or threatened legal proceeding to which we are a party that, in our opinion, is likely to have a material adverse effect on our business and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70"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We have experienced rapid revenue growth in recent periods and we expect to continue to invest broadly across our organization to support our growth. For example, our headcount grew from 2,309 employees as of January 31, 2020, to 6,959 employees as of October 31, 2022.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attract, integrate, and retain a large number of new employees, particularly members of our sales and marketing and research and development teams;</w:t>
      </w:r>
    </w:p>
    <w:p>
      <w:pPr>
        <w:spacing w:after="0" w:line="170" w:lineRule="exact"/>
        <w:rPr>
          <w:rFonts w:ascii="Arial" w:cs="Arial" w:eastAsia="Arial" w:hAnsi="Arial"/>
          <w:sz w:val="18"/>
          <w:szCs w:val="18"/>
          <w:color w:val="auto"/>
        </w:rPr>
      </w:pPr>
    </w:p>
    <w:p>
      <w:pPr>
        <w:ind w:left="1140" w:right="400" w:hanging="322"/>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improve our Falcon platform, including our cloud modules, and IT infrastructure, including expanding and optimizing our data centers, to support our business needs;</w:t>
      </w:r>
    </w:p>
    <w:p>
      <w:pPr>
        <w:spacing w:after="0" w:line="170" w:lineRule="exact"/>
        <w:rPr>
          <w:rFonts w:ascii="Arial" w:cs="Arial" w:eastAsia="Arial" w:hAnsi="Arial"/>
          <w:sz w:val="18"/>
          <w:szCs w:val="18"/>
          <w:color w:val="auto"/>
        </w:rPr>
      </w:pPr>
    </w:p>
    <w:p>
      <w:pPr>
        <w:ind w:left="1140" w:right="180" w:hanging="322"/>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 our financial, management, and compliance systems and controls.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sustain profitability in the future.</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have incurred net losses in all periods since our inception, and we may not achieve or maintain profitability in the future. We experienced net losses of $234.8 million, $92.6 million, and $141.8 million for fiscal 2022, fiscal 2021, and fiscal 2020, respectively. As of October 31, 2022, we had an accumulated deficit of $1.1 billion.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84" w:lineRule="exact"/>
        <w:rPr>
          <w:sz w:val="20"/>
          <w:szCs w:val="20"/>
          <w:color w:val="auto"/>
        </w:rPr>
      </w:pPr>
    </w:p>
    <w:p>
      <w:pPr>
        <w:ind w:right="80" w:firstLine="648"/>
        <w:spacing w:after="0" w:line="251" w:lineRule="auto"/>
        <w:rPr>
          <w:sz w:val="20"/>
          <w:szCs w:val="20"/>
          <w:color w:val="auto"/>
        </w:rPr>
      </w:pPr>
      <w:r>
        <w:rPr>
          <w:rFonts w:ascii="Arial" w:cs="Arial" w:eastAsia="Arial" w:hAnsi="Arial"/>
          <w:sz w:val="17"/>
          <w:szCs w:val="17"/>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9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business could be harmed. Even if we adequately fund our research and development efforts there is no guarantee that we will realize a return on such efforts.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especially in the early stages of introduction, as well as our ability to seamlessly integrate all of our product and service offerings and develop adequate sales capabilities in new markets. Failure in this regard may erode our competitive position, significantly impair our revenue growth, and negatively impact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future results of operations could be harmed.</w:t>
      </w:r>
    </w:p>
    <w:p>
      <w:pPr>
        <w:spacing w:after="0" w:line="239" w:lineRule="exact"/>
        <w:rPr>
          <w:sz w:val="20"/>
          <w:szCs w:val="20"/>
          <w:color w:val="auto"/>
        </w:rPr>
      </w:pPr>
    </w:p>
    <w:p>
      <w:pPr>
        <w:ind w:firstLine="648"/>
        <w:spacing w:after="0" w:line="266" w:lineRule="auto"/>
        <w:rPr>
          <w:sz w:val="20"/>
          <w:szCs w:val="20"/>
          <w:color w:val="auto"/>
        </w:rPr>
      </w:pPr>
      <w:r>
        <w:rPr>
          <w:rFonts w:ascii="Arial" w:cs="Arial" w:eastAsia="Arial" w:hAnsi="Arial"/>
          <w:sz w:val="16"/>
          <w:szCs w:val="16"/>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geopolitical environment, the outbreak of diseases such as COVID-19 or inflation (as well as government policies such as raising interest rates in response to inflation), may cause our current and prospective customers to delay or cut their overall security and IT operations spending, and such delays or cuts may fall disproportionately on cloud-based security solutions like ours. Economic weakness, customer financial difficulties, and constrained spending on security and IT operations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9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and geopolitical conditions. If our efforts to maintain and expand our relationships with our existing customers are not successful, our business, results of operations, and financial condition may materially suffer.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can be long and unpredictable, and our sales efforts require considerable time and expense.</w:t>
      </w:r>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conditions may lead to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scrutiny of budgets by current and prospective customers, which has resulted in, for example, longer sales cycles for products and services, and may result in shifting demand for IT products and services, and slower adoption of new technologies.</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78" w:lineRule="exact"/>
        <w:rPr>
          <w:sz w:val="20"/>
          <w:szCs w:val="20"/>
          <w:color w:val="auto"/>
        </w:rPr>
      </w:pPr>
    </w:p>
    <w:p>
      <w:pPr>
        <w:ind w:left="1140" w:right="400" w:hanging="322"/>
        <w:spacing w:after="0" w:line="277"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capabilities, including performance and reliability, of our Falcon platform, including our cloud modules, services, and features compared to those of our competitors;</w:t>
      </w:r>
    </w:p>
    <w:p>
      <w:pPr>
        <w:spacing w:after="0" w:line="170" w:lineRule="exact"/>
        <w:rPr>
          <w:rFonts w:ascii="Arial" w:cs="Arial" w:eastAsia="Arial" w:hAnsi="Arial"/>
          <w:sz w:val="18"/>
          <w:szCs w:val="18"/>
          <w:color w:val="auto"/>
        </w:rPr>
      </w:pPr>
    </w:p>
    <w:p>
      <w:pPr>
        <w:ind w:left="1140" w:right="540" w:hanging="322"/>
        <w:spacing w:after="0" w:line="277" w:lineRule="auto"/>
        <w:tabs>
          <w:tab w:leader="none" w:pos="1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improve existing products, services, and features, or to develop new ones to address evolving customer needs;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channel partners;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strength of our sales and marketing efforts;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competitors include the following by general category:</w:t>
      </w:r>
    </w:p>
    <w:p>
      <w:pPr>
        <w:spacing w:after="0" w:line="185" w:lineRule="exact"/>
        <w:rPr>
          <w:sz w:val="20"/>
          <w:szCs w:val="20"/>
          <w:color w:val="auto"/>
        </w:rPr>
      </w:pPr>
    </w:p>
    <w:p>
      <w:pPr>
        <w:ind w:left="1140" w:right="100" w:hanging="322"/>
        <w:spacing w:after="0" w:line="277"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legacy antivirus product providers, such as Trellix, Broadcom Inc.’s Symantec Enterprise division, and Microsoft Corporation, who offer a broad range of approaches and solutions including traditional signature-based anti-virus protection;</w:t>
      </w:r>
    </w:p>
    <w:p>
      <w:pPr>
        <w:spacing w:after="0" w:line="143" w:lineRule="exact"/>
        <w:rPr>
          <w:rFonts w:ascii="Arial" w:cs="Arial" w:eastAsia="Arial" w:hAnsi="Arial"/>
          <w:sz w:val="18"/>
          <w:szCs w:val="18"/>
          <w:color w:val="auto"/>
        </w:rPr>
      </w:pPr>
    </w:p>
    <w:p>
      <w:pPr>
        <w:ind w:left="1140" w:right="60" w:hanging="322"/>
        <w:spacing w:after="0" w:line="277"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alternative endpoint security providers, such as Blackberry Cylance, VMware Carbon Black and SentinelOne, who generally offer a mix of on-premise and cloud-hosted products that rely heavily on malware-only or application whitelisting techniques;</w:t>
      </w:r>
    </w:p>
    <w:p>
      <w:pPr>
        <w:spacing w:after="0" w:line="129" w:lineRule="exact"/>
        <w:rPr>
          <w:rFonts w:ascii="Arial" w:cs="Arial" w:eastAsia="Arial" w:hAnsi="Arial"/>
          <w:sz w:val="18"/>
          <w:szCs w:val="18"/>
          <w:color w:val="auto"/>
        </w:rPr>
      </w:pPr>
    </w:p>
    <w:p>
      <w:pPr>
        <w:ind w:left="1140" w:right="380" w:hanging="322"/>
        <w:spacing w:after="0" w:line="277" w:lineRule="auto"/>
        <w:tabs>
          <w:tab w:leader="none" w:pos="1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who are supplementing their core perimeter-based offerings with endpoint security solutions; and</w:t>
      </w:r>
    </w:p>
    <w:p>
      <w:pPr>
        <w:spacing w:after="0" w:line="12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professional service providers, such as Mandiant and Microsoft Corporation, who offer cybersecurity response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pricing pressure may reduce our gross profits and adversely affect our financial results.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8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7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2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if geopolitical tensions increase. We are also susceptible to inadvertent compromises of our systems and data, including those arising from process, coding, or human errors. We also utilize third-party service providers to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7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6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factors, many of which are beyond our control, can affect the delivery, availability, and the performance of our Falcon platform:</w:t>
      </w:r>
    </w:p>
    <w:p>
      <w:pPr>
        <w:spacing w:after="0" w:line="237" w:lineRule="exact"/>
        <w:rPr>
          <w:sz w:val="20"/>
          <w:szCs w:val="20"/>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and maintenance of the infrastructure of the internet;</w:t>
      </w:r>
    </w:p>
    <w:p>
      <w:pPr>
        <w:spacing w:after="0" w:line="225" w:lineRule="exact"/>
        <w:rPr>
          <w:rFonts w:ascii="Arial" w:cs="Arial" w:eastAsia="Arial" w:hAnsi="Arial"/>
          <w:sz w:val="18"/>
          <w:szCs w:val="18"/>
          <w:color w:val="auto"/>
        </w:rPr>
      </w:pPr>
    </w:p>
    <w:p>
      <w:pPr>
        <w:ind w:left="1140" w:right="440" w:hanging="322"/>
        <w:spacing w:after="0" w:line="277"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70" w:lineRule="exact"/>
        <w:rPr>
          <w:rFonts w:ascii="Arial" w:cs="Arial" w:eastAsia="Arial" w:hAnsi="Arial"/>
          <w:sz w:val="18"/>
          <w:szCs w:val="18"/>
          <w:color w:val="auto"/>
        </w:rPr>
      </w:pPr>
    </w:p>
    <w:p>
      <w:pPr>
        <w:ind w:left="1140" w:hanging="322"/>
        <w:spacing w:after="0" w:line="263"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83" w:lineRule="exact"/>
        <w:rPr>
          <w:rFonts w:ascii="Arial" w:cs="Arial" w:eastAsia="Arial" w:hAnsi="Arial"/>
          <w:sz w:val="18"/>
          <w:szCs w:val="18"/>
          <w:color w:val="auto"/>
        </w:rPr>
      </w:pPr>
    </w:p>
    <w:p>
      <w:pPr>
        <w:ind w:left="1140" w:right="720" w:hanging="322"/>
        <w:spacing w:after="0" w:line="277"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physical or electronic break-ins, acts of war or terrorism, human error or interference (including by disgruntled employees, former employees or contractors) and other catastrophic events;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cyberattacks, including denial of service attacks, targeted at us, our data centers, or the infrastructure of the internet;</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us to maintain and update our cloud infrastructure to meet our data capacity requirements;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errors, defects or performance problems in our software, including third-party software incorporated in our software;</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improper deployment or configuration of our solutions;</w:t>
      </w:r>
    </w:p>
    <w:p>
      <w:pPr>
        <w:spacing w:after="0" w:line="225"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our redundancy systems, in the event of a service disruption at one of our data centers, to provide failover to other data centers in our data center network; and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our disaster recovery and business continuity arrangements.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rely on our key technical, sales and management personnel to grow our business, and the loss of one or more key employees could harm our business.</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qualified personnel, our business could be harmed.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65" w:lineRule="exact"/>
        <w:rPr>
          <w:sz w:val="20"/>
          <w:szCs w:val="20"/>
          <w:color w:val="auto"/>
        </w:rPr>
      </w:pPr>
    </w:p>
    <w:p>
      <w:pPr>
        <w:ind w:left="1140" w:right="340" w:hanging="322"/>
        <w:spacing w:after="0" w:line="277"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customers;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length of our sales cycles;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 or channel partner requirements or market needs;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growth rate of the cloud-based SaaS-delivered endpoint security solutions market;</w:t>
      </w:r>
    </w:p>
    <w:p>
      <w:pPr>
        <w:spacing w:after="0" w:line="225"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competitive developments, including consolidation among our customers or competitors;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level of awareness of cybersecurity threats, particularly advanced cyberattacks, and the market adoption of our Falcon platform;</w:t>
      </w:r>
    </w:p>
    <w:p>
      <w:pPr>
        <w:spacing w:after="0" w:line="236" w:lineRule="exact"/>
        <w:rPr>
          <w:rFonts w:ascii="Arial" w:cs="Arial" w:eastAsia="Arial" w:hAnsi="Arial"/>
          <w:sz w:val="17"/>
          <w:szCs w:val="17"/>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expand our business domestically and internationally;</w:t>
      </w:r>
    </w:p>
    <w:p>
      <w:pPr>
        <w:spacing w:after="0" w:line="225"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decisions by organizations to purchase security solutions from larger, more established security vendors or from their primary IT equipment vendors;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disruption in our relationship with channel partners;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use of our Falcon platform;</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 or outcomes;</w:t>
      </w:r>
    </w:p>
    <w:p>
      <w:pPr>
        <w:spacing w:after="0" w:line="225" w:lineRule="exact"/>
        <w:rPr>
          <w:rFonts w:ascii="Arial" w:cs="Arial" w:eastAsia="Arial" w:hAnsi="Arial"/>
          <w:sz w:val="18"/>
          <w:szCs w:val="18"/>
          <w:color w:val="auto"/>
        </w:rPr>
      </w:pPr>
    </w:p>
    <w:p>
      <w:pPr>
        <w:ind w:left="1140" w:right="260" w:hanging="322"/>
        <w:spacing w:after="0" w:line="277" w:lineRule="auto"/>
        <w:tabs>
          <w:tab w:leader="none" w:pos="1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difficulties confronting our customers, which may impact the number of modules or endpoint deployments they are willing or able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or practices;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media coverage or publicity;</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events;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expansion of our business;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Furthermore, our business and revenues are impacted by global economic and geopolitical conditions. Volatile financial markets, inflation, rising interest rates, supply chain challenges, political turmoil and other disruptions to global and regional economies and markets continue to add uncertainty to macroeconomic conditions. Any continued or further uncertainty, weakness or deterioration in economic conditions or the geopolitical environment could harm our business and results of operations. 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6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7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derived approximately 26%, 28%, 28% and 31% of our total revenue from our international customers for fiscal 2020, fiscal 2021, fiscal 2022 and the nine months ended October 31, 2022,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22" w:lineRule="exact"/>
        <w:rPr>
          <w:sz w:val="20"/>
          <w:szCs w:val="20"/>
          <w:color w:val="auto"/>
        </w:rPr>
      </w:pPr>
    </w:p>
    <w:p>
      <w:pPr>
        <w:ind w:left="1140" w:hanging="322"/>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greater difficulty in negotiating contracts with standard terms, enforcing contracts and managing collections, and longer collection periods;</w:t>
      </w:r>
    </w:p>
    <w:p>
      <w:pPr>
        <w:spacing w:after="0" w:line="248" w:lineRule="exact"/>
        <w:rPr>
          <w:rFonts w:ascii="Arial" w:cs="Arial" w:eastAsia="Arial" w:hAnsi="Arial"/>
          <w:sz w:val="16"/>
          <w:szCs w:val="16"/>
          <w:color w:val="auto"/>
        </w:rPr>
      </w:pPr>
    </w:p>
    <w:p>
      <w:pPr>
        <w:ind w:left="1140" w:right="160" w:hanging="322"/>
        <w:spacing w:after="0" w:line="27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costs incurred in establishing and maintaining office space and equipment for our international operations;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225" w:lineRule="exact"/>
        <w:rPr>
          <w:rFonts w:ascii="Arial" w:cs="Arial" w:eastAsia="Arial" w:hAnsi="Arial"/>
          <w:sz w:val="18"/>
          <w:szCs w:val="18"/>
          <w:color w:val="auto"/>
        </w:rPr>
      </w:pPr>
    </w:p>
    <w:p>
      <w:pPr>
        <w:ind w:left="1140" w:right="460" w:hanging="322"/>
        <w:spacing w:after="0" w:line="27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1140" w:right="200" w:hanging="322"/>
        <w:spacing w:after="0" w:line="263"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83" w:lineRule="exact"/>
        <w:rPr>
          <w:rFonts w:ascii="Arial" w:cs="Arial" w:eastAsia="Arial" w:hAnsi="Arial"/>
          <w:sz w:val="18"/>
          <w:szCs w:val="18"/>
          <w:color w:val="auto"/>
        </w:rPr>
      </w:pPr>
    </w:p>
    <w:p>
      <w:pPr>
        <w:ind w:left="1140" w:right="320" w:hanging="322"/>
        <w:spacing w:after="0" w:line="27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exchange controls or tax regulations that might prevent us from repatriating cash earned outside the United States;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225"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w:t>
      </w:r>
    </w:p>
    <w:p>
      <w:pPr>
        <w:spacing w:after="0" w:line="170" w:lineRule="exact"/>
        <w:rPr>
          <w:rFonts w:ascii="Arial" w:cs="Arial" w:eastAsia="Arial" w:hAnsi="Arial"/>
          <w:sz w:val="18"/>
          <w:szCs w:val="18"/>
          <w:color w:val="auto"/>
        </w:rPr>
      </w:pPr>
    </w:p>
    <w:p>
      <w:pPr>
        <w:ind w:left="1140" w:right="380" w:hanging="322"/>
        <w:spacing w:after="0" w:line="27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costs for the localization of our services, including translation into foreign languages and adaptation for local practices and regulatory requirements (including, but not limited to data localization requirements);</w:t>
      </w:r>
    </w:p>
    <w:p>
      <w:pPr>
        <w:spacing w:after="0" w:line="170" w:lineRule="exact"/>
        <w:rPr>
          <w:rFonts w:ascii="Arial" w:cs="Arial" w:eastAsia="Arial" w:hAnsi="Arial"/>
          <w:sz w:val="18"/>
          <w:szCs w:val="18"/>
          <w:color w:val="auto"/>
        </w:rPr>
      </w:pPr>
    </w:p>
    <w:p>
      <w:pPr>
        <w:ind w:left="1140" w:right="460" w:hanging="322"/>
        <w:spacing w:after="0" w:line="27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740" w:hanging="322"/>
        <w:spacing w:after="0" w:line="277"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in identifying, attracting and retaining local qualified personnel, and the costs and expenses associated with such activities;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identifying qualified channel partners and maintaining successful relationships with such partners;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 issues; and</w:t>
      </w:r>
    </w:p>
    <w:p>
      <w:pPr>
        <w:spacing w:after="0" w:line="225" w:lineRule="exact"/>
        <w:rPr>
          <w:rFonts w:ascii="Arial" w:cs="Arial" w:eastAsia="Arial" w:hAnsi="Arial"/>
          <w:sz w:val="18"/>
          <w:szCs w:val="18"/>
          <w:color w:val="auto"/>
        </w:rPr>
      </w:pPr>
    </w:p>
    <w:p>
      <w:pPr>
        <w:ind w:left="1140" w:right="280" w:hanging="322"/>
        <w:spacing w:after="0" w:line="277"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offices and increased travel, infrastructure, and legal compliance costs associated with multiple international locations.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to such government entities include, but are not limited to, the following risks:</w:t>
      </w:r>
    </w:p>
    <w:p>
      <w:pPr>
        <w:spacing w:after="0" w:line="266" w:lineRule="exact"/>
        <w:rPr>
          <w:sz w:val="20"/>
          <w:szCs w:val="20"/>
          <w:color w:val="auto"/>
        </w:rPr>
      </w:pPr>
    </w:p>
    <w:p>
      <w:pPr>
        <w:ind w:left="1140" w:right="300" w:hanging="322"/>
        <w:spacing w:after="0" w:line="232" w:lineRule="auto"/>
        <w:tabs>
          <w:tab w:leader="none" w:pos="1135" w:val="left"/>
        </w:tabs>
        <w:numPr>
          <w:ilvl w:val="0"/>
          <w:numId w:val="21"/>
        </w:numPr>
        <w:rPr>
          <w:rFonts w:ascii="Arial" w:cs="Arial" w:eastAsia="Arial" w:hAnsi="Arial"/>
          <w:sz w:val="22"/>
          <w:szCs w:val="22"/>
          <w:color w:val="auto"/>
        </w:rPr>
      </w:pPr>
      <w:r>
        <w:rPr>
          <w:rFonts w:ascii="Arial" w:cs="Arial" w:eastAsia="Arial" w:hAnsi="Arial"/>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43" w:lineRule="exact"/>
        <w:rPr>
          <w:rFonts w:ascii="Arial" w:cs="Arial" w:eastAsia="Arial" w:hAnsi="Arial"/>
          <w:sz w:val="22"/>
          <w:szCs w:val="22"/>
          <w:color w:val="auto"/>
        </w:rPr>
      </w:pPr>
    </w:p>
    <w:p>
      <w:pPr>
        <w:ind w:left="1140" w:right="580" w:hanging="322"/>
        <w:spacing w:after="0" w:line="232" w:lineRule="auto"/>
        <w:tabs>
          <w:tab w:leader="none" w:pos="1135" w:val="left"/>
        </w:tabs>
        <w:numPr>
          <w:ilvl w:val="0"/>
          <w:numId w:val="21"/>
        </w:numPr>
        <w:rPr>
          <w:rFonts w:ascii="Arial" w:cs="Arial" w:eastAsia="Arial" w:hAnsi="Arial"/>
          <w:sz w:val="22"/>
          <w:szCs w:val="22"/>
          <w:color w:val="auto"/>
        </w:rPr>
      </w:pPr>
      <w:r>
        <w:rPr>
          <w:rFonts w:ascii="Arial" w:cs="Arial" w:eastAsia="Arial" w:hAnsi="Arial"/>
          <w:sz w:val="18"/>
          <w:szCs w:val="18"/>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243" w:lineRule="exact"/>
        <w:rPr>
          <w:rFonts w:ascii="Arial" w:cs="Arial" w:eastAsia="Arial" w:hAnsi="Arial"/>
          <w:sz w:val="22"/>
          <w:szCs w:val="22"/>
          <w:color w:val="auto"/>
        </w:rPr>
      </w:pPr>
    </w:p>
    <w:p>
      <w:pPr>
        <w:ind w:left="1140" w:right="60" w:hanging="322"/>
        <w:spacing w:after="0" w:line="247" w:lineRule="auto"/>
        <w:tabs>
          <w:tab w:leader="none" w:pos="1135" w:val="left"/>
        </w:tabs>
        <w:numPr>
          <w:ilvl w:val="0"/>
          <w:numId w:val="21"/>
        </w:numPr>
        <w:rPr>
          <w:rFonts w:ascii="Arial" w:cs="Arial" w:eastAsia="Arial" w:hAnsi="Arial"/>
          <w:sz w:val="22"/>
          <w:szCs w:val="22"/>
          <w:color w:val="auto"/>
        </w:rPr>
      </w:pPr>
      <w:r>
        <w:rPr>
          <w:rFonts w:ascii="Arial" w:cs="Arial" w:eastAsia="Arial" w:hAnsi="Arial"/>
          <w:sz w:val="18"/>
          <w:szCs w:val="18"/>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237" w:lineRule="exact"/>
        <w:rPr>
          <w:rFonts w:ascii="Arial" w:cs="Arial" w:eastAsia="Arial" w:hAnsi="Arial"/>
          <w:sz w:val="22"/>
          <w:szCs w:val="22"/>
          <w:color w:val="auto"/>
        </w:rPr>
      </w:pPr>
    </w:p>
    <w:p>
      <w:pPr>
        <w:ind w:left="1140" w:right="320" w:hanging="322"/>
        <w:spacing w:after="0" w:line="232" w:lineRule="auto"/>
        <w:tabs>
          <w:tab w:leader="none" w:pos="1135" w:val="left"/>
        </w:tabs>
        <w:numPr>
          <w:ilvl w:val="0"/>
          <w:numId w:val="21"/>
        </w:numPr>
        <w:rPr>
          <w:rFonts w:ascii="Arial" w:cs="Arial" w:eastAsia="Arial" w:hAnsi="Arial"/>
          <w:sz w:val="22"/>
          <w:szCs w:val="22"/>
          <w:color w:val="auto"/>
        </w:rPr>
      </w:pPr>
      <w:r>
        <w:rPr>
          <w:rFonts w:ascii="Arial" w:cs="Arial" w:eastAsia="Arial" w:hAnsi="Arial"/>
          <w:sz w:val="18"/>
          <w:szCs w:val="18"/>
          <w:color w:val="auto"/>
        </w:rPr>
        <w:t>government product requirements are often technically complex and assessors may require us to make costly changes to our products to meet such requirements without any assurance that such changes will generate a sale;</w:t>
      </w:r>
    </w:p>
    <w:p>
      <w:pPr>
        <w:spacing w:after="0" w:line="243" w:lineRule="exact"/>
        <w:rPr>
          <w:rFonts w:ascii="Arial" w:cs="Arial" w:eastAsia="Arial" w:hAnsi="Arial"/>
          <w:sz w:val="22"/>
          <w:szCs w:val="22"/>
          <w:color w:val="auto"/>
        </w:rPr>
      </w:pPr>
    </w:p>
    <w:p>
      <w:pPr>
        <w:ind w:left="1140" w:right="180" w:hanging="322"/>
        <w:spacing w:after="0" w:line="232" w:lineRule="auto"/>
        <w:tabs>
          <w:tab w:leader="none" w:pos="1135" w:val="left"/>
        </w:tabs>
        <w:numPr>
          <w:ilvl w:val="0"/>
          <w:numId w:val="21"/>
        </w:numPr>
        <w:rPr>
          <w:rFonts w:ascii="Arial" w:cs="Arial" w:eastAsia="Arial" w:hAnsi="Arial"/>
          <w:sz w:val="22"/>
          <w:szCs w:val="22"/>
          <w:color w:val="auto"/>
        </w:rPr>
      </w:pPr>
      <w:r>
        <w:rPr>
          <w:rFonts w:ascii="Arial" w:cs="Arial" w:eastAsia="Arial" w:hAnsi="Arial"/>
          <w:sz w:val="18"/>
          <w:szCs w:val="18"/>
          <w:color w:val="auto"/>
        </w:rPr>
        <w:t>government demand and payment for our Falcon platform may be impacted by public sector budgetary cycles and funding authorizations, with funding reductions or delays in the government appropriations or procurement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120"/>
        <w:spacing w:after="0" w:line="277" w:lineRule="auto"/>
        <w:rPr>
          <w:sz w:val="20"/>
          <w:szCs w:val="20"/>
          <w:color w:val="auto"/>
        </w:rPr>
      </w:pPr>
      <w:r>
        <w:rPr>
          <w:rFonts w:ascii="Arial" w:cs="Arial" w:eastAsia="Arial" w:hAnsi="Arial"/>
          <w:sz w:val="18"/>
          <w:szCs w:val="18"/>
          <w:color w:val="auto"/>
        </w:rPr>
        <w:t>processes adversely affecting public sector demand for our Falcon platform, including as a result of abrupt events such as war, incidents of terrorism, natural disasters, and public health concerns or epidemics;</w:t>
      </w:r>
    </w:p>
    <w:p>
      <w:pPr>
        <w:spacing w:after="0" w:line="211" w:lineRule="exact"/>
        <w:rPr>
          <w:sz w:val="20"/>
          <w:szCs w:val="20"/>
          <w:color w:val="auto"/>
        </w:rPr>
      </w:pPr>
    </w:p>
    <w:p>
      <w:pPr>
        <w:ind w:left="1140" w:right="120" w:hanging="322"/>
        <w:spacing w:after="0" w:line="232" w:lineRule="auto"/>
        <w:tabs>
          <w:tab w:leader="none" w:pos="1135" w:val="left"/>
        </w:tabs>
        <w:numPr>
          <w:ilvl w:val="0"/>
          <w:numId w:val="22"/>
        </w:numPr>
        <w:rPr>
          <w:rFonts w:ascii="Arial" w:cs="Arial" w:eastAsia="Arial" w:hAnsi="Arial"/>
          <w:sz w:val="22"/>
          <w:szCs w:val="22"/>
          <w:color w:val="auto"/>
        </w:rPr>
      </w:pPr>
      <w:r>
        <w:rPr>
          <w:rFonts w:ascii="Arial" w:cs="Arial" w:eastAsia="Arial" w:hAnsi="Arial"/>
          <w:sz w:val="18"/>
          <w:szCs w:val="18"/>
          <w:color w:val="auto"/>
        </w:rPr>
        <w:t>government attitudes towards us as a company, our platform or the capabilities that we offer as a viable software solution may change, and reduce interest in our products and services as acceptable solutions;</w:t>
      </w:r>
    </w:p>
    <w:p>
      <w:pPr>
        <w:spacing w:after="0" w:line="243" w:lineRule="exact"/>
        <w:rPr>
          <w:rFonts w:ascii="Arial" w:cs="Arial" w:eastAsia="Arial" w:hAnsi="Arial"/>
          <w:sz w:val="22"/>
          <w:szCs w:val="22"/>
          <w:color w:val="auto"/>
        </w:rPr>
      </w:pPr>
    </w:p>
    <w:p>
      <w:pPr>
        <w:ind w:left="1140" w:right="160" w:hanging="322"/>
        <w:spacing w:after="0" w:line="251" w:lineRule="auto"/>
        <w:tabs>
          <w:tab w:leader="none" w:pos="1135" w:val="left"/>
        </w:tabs>
        <w:numPr>
          <w:ilvl w:val="0"/>
          <w:numId w:val="22"/>
        </w:numPr>
        <w:rPr>
          <w:rFonts w:ascii="Arial" w:cs="Arial" w:eastAsia="Arial" w:hAnsi="Arial"/>
          <w:sz w:val="21"/>
          <w:szCs w:val="21"/>
          <w:color w:val="auto"/>
        </w:rPr>
      </w:pPr>
      <w:r>
        <w:rPr>
          <w:rFonts w:ascii="Arial" w:cs="Arial" w:eastAsia="Arial" w:hAnsi="Arial"/>
          <w:sz w:val="17"/>
          <w:szCs w:val="17"/>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231" w:lineRule="exact"/>
        <w:rPr>
          <w:rFonts w:ascii="Arial" w:cs="Arial" w:eastAsia="Arial" w:hAnsi="Arial"/>
          <w:sz w:val="21"/>
          <w:szCs w:val="21"/>
          <w:color w:val="auto"/>
        </w:rPr>
      </w:pPr>
    </w:p>
    <w:p>
      <w:pPr>
        <w:ind w:left="1140" w:right="380" w:hanging="322"/>
        <w:spacing w:after="0" w:line="244" w:lineRule="auto"/>
        <w:tabs>
          <w:tab w:leader="none" w:pos="1135"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217" w:lineRule="exact"/>
        <w:rPr>
          <w:rFonts w:ascii="Arial" w:cs="Arial" w:eastAsia="Arial" w:hAnsi="Arial"/>
          <w:sz w:val="22"/>
          <w:szCs w:val="22"/>
          <w:color w:val="auto"/>
        </w:rPr>
      </w:pPr>
    </w:p>
    <w:p>
      <w:pPr>
        <w:ind w:left="1140" w:hanging="322"/>
        <w:spacing w:after="0"/>
        <w:tabs>
          <w:tab w:leader="none" w:pos="11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even if we are awarded a sale, the terms of such contracts may be unusually burdensome;</w:t>
      </w:r>
    </w:p>
    <w:p>
      <w:pPr>
        <w:spacing w:after="0" w:line="242" w:lineRule="exact"/>
        <w:rPr>
          <w:rFonts w:ascii="Arial" w:cs="Arial" w:eastAsia="Arial" w:hAnsi="Arial"/>
          <w:sz w:val="22"/>
          <w:szCs w:val="22"/>
          <w:color w:val="auto"/>
        </w:rPr>
      </w:pPr>
    </w:p>
    <w:p>
      <w:pPr>
        <w:ind w:left="1140" w:right="20" w:hanging="322"/>
        <w:spacing w:after="0" w:line="238" w:lineRule="auto"/>
        <w:tabs>
          <w:tab w:leader="none" w:pos="1135" w:val="left"/>
        </w:tabs>
        <w:numPr>
          <w:ilvl w:val="0"/>
          <w:numId w:val="22"/>
        </w:numPr>
        <w:rPr>
          <w:rFonts w:ascii="Arial" w:cs="Arial" w:eastAsia="Arial" w:hAnsi="Arial"/>
          <w:sz w:val="22"/>
          <w:szCs w:val="22"/>
          <w:color w:val="auto"/>
        </w:rPr>
      </w:pPr>
      <w:r>
        <w:rPr>
          <w:rFonts w:ascii="Arial" w:cs="Arial" w:eastAsia="Arial" w:hAnsi="Arial"/>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243" w:lineRule="exact"/>
        <w:rPr>
          <w:rFonts w:ascii="Arial" w:cs="Arial" w:eastAsia="Arial" w:hAnsi="Arial"/>
          <w:sz w:val="22"/>
          <w:szCs w:val="22"/>
          <w:color w:val="auto"/>
        </w:rPr>
      </w:pPr>
    </w:p>
    <w:p>
      <w:pPr>
        <w:jc w:val="both"/>
        <w:ind w:left="1140" w:right="300" w:hanging="322"/>
        <w:spacing w:after="0" w:line="238" w:lineRule="auto"/>
        <w:tabs>
          <w:tab w:leader="none" w:pos="1135" w:val="left"/>
        </w:tabs>
        <w:numPr>
          <w:ilvl w:val="0"/>
          <w:numId w:val="22"/>
        </w:numPr>
        <w:rPr>
          <w:rFonts w:ascii="Arial" w:cs="Arial" w:eastAsia="Arial" w:hAnsi="Arial"/>
          <w:sz w:val="22"/>
          <w:szCs w:val="22"/>
          <w:color w:val="auto"/>
        </w:rPr>
      </w:pPr>
      <w:r>
        <w:rPr>
          <w:rFonts w:ascii="Arial" w:cs="Arial" w:eastAsia="Arial" w:hAnsi="Arial"/>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20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timely and cost-effectively scale and adapt our existing technology to meet our customers’ performance and other requirements.</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customer satisfaction depends in part on the quality of our customer support.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operating results and future revenue.</w:t>
      </w:r>
    </w:p>
    <w:p>
      <w:pPr>
        <w:spacing w:after="0" w:line="239"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The COVID-19 pandemic has impacted worldwide economic activity and financial markets. We have previously taken and may in the future take precautionary measures intended to mitigate the spread of the virus and minimize the risk to our employees, customers, partners, and the communities in which we operate to respond to developments relating to the COVID-19 pandemic, including developments relating to infection rates, disease variants, vaccination progress and efficacy, and evolving public health guidance. These measures could, for example, negatively affect our customer success efforts, delay and lengthen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sales cycles, impact our sales and marketing efforts, slow our international expansion efforts, increase cybersecurity risks, and create operational or other challenges, any of which could harm our business and results of operations.</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the COVID-19 pandemic may disrupt the operations of our customers and partners for an indefinite period of time. Some of our customers have been negatively impacted by the COVID-19 pandemic, which could result in delays in accounts receivable collection, or result in decreased technology spending which could negatively affect our revenues. More generally, the COVID-19 pandemic has adversely affected economies and financial markets globally, and continued uncertainty could lead to a prolonged economic downturn, which could result in a larger customer churn than we currently anticipate and reduced demand for our products and services, in which case our revenues could be significantly impacted. The impact of the COVID-19 pandemic may also exacerbate other risks discussed in this “Risk Factors” section and elsewhere in this Quarterly Report on Form 10-Q. It is not possible at this time to estimate the impact that the COVID-19 pandemic could have on our business, as the impact will depend on future developments, which are highly uncertain and cannot be predicted.</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8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recently experienced widespread component shortages and delivery delays, including as a result of the COVID-19 pandemic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part on our ability to protect and enforce our intellectual property rights.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us with competitive advantages or distinguish our services from those of our competitors or that our competitors will not independently develop similar technology, duplicate any of our technology, or design around our patents.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8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For example, in March 2022, Webroot, Inc. and Open Text, Inc. filed a lawsuit against us alleging that certain of our products infringe on patents held by them.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20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9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8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8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are required to comply with stringent, complex and evolving laws, rules, regulations and standards in many jurisdictions, as well as contractual obligations, relating to data privacy and security. Ensuring that our collection, use, transfer, storage and other processing of personal information complies with such requirements can increase operating costs, impact the development of new products or services, and reduce operational efficiency.</w:t>
      </w:r>
    </w:p>
    <w:p>
      <w:pPr>
        <w:spacing w:after="0" w:line="14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and may in the future consider, various proposals from time to time for comprehensive federal data privacy legislation to which we may become subject if passed. If we are found to have violated applicable laws or regulations, we may also be subject to penalties, fines, damages, injunctions or other outcomes that may adversely affect our operations and financial results.</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At the state level, we are subject to laws and regulations such as the California Consumer Privacy Act (“CCPA”), which became effective on January 1, 2020.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also prohibits covered businesses from discriminating against California residents for exercising any of their CCPA rights.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Additionally, in November 2020, California voters passed the California Privacy Rights Act of 2020 (“CPRA”). Effective in most material respects starting on January 1, 2023, the CPRA imposes additional obligations on companies covered by the legislation and will significantly modify the CCPA, including by expanding the CCPA with additional data privacy compliance requirements that may impact our business. The CPRA also establishes a regulatory agency dedicated to enforcing the CCPA and the CPRA, which is in the process of developing new regulations. Numerous other states, including Virginia, Colorado, Utah, and Connecticut have also enacted or are in the process of enacting or considering comprehensive state-level data privacy and security laws, rules and regulations. Moreover, laws in all 50 U.S. states require businesses to provide notice under certain circumstances to consumers whose personal information has been disclosed as a result of a data breach. These state statutes, and other similar state or federal laws that may be enacted in the future, may require us to modify our data processing practices and policies, incur substantial compliance-related costs and expenses, and otherwise suffer adverse impacts on our business.</w:t>
      </w:r>
    </w:p>
    <w:p>
      <w:pPr>
        <w:spacing w:after="0" w:line="20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which became effective on May 25, 2018 and imposes stringent obligations regarding the collection, control, use, sharing, disclosure and other processing of personal data. Additionally, following the United Kingdom’s withdrawal from the EU, we also are subject to the U.K. General Data Protection Regulation (“U.K. GDPR”), a version of the GDPR as implemented into the laws of the United Kingdom (“U.K.”). While the GDPR and U.K. GDPR remain substantially similar for the time being, the U.K. government announced in August 2021 that it would seek to chart its own path on data protection and reform its relevant laws, including in ways that may differ from the GDPR. In June 2022, the U.K. government publicly reaffirmed its intention to reform the U.K. data protection regime and, in July 2022, a new Data Protection and Digital Information Bill was introduced for discussion in the U.K. Parliament. While these developments increase uncertainty with regard to data protection regulation in the U.K., even in their current, substantially similar form, the GDPR and U.K. GDPR can expose businesses to parallel regimes that may be subject to potentially different interpretations and enforcement actions for certain violations. Failure to comply with the GDPR or the U.K. GDPR can result in significant fines and other liability, including, under the GDPR, fines of up to EUR 20 million (or GBP 17.5 million under the U.K. GDPR) or four percent (4%) of global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whichever is greater. The cost of compliance, and the potential for fines and penalties for non-compliance, with GDPR and U.K. GDPR may have a significant adverse effect on our business and operations.</w:t>
      </w:r>
    </w:p>
    <w:p>
      <w:pPr>
        <w:spacing w:after="0" w:line="19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Recent legal developments in the European Economic Area (“EEA”), including recent rulings from the Court of Justice of the European Union (“CJEU”) and from various EU member state data protection authorities,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the efficacy and longevity of these mechanisms remains uncertain. Moreover, on June 4, 2021, the European Commission adopted new SCCs, which impose on companies additional obligations relating to personal data transfers out of the EEA, including the obligation to update internal privacy practices, conduct transfer impact assessments and, as required, to implement additional security measures. The new SCCs may increase the legal risks and liabilities under EU laws associated with cross-border data transfers, and result in material increased compliance and operational costs. While the European Commission announced in March 2022 that an agreement in principle had been reached between EU and U.S. authorities regarding a new transatlantic data privacy framework, no formal agreement has been finalized, and any such agreement, if formalized, is likely to face challenge at the CJEU.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flows, in March 2022, the U.K. adopted its own International Data Transfer Agreement (IDTA) for transfers of personal data out of the U.K. to so-called third countries, as well as an international data transfer addendum (UK Addendum) that can be used with the SCCs for the same purpose.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8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7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data privacy and security laws, rules, regulations, standards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business is subject to regulation by various federal, state, local and foreign governmental agencies, including agencies responsible for monitoring and enforcing data protection, data privacy and data security laws and regulations, employment and labor laws, workplace safety, product safety, environmental laws, consumer protection laws, anti-bribery laws, import and export controls, federal securities laws and tax laws and regulations. In certain jurisdictions, these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170" w:lineRule="exact"/>
        <w:rPr>
          <w:sz w:val="20"/>
          <w:szCs w:val="20"/>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mandatory changes to our Falcon platform;</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our license to do business in the jurisdictions in which we operate;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temporary or permanent debarment from sales to government organizations.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7"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13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4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applicable laws and regulations in the collection of this information also could have negative consequences to us, including reputational harm, government investigations and penalties.</w:t>
      </w:r>
    </w:p>
    <w:p>
      <w:pPr>
        <w:spacing w:after="0" w:line="170"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7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9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the FCPA, the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3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1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78"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eliminate the value of our services. This would allow our competitors to create similar products with lower development effort and time and ultimately could result in a loss of sales for us.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66" w:lineRule="exact"/>
        <w:rPr>
          <w:sz w:val="20"/>
          <w:szCs w:val="20"/>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resulting in time-consuming and costly litigation;</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diverting management’s time and attention from developing our business;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requiring us to pay monetary damages or enter into royalty and licensing agreements that we would not normally find acceptable;</w:t>
      </w:r>
    </w:p>
    <w:p>
      <w:pPr>
        <w:spacing w:after="0" w:line="236" w:lineRule="exact"/>
        <w:rPr>
          <w:rFonts w:ascii="Arial" w:cs="Arial" w:eastAsia="Arial" w:hAnsi="Arial"/>
          <w:sz w:val="17"/>
          <w:szCs w:val="17"/>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causing delays in the deployment of our Falcon platform or service offerings to our customers;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stop offering certain services or features of our Falcon platform;</w:t>
      </w:r>
    </w:p>
    <w:p>
      <w:pPr>
        <w:spacing w:after="0" w:line="225" w:lineRule="exact"/>
        <w:rPr>
          <w:rFonts w:ascii="Arial" w:cs="Arial" w:eastAsia="Arial" w:hAnsi="Arial"/>
          <w:sz w:val="18"/>
          <w:szCs w:val="18"/>
          <w:color w:val="auto"/>
        </w:rPr>
      </w:pPr>
    </w:p>
    <w:p>
      <w:pPr>
        <w:ind w:left="1140" w:right="140" w:hanging="322"/>
        <w:spacing w:after="0" w:line="277"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redesign certain components of our Falcon platform using alternative non-infringing or non-open source technology, which could require significant effort and expense;</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disclose our software source code and the detailed program commands for our software;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satisfy indemnification obligations to our customers.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adversely affect us.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8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9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regardless of our operating performance, and you could lose all or part of your investment.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187" w:lineRule="exact"/>
        <w:rPr>
          <w:sz w:val="20"/>
          <w:szCs w:val="20"/>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236" w:lineRule="exact"/>
        <w:rPr>
          <w:rFonts w:ascii="Arial" w:cs="Arial" w:eastAsia="Arial" w:hAnsi="Arial"/>
          <w:sz w:val="17"/>
          <w:szCs w:val="17"/>
          <w:color w:val="auto"/>
        </w:rPr>
      </w:pPr>
    </w:p>
    <w:p>
      <w:pPr>
        <w:ind w:left="1140" w:right="28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1140" w:right="66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70" w:lineRule="exact"/>
        <w:rPr>
          <w:rFonts w:ascii="Arial" w:cs="Arial" w:eastAsia="Arial" w:hAnsi="Arial"/>
          <w:sz w:val="18"/>
          <w:szCs w:val="18"/>
          <w:color w:val="auto"/>
        </w:rPr>
      </w:pPr>
    </w:p>
    <w:p>
      <w:pPr>
        <w:ind w:left="1140" w:right="4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 particularly with respect to Mr. Kurtz;</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litigation, if instituted against us, could result in substantial costs and divert our management’s attention and resources from our business. This could have an adverse effect on our business, results of operations and financial condition.</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4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November 18, 2022, we had 218,281,791 shares of Class A common stock outstanding and 16,112,009 shares of Class B common stock outstanding.</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6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7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9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of October 31, 2022, our executive officers, directors, one of our current stockholders and its respective affiliates held, in aggregate, 42%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70"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65" w:lineRule="exact"/>
        <w:rPr>
          <w:sz w:val="20"/>
          <w:szCs w:val="20"/>
          <w:color w:val="auto"/>
        </w:rPr>
      </w:pPr>
    </w:p>
    <w:p>
      <w:pPr>
        <w:ind w:left="1140" w:hanging="322"/>
        <w:spacing w:after="0" w:line="263"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83" w:lineRule="exact"/>
        <w:rPr>
          <w:rFonts w:ascii="Arial" w:cs="Arial" w:eastAsia="Arial" w:hAnsi="Arial"/>
          <w:sz w:val="18"/>
          <w:szCs w:val="18"/>
          <w:color w:val="auto"/>
        </w:rPr>
      </w:pPr>
    </w:p>
    <w:p>
      <w:pPr>
        <w:ind w:left="1140" w:right="60" w:hanging="322"/>
        <w:spacing w:after="0" w:line="277"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140" w:right="60" w:hanging="322"/>
        <w:spacing w:after="0" w:line="342" w:lineRule="auto"/>
        <w:tabs>
          <w:tab w:leader="none" w:pos="11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3" w:lineRule="exact"/>
        <w:rPr>
          <w:rFonts w:ascii="Arial" w:cs="Arial" w:eastAsia="Arial" w:hAnsi="Arial"/>
          <w:sz w:val="16"/>
          <w:szCs w:val="16"/>
          <w:color w:val="auto"/>
        </w:rPr>
      </w:pPr>
    </w:p>
    <w:p>
      <w:pPr>
        <w:ind w:left="1140" w:right="380" w:hanging="322"/>
        <w:spacing w:after="0" w:line="342" w:lineRule="auto"/>
        <w:tabs>
          <w:tab w:leader="none" w:pos="11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3" w:lineRule="exact"/>
        <w:rPr>
          <w:rFonts w:ascii="Arial" w:cs="Arial" w:eastAsia="Arial" w:hAnsi="Arial"/>
          <w:sz w:val="16"/>
          <w:szCs w:val="16"/>
          <w:color w:val="auto"/>
        </w:rPr>
      </w:pPr>
    </w:p>
    <w:p>
      <w:pPr>
        <w:ind w:left="1140" w:right="200" w:hanging="322"/>
        <w:spacing w:after="0" w:line="259"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86" w:lineRule="exact"/>
        <w:rPr>
          <w:rFonts w:ascii="Arial" w:cs="Arial" w:eastAsia="Arial" w:hAnsi="Arial"/>
          <w:sz w:val="18"/>
          <w:szCs w:val="18"/>
          <w:color w:val="auto"/>
        </w:rPr>
      </w:pPr>
    </w:p>
    <w:p>
      <w:pPr>
        <w:ind w:left="1140" w:right="300" w:hanging="322"/>
        <w:spacing w:after="0" w:line="286" w:lineRule="auto"/>
        <w:tabs>
          <w:tab w:leader="none" w:pos="11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65" w:lineRule="exact"/>
        <w:rPr>
          <w:rFonts w:ascii="Arial" w:cs="Arial" w:eastAsia="Arial" w:hAnsi="Arial"/>
          <w:sz w:val="17"/>
          <w:szCs w:val="17"/>
          <w:color w:val="auto"/>
        </w:rPr>
      </w:pPr>
    </w:p>
    <w:p>
      <w:pPr>
        <w:ind w:left="1140" w:right="420" w:hanging="322"/>
        <w:spacing w:after="0" w:line="277"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two-thirds of the then-outstanding voting power of our capital stock; and</w:t>
      </w:r>
    </w:p>
    <w:p>
      <w:pPr>
        <w:spacing w:after="0" w:line="170" w:lineRule="exact"/>
        <w:rPr>
          <w:rFonts w:ascii="Arial" w:cs="Arial" w:eastAsia="Arial" w:hAnsi="Arial"/>
          <w:sz w:val="18"/>
          <w:szCs w:val="18"/>
          <w:color w:val="auto"/>
        </w:rPr>
      </w:pPr>
    </w:p>
    <w:p>
      <w:pPr>
        <w:ind w:left="1140" w:right="160" w:hanging="322"/>
        <w:spacing w:after="0" w:line="286" w:lineRule="auto"/>
        <w:tabs>
          <w:tab w:leader="none" w:pos="11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6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bylaws provide that the Court of Chancery of the State of Delaware is the exclusive forum for:</w:t>
      </w:r>
    </w:p>
    <w:p>
      <w:pPr>
        <w:spacing w:after="0" w:line="225" w:lineRule="exact"/>
        <w:rPr>
          <w:sz w:val="20"/>
          <w:szCs w:val="20"/>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1140" w:right="560" w:hanging="322"/>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170" w:lineRule="exact"/>
        <w:rPr>
          <w:rFonts w:ascii="Arial" w:cs="Arial" w:eastAsia="Arial" w:hAnsi="Arial"/>
          <w:sz w:val="18"/>
          <w:szCs w:val="18"/>
          <w:color w:val="auto"/>
        </w:rPr>
      </w:pPr>
    </w:p>
    <w:p>
      <w:pPr>
        <w:ind w:left="1140" w:right="40" w:hanging="322"/>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amended and restated certificate of incorporation or our amended and restated bylaws; and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October 31, 2022,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84" w:lineRule="exact"/>
        <w:rPr>
          <w:sz w:val="20"/>
          <w:szCs w:val="20"/>
          <w:color w:val="auto"/>
        </w:rPr>
      </w:pPr>
    </w:p>
    <w:p>
      <w:pPr>
        <w:ind w:left="1140" w:right="680" w:hanging="322"/>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70" w:lineRule="exact"/>
        <w:rPr>
          <w:rFonts w:ascii="Arial" w:cs="Arial" w:eastAsia="Arial" w:hAnsi="Arial"/>
          <w:sz w:val="18"/>
          <w:szCs w:val="18"/>
          <w:color w:val="auto"/>
        </w:rPr>
      </w:pPr>
    </w:p>
    <w:p>
      <w:pPr>
        <w:ind w:left="1140" w:right="280" w:hanging="322"/>
        <w:spacing w:after="0" w:line="308" w:lineRule="auto"/>
        <w:tabs>
          <w:tab w:leader="none" w:pos="11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46" w:lineRule="exact"/>
        <w:rPr>
          <w:rFonts w:ascii="Arial" w:cs="Arial" w:eastAsia="Arial" w:hAnsi="Arial"/>
          <w:sz w:val="17"/>
          <w:szCs w:val="17"/>
          <w:color w:val="auto"/>
        </w:rPr>
      </w:pPr>
    </w:p>
    <w:p>
      <w:pPr>
        <w:ind w:left="1140" w:hanging="322"/>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 and</w:t>
      </w:r>
    </w:p>
    <w:p>
      <w:pPr>
        <w:spacing w:after="0" w:line="225" w:lineRule="exact"/>
        <w:rPr>
          <w:rFonts w:ascii="Arial" w:cs="Arial" w:eastAsia="Arial" w:hAnsi="Arial"/>
          <w:sz w:val="18"/>
          <w:szCs w:val="18"/>
          <w:color w:val="auto"/>
        </w:rPr>
      </w:pPr>
    </w:p>
    <w:p>
      <w:pPr>
        <w:ind w:left="1140" w:right="380" w:hanging="322"/>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borrowings under our revolving facility, are at variable rates of interest; and increasing our cost of borrowing.</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84" w:lineRule="exact"/>
        <w:rPr>
          <w:sz w:val="20"/>
          <w:szCs w:val="20"/>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 merge with, or sell all or substantially all of our assets to, another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covenants in the indenture and supplemental indenture that govern the Senior Notes are subject to exceptions and qualifications.</w:t>
      </w:r>
    </w:p>
    <w:p>
      <w:pPr>
        <w:spacing w:after="0" w:line="23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84" w:lineRule="exact"/>
        <w:rPr>
          <w:sz w:val="20"/>
          <w:szCs w:val="20"/>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withstand a future downturn in our business, the industry or the economy in general;</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best interest;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These restrictions may affect our ability to expand our business, which could have a material adverse effect on our business, financial condition and results of operations.</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revolving facility and the indenture that governs our Senior Notes contain cross-default provisions that could result in the acceleration of all of our indebtedness.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70"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0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risks we may face in connection with acquisitions include:</w:t>
      </w:r>
    </w:p>
    <w:p>
      <w:pPr>
        <w:spacing w:after="0" w:line="225" w:lineRule="exact"/>
        <w:rPr>
          <w:sz w:val="20"/>
          <w:szCs w:val="20"/>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integration of administrative systems, employee, product and service offerings;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relationships with strategic partners as a result of product acquisitions or strategic positioning resulting from the acquisition;</w:t>
      </w:r>
    </w:p>
    <w:p>
      <w:pPr>
        <w:spacing w:after="0" w:line="248" w:lineRule="exact"/>
        <w:rPr>
          <w:rFonts w:ascii="Arial" w:cs="Arial" w:eastAsia="Arial" w:hAnsi="Arial"/>
          <w:sz w:val="16"/>
          <w:szCs w:val="16"/>
          <w:color w:val="auto"/>
        </w:rPr>
      </w:pPr>
    </w:p>
    <w:p>
      <w:pPr>
        <w:ind w:left="1140" w:right="100" w:hanging="322"/>
        <w:spacing w:after="0" w:line="277"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legal, regulatory or compliance requirements;</w:t>
      </w:r>
    </w:p>
    <w:p>
      <w:pPr>
        <w:spacing w:after="0" w:line="225" w:lineRule="exact"/>
        <w:rPr>
          <w:rFonts w:ascii="Arial" w:cs="Arial" w:eastAsia="Arial" w:hAnsi="Arial"/>
          <w:sz w:val="18"/>
          <w:szCs w:val="18"/>
          <w:color w:val="auto"/>
        </w:rPr>
      </w:pPr>
    </w:p>
    <w:p>
      <w:pPr>
        <w:ind w:left="1140" w:right="540" w:hanging="322"/>
        <w:spacing w:after="0" w:line="277" w:lineRule="auto"/>
        <w:tabs>
          <w:tab w:leader="none" w:pos="1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 not adequately address and that cause our reported results to be incorrect;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380" w:hanging="322"/>
        <w:spacing w:after="0" w:line="277" w:lineRule="auto"/>
        <w:tabs>
          <w:tab w:leader="none" w:pos="1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70" w:lineRule="exact"/>
        <w:rPr>
          <w:rFonts w:ascii="Arial" w:cs="Arial" w:eastAsia="Arial" w:hAnsi="Arial"/>
          <w:sz w:val="18"/>
          <w:szCs w:val="18"/>
          <w:color w:val="auto"/>
        </w:rPr>
      </w:pPr>
    </w:p>
    <w:p>
      <w:pPr>
        <w:ind w:left="1140" w:right="600" w:hanging="322"/>
        <w:spacing w:after="0" w:line="277" w:lineRule="auto"/>
        <w:tabs>
          <w:tab w:leader="none" w:pos="1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4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A significant majority of countries in the OECD’s Inclusive Framework have agreed in principle to a proposed solution to address the tax challenges arising from the digitalization of the economy, including joining a two-pillar plan to reform international taxation rules and ensure that multinational enterprises pay a fair share of tax wherever they operate. The first pillar is focused on the allocation of taxing rights between countries for in-scope multinational enterprises that sell goods and services into countries with little or no local physical presence and is intended to apply to multinational enterprises with global revenue above 20 billion euro and certain other criteria. The second pillar is focused on developing a global minimum tax rate of at least 15 percent applicable to in-scope multinational enterprises and is intended to apply to multinational enterprises with annual consolidated group revenue in excess of 750 million euro.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The OECD’s proposed solution envisages new international tax rules and the removal of all Digital Services Taxes (“DST”). Notwithstanding this, some countries, in the European Union and beyond, continue to operate a DST regime to capture tax revenue on digital services more immediately. Such laws may increase our tax obligations in those countries or change the manner in which we operate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of January 31, 2022, we had aggregate U.S. federal and California net operating loss carryforwards of $1.6 billion and $168.9 million, respectively, which may be available to offset future taxable income for income tax purposes. If not utilized, the federal and California net operating loss carryforwards will begin to expire in fiscal 2031. As of January 31, 2022, we had net operating loss carryforwards for other states of $868.0 million that will begin to expire in fiscal 2023. As of January 31, 2022, we had federal and California research and development credit carryforwards of $65.6 million and $13.7 million, respectively. The federal research and development credit carryforwards will begin to expire in 2035, and the California carryforwards are carried forward indefinitely. As of January 31, 2022, we had aggregate United Kingdom net operating loss carryforwards of $81.1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9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24"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6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7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at this time to estimate the impact that the COVID-19 pandemic could have on our business, as the impact will depend on future developments, which are highly uncertain and cannot be predicted.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SHARES OF EQUITY SECURITIES AND USE OF PROCEEDS</w:t>
      </w:r>
    </w:p>
    <w:p>
      <w:pPr>
        <w:spacing w:after="0" w:line="229"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On October 3, 2022, we issued approximately $1.1 million of shares of our Class A common stock, subject to service-based vesting and other conditions, to an individual Reposify shareholder in connection with our acquisition of Reposify. The transaction was exempt from registration under Section 4(a)(2) of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On October 19, 2022, our board of directors approved revisions to our Outside Director Compensation Policy (the “Director Compensation Policy”) to allow non-employee directors to elect to take their cash compensation in the form of restricted stock units. The revisions to the Director Compensation Policy were effective as of October 19,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filed the exhibits listed on the accompanying Exhibit Index,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340" w:type="dxa"/>
            <w:vAlign w:val="bottom"/>
            <w:gridSpan w:val="3"/>
          </w:tcPr>
          <w:p>
            <w:pPr>
              <w:jc w:val="right"/>
              <w:ind w:right="677"/>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180" w:type="dxa"/>
            <w:vAlign w:val="bottom"/>
            <w:gridSpan w:val="12"/>
            <w:vMerge w:val="restart"/>
          </w:tcPr>
          <w:p>
            <w:pPr>
              <w:ind w:left="114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2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gridSpan w:val="5"/>
          </w:tcPr>
          <w:p>
            <w:pPr>
              <w:ind w:left="2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80" w:type="dxa"/>
            <w:vAlign w:val="bottom"/>
            <w:gridSpan w:val="1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100" w:type="dxa"/>
            <w:vAlign w:val="bottom"/>
          </w:tcPr>
          <w:p>
            <w:pPr>
              <w:jc w:val="right"/>
              <w:ind w:right="217"/>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ind w:left="13"/>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8"/>
        </w:trPr>
        <w:tc>
          <w:tcPr>
            <w:tcW w:w="260" w:type="dxa"/>
            <w:vAlign w:val="bottom"/>
            <w:tcBorders>
              <w:top w:val="single" w:sz="8" w:color="auto"/>
            </w:tcBorders>
            <w:gridSpan w:val="2"/>
          </w:tcPr>
          <w:p>
            <w:pPr>
              <w:ind w:left="20"/>
              <w:spacing w:after="0" w:line="189" w:lineRule="exact"/>
              <w:rPr>
                <w:rFonts w:ascii="Arial" w:cs="Arial" w:eastAsia="Arial" w:hAnsi="Arial"/>
                <w:sz w:val="18"/>
                <w:szCs w:val="18"/>
                <w:color w:val="0000FF"/>
                <w:w w:val="87"/>
              </w:rPr>
            </w:pPr>
            <w:hyperlink r:id="rId9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820" w:type="dxa"/>
            <w:vAlign w:val="bottom"/>
            <w:tcBorders>
              <w:top w:val="single" w:sz="8" w:color="auto"/>
            </w:tcBorders>
            <w:gridSpan w:val="13"/>
          </w:tcPr>
          <w:p>
            <w:pPr>
              <w:spacing w:after="0" w:line="189" w:lineRule="exact"/>
              <w:rPr>
                <w:rFonts w:ascii="Arial" w:cs="Arial" w:eastAsia="Arial" w:hAnsi="Arial"/>
                <w:sz w:val="18"/>
                <w:szCs w:val="18"/>
                <w:color w:val="0000FF"/>
              </w:rPr>
            </w:pPr>
            <w:hyperlink r:id="rId96">
              <w:r>
                <w:rPr>
                  <w:rFonts w:ascii="Arial" w:cs="Arial" w:eastAsia="Arial" w:hAnsi="Arial"/>
                  <w:sz w:val="18"/>
                  <w:szCs w:val="18"/>
                  <w:color w:val="0000FF"/>
                </w:rPr>
                <w:t>Amended and Restated Certificate of Incorporation of the</w:t>
              </w:r>
            </w:hyperlink>
          </w:p>
        </w:tc>
        <w:tc>
          <w:tcPr>
            <w:tcW w:w="90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8-K</w:t>
            </w:r>
          </w:p>
        </w:tc>
        <w:tc>
          <w:tcPr>
            <w:tcW w:w="1280" w:type="dxa"/>
            <w:vAlign w:val="bottom"/>
            <w:tcBorders>
              <w:top w:val="single" w:sz="8" w:color="auto"/>
            </w:tcBorders>
          </w:tcPr>
          <w:p>
            <w:pPr>
              <w:ind w:left="200"/>
              <w:spacing w:after="0" w:line="189" w:lineRule="exact"/>
              <w:rPr>
                <w:sz w:val="20"/>
                <w:szCs w:val="20"/>
                <w:color w:val="auto"/>
              </w:rPr>
            </w:pPr>
            <w:r>
              <w:rPr>
                <w:rFonts w:ascii="Arial" w:cs="Arial" w:eastAsia="Arial" w:hAnsi="Arial"/>
                <w:sz w:val="18"/>
                <w:szCs w:val="18"/>
                <w:color w:val="auto"/>
              </w:rPr>
              <w:t>001-38933</w:t>
            </w:r>
          </w:p>
        </w:tc>
        <w:tc>
          <w:tcPr>
            <w:tcW w:w="960" w:type="dxa"/>
            <w:vAlign w:val="bottom"/>
            <w:tcBorders>
              <w:top w:val="single" w:sz="8" w:color="auto"/>
            </w:tcBorders>
          </w:tcPr>
          <w:p>
            <w:pPr>
              <w:ind w:left="200"/>
              <w:spacing w:after="0" w:line="189" w:lineRule="exact"/>
              <w:rPr>
                <w:sz w:val="20"/>
                <w:szCs w:val="20"/>
                <w:color w:val="auto"/>
              </w:rPr>
            </w:pPr>
            <w:r>
              <w:rPr>
                <w:rFonts w:ascii="Arial" w:cs="Arial" w:eastAsia="Arial" w:hAnsi="Arial"/>
                <w:sz w:val="18"/>
                <w:szCs w:val="18"/>
                <w:color w:val="auto"/>
              </w:rPr>
              <w:t>3.1</w:t>
            </w:r>
          </w:p>
        </w:tc>
        <w:tc>
          <w:tcPr>
            <w:tcW w:w="1100" w:type="dxa"/>
            <w:vAlign w:val="bottom"/>
            <w:tcBorders>
              <w:top w:val="single" w:sz="8" w:color="auto"/>
            </w:tcBorders>
          </w:tcPr>
          <w:p>
            <w:pPr>
              <w:jc w:val="right"/>
              <w:ind w:right="257"/>
              <w:spacing w:after="0" w:line="189" w:lineRule="exact"/>
              <w:rPr>
                <w:sz w:val="20"/>
                <w:szCs w:val="20"/>
                <w:color w:val="auto"/>
              </w:rPr>
            </w:pPr>
            <w:r>
              <w:rPr>
                <w:rFonts w:ascii="Arial" w:cs="Arial" w:eastAsia="Arial" w:hAnsi="Arial"/>
                <w:sz w:val="18"/>
                <w:szCs w:val="18"/>
                <w:color w:val="auto"/>
              </w:rPr>
              <w:t>06/14/19</w:t>
            </w: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1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Registrant, as currently in effect.</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 w:type="dxa"/>
            <w:vAlign w:val="bottom"/>
            <w:gridSpan w:val="2"/>
          </w:tcPr>
          <w:p>
            <w:pPr>
              <w:ind w:left="20"/>
              <w:spacing w:after="0"/>
              <w:rPr>
                <w:rFonts w:ascii="Arial" w:cs="Arial" w:eastAsia="Arial" w:hAnsi="Arial"/>
                <w:sz w:val="18"/>
                <w:szCs w:val="18"/>
                <w:color w:val="0000FF"/>
                <w:w w:val="87"/>
              </w:rPr>
            </w:pPr>
            <w:hyperlink r:id="rId9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20" w:type="dxa"/>
            <w:vAlign w:val="bottom"/>
            <w:gridSpan w:val="13"/>
          </w:tcPr>
          <w:p>
            <w:pPr>
              <w:spacing w:after="0"/>
              <w:rPr>
                <w:rFonts w:ascii="Arial" w:cs="Arial" w:eastAsia="Arial" w:hAnsi="Arial"/>
                <w:sz w:val="18"/>
                <w:szCs w:val="18"/>
                <w:color w:val="0000FF"/>
              </w:rPr>
            </w:pPr>
            <w:hyperlink r:id="rId97">
              <w:r>
                <w:rPr>
                  <w:rFonts w:ascii="Arial" w:cs="Arial" w:eastAsia="Arial" w:hAnsi="Arial"/>
                  <w:sz w:val="18"/>
                  <w:szCs w:val="18"/>
                  <w:color w:val="0000FF"/>
                </w:rPr>
                <w:t>Bylaws of the Registrant, as currently in effect.</w:t>
              </w:r>
            </w:hyperlink>
          </w:p>
        </w:tc>
        <w:tc>
          <w:tcPr>
            <w:tcW w:w="900" w:type="dxa"/>
            <w:vAlign w:val="bottom"/>
          </w:tcPr>
          <w:p>
            <w:pPr>
              <w:ind w:left="20"/>
              <w:spacing w:after="0"/>
              <w:rPr>
                <w:sz w:val="20"/>
                <w:szCs w:val="20"/>
                <w:color w:val="auto"/>
              </w:rPr>
            </w:pPr>
            <w:r>
              <w:rPr>
                <w:rFonts w:ascii="Arial" w:cs="Arial" w:eastAsia="Arial" w:hAnsi="Arial"/>
                <w:sz w:val="18"/>
                <w:szCs w:val="18"/>
                <w:color w:val="auto"/>
              </w:rPr>
              <w:t>8-K</w:t>
            </w:r>
          </w:p>
        </w:tc>
        <w:tc>
          <w:tcPr>
            <w:tcW w:w="1280" w:type="dxa"/>
            <w:vAlign w:val="bottom"/>
          </w:tcPr>
          <w:p>
            <w:pPr>
              <w:ind w:left="200"/>
              <w:spacing w:after="0"/>
              <w:rPr>
                <w:sz w:val="20"/>
                <w:szCs w:val="20"/>
                <w:color w:val="auto"/>
              </w:rPr>
            </w:pPr>
            <w:r>
              <w:rPr>
                <w:rFonts w:ascii="Arial" w:cs="Arial" w:eastAsia="Arial" w:hAnsi="Arial"/>
                <w:sz w:val="18"/>
                <w:szCs w:val="18"/>
                <w:color w:val="auto"/>
              </w:rPr>
              <w:t>001-38933</w:t>
            </w:r>
          </w:p>
        </w:tc>
        <w:tc>
          <w:tcPr>
            <w:tcW w:w="960" w:type="dxa"/>
            <w:vAlign w:val="bottom"/>
          </w:tcPr>
          <w:p>
            <w:pPr>
              <w:ind w:left="200"/>
              <w:spacing w:after="0"/>
              <w:rPr>
                <w:sz w:val="20"/>
                <w:szCs w:val="20"/>
                <w:color w:val="auto"/>
              </w:rPr>
            </w:pPr>
            <w:r>
              <w:rPr>
                <w:rFonts w:ascii="Arial" w:cs="Arial" w:eastAsia="Arial" w:hAnsi="Arial"/>
                <w:sz w:val="18"/>
                <w:szCs w:val="18"/>
                <w:color w:val="auto"/>
              </w:rPr>
              <w:t>3.2</w:t>
            </w:r>
          </w:p>
        </w:tc>
        <w:tc>
          <w:tcPr>
            <w:tcW w:w="1100" w:type="dxa"/>
            <w:vAlign w:val="bottom"/>
          </w:tcPr>
          <w:p>
            <w:pPr>
              <w:jc w:val="right"/>
              <w:ind w:right="257"/>
              <w:spacing w:after="0"/>
              <w:rPr>
                <w:sz w:val="20"/>
                <w:szCs w:val="20"/>
                <w:color w:val="auto"/>
              </w:rPr>
            </w:pPr>
            <w:r>
              <w:rPr>
                <w:rFonts w:ascii="Arial" w:cs="Arial" w:eastAsia="Arial" w:hAnsi="Arial"/>
                <w:sz w:val="18"/>
                <w:szCs w:val="18"/>
                <w:color w:val="auto"/>
              </w:rPr>
              <w:t>06/14/19</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gridSpan w:val="3"/>
          </w:tcPr>
          <w:p>
            <w:pPr>
              <w:ind w:left="20"/>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13"/>
          </w:tcPr>
          <w:p>
            <w:pPr>
              <w:spacing w:after="0"/>
              <w:rPr>
                <w:sz w:val="20"/>
                <w:szCs w:val="20"/>
                <w:color w:val="auto"/>
              </w:rPr>
            </w:pPr>
            <w:r>
              <w:rPr>
                <w:rFonts w:ascii="Arial" w:cs="Arial" w:eastAsia="Arial" w:hAnsi="Arial"/>
                <w:sz w:val="18"/>
                <w:szCs w:val="18"/>
                <w:color w:val="0000FF"/>
                <w:w w:val="94"/>
              </w:rPr>
              <w:t>Outside Director Compensation Policy, as amended on October</w:t>
            </w: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2"/>
              </w:rPr>
              <w:t>19, 2022.</w:t>
            </w:r>
          </w:p>
        </w:tc>
        <w:tc>
          <w:tcPr>
            <w:tcW w:w="14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gridSpan w:val="3"/>
          </w:tcPr>
          <w:p>
            <w:pPr>
              <w:ind w:left="20"/>
              <w:spacing w:after="0"/>
              <w:rPr>
                <w:rFonts w:ascii="Arial" w:cs="Arial" w:eastAsia="Arial" w:hAnsi="Arial"/>
                <w:sz w:val="18"/>
                <w:szCs w:val="18"/>
                <w:color w:val="0000FF"/>
                <w:w w:val="85"/>
              </w:rPr>
            </w:pPr>
            <w:hyperlink r:id="rId98">
              <w:r>
                <w:rPr>
                  <w:rFonts w:ascii="Arial" w:cs="Arial" w:eastAsia="Arial" w:hAnsi="Arial"/>
                  <w:sz w:val="18"/>
                  <w:szCs w:val="18"/>
                  <w:color w:val="0000FF"/>
                  <w:w w:val="85"/>
                </w:rPr>
                <w:t>22.</w:t>
              </w:r>
              <w:r>
                <w:rPr>
                  <w:rFonts w:ascii="Arial" w:cs="Arial" w:eastAsia="Arial" w:hAnsi="Arial"/>
                  <w:sz w:val="18"/>
                  <w:szCs w:val="18"/>
                  <w:u w:val="single" w:color="auto"/>
                  <w:color w:val="0000FF"/>
                  <w:w w:val="85"/>
                </w:rPr>
                <w:t>1</w:t>
              </w:r>
            </w:hyperlink>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20" w:type="dxa"/>
            <w:vAlign w:val="bottom"/>
            <w:gridSpan w:val="13"/>
          </w:tcPr>
          <w:p>
            <w:pPr>
              <w:spacing w:after="0"/>
              <w:rPr>
                <w:rFonts w:ascii="Arial" w:cs="Arial" w:eastAsia="Arial" w:hAnsi="Arial"/>
                <w:sz w:val="18"/>
                <w:szCs w:val="18"/>
                <w:color w:val="0000FF"/>
              </w:rPr>
            </w:pPr>
            <w:hyperlink r:id="rId98">
              <w:r>
                <w:rPr>
                  <w:rFonts w:ascii="Arial" w:cs="Arial" w:eastAsia="Arial" w:hAnsi="Arial"/>
                  <w:sz w:val="18"/>
                  <w:szCs w:val="18"/>
                  <w:color w:val="0000FF"/>
                </w:rPr>
                <w:t>List of Subsidiary Guarantors</w:t>
              </w:r>
            </w:hyperlink>
          </w:p>
        </w:tc>
        <w:tc>
          <w:tcPr>
            <w:tcW w:w="900" w:type="dxa"/>
            <w:vAlign w:val="bottom"/>
          </w:tcPr>
          <w:p>
            <w:pPr>
              <w:ind w:left="20"/>
              <w:spacing w:after="0"/>
              <w:rPr>
                <w:sz w:val="20"/>
                <w:szCs w:val="20"/>
                <w:color w:val="auto"/>
              </w:rPr>
            </w:pPr>
            <w:r>
              <w:rPr>
                <w:rFonts w:ascii="Arial" w:cs="Arial" w:eastAsia="Arial" w:hAnsi="Arial"/>
                <w:sz w:val="18"/>
                <w:szCs w:val="18"/>
                <w:color w:val="auto"/>
              </w:rPr>
              <w:t>S-3ASR</w:t>
            </w:r>
          </w:p>
        </w:tc>
        <w:tc>
          <w:tcPr>
            <w:tcW w:w="1280" w:type="dxa"/>
            <w:vAlign w:val="bottom"/>
          </w:tcPr>
          <w:p>
            <w:pPr>
              <w:ind w:left="200"/>
              <w:spacing w:after="0"/>
              <w:rPr>
                <w:sz w:val="20"/>
                <w:szCs w:val="20"/>
                <w:color w:val="auto"/>
              </w:rPr>
            </w:pPr>
            <w:r>
              <w:rPr>
                <w:rFonts w:ascii="Arial" w:cs="Arial" w:eastAsia="Arial" w:hAnsi="Arial"/>
                <w:sz w:val="18"/>
                <w:szCs w:val="18"/>
                <w:color w:val="auto"/>
              </w:rPr>
              <w:t>333-252007</w:t>
            </w:r>
          </w:p>
        </w:tc>
        <w:tc>
          <w:tcPr>
            <w:tcW w:w="960" w:type="dxa"/>
            <w:vAlign w:val="bottom"/>
          </w:tcPr>
          <w:p>
            <w:pPr>
              <w:ind w:left="200"/>
              <w:spacing w:after="0"/>
              <w:rPr>
                <w:sz w:val="20"/>
                <w:szCs w:val="20"/>
                <w:color w:val="auto"/>
              </w:rPr>
            </w:pPr>
            <w:r>
              <w:rPr>
                <w:rFonts w:ascii="Arial" w:cs="Arial" w:eastAsia="Arial" w:hAnsi="Arial"/>
                <w:sz w:val="18"/>
                <w:szCs w:val="18"/>
                <w:color w:val="auto"/>
              </w:rPr>
              <w:t>22.1</w:t>
            </w:r>
          </w:p>
        </w:tc>
        <w:tc>
          <w:tcPr>
            <w:tcW w:w="1100" w:type="dxa"/>
            <w:vAlign w:val="bottom"/>
          </w:tcPr>
          <w:p>
            <w:pPr>
              <w:jc w:val="right"/>
              <w:ind w:right="277"/>
              <w:spacing w:after="0"/>
              <w:rPr>
                <w:sz w:val="20"/>
                <w:szCs w:val="20"/>
                <w:color w:val="auto"/>
              </w:rPr>
            </w:pPr>
            <w:r>
              <w:rPr>
                <w:rFonts w:ascii="Arial" w:cs="Arial" w:eastAsia="Arial" w:hAnsi="Arial"/>
                <w:sz w:val="18"/>
                <w:szCs w:val="18"/>
                <w:color w:val="auto"/>
              </w:rPr>
              <w:t>01/11/21</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13"/>
          </w:tcPr>
          <w:p>
            <w:pPr>
              <w:spacing w:after="0"/>
              <w:rPr>
                <w:sz w:val="20"/>
                <w:szCs w:val="20"/>
                <w:color w:val="auto"/>
              </w:rPr>
            </w:pPr>
            <w:r>
              <w:rPr>
                <w:rFonts w:ascii="Arial" w:cs="Arial" w:eastAsia="Arial" w:hAnsi="Arial"/>
                <w:sz w:val="18"/>
                <w:szCs w:val="18"/>
                <w:color w:val="0000FF"/>
              </w:rPr>
              <w:t>Certification of the Principal Executive Officer pursuant to</w:t>
            </w: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20" w:type="dxa"/>
            <w:vAlign w:val="bottom"/>
            <w:gridSpan w:val="13"/>
          </w:tcPr>
          <w:p>
            <w:pPr>
              <w:spacing w:after="0" w:line="156" w:lineRule="exact"/>
              <w:rPr>
                <w:sz w:val="20"/>
                <w:szCs w:val="20"/>
                <w:color w:val="auto"/>
              </w:rPr>
            </w:pPr>
            <w:r>
              <w:rPr>
                <w:rFonts w:ascii="Arial" w:cs="Arial" w:eastAsia="Arial" w:hAnsi="Arial"/>
                <w:sz w:val="18"/>
                <w:szCs w:val="18"/>
                <w:color w:val="0000FF"/>
                <w:w w:val="91"/>
              </w:rPr>
              <w:t>Exchange Act Rules 13a14(a) and 15d14(a), as adopted pursuant</w:t>
            </w: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89"/>
              </w:rPr>
              <w:t>to Section 302 of the Sarbanes-Oxley Act of 2002.</w:t>
            </w:r>
          </w:p>
        </w:tc>
        <w:tc>
          <w:tcPr>
            <w:tcW w:w="10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gridSpan w:val="3"/>
          </w:tcPr>
          <w:p>
            <w:pPr>
              <w:ind w:left="2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13"/>
          </w:tcPr>
          <w:p>
            <w:pPr>
              <w:spacing w:after="0"/>
              <w:rPr>
                <w:sz w:val="20"/>
                <w:szCs w:val="20"/>
                <w:color w:val="auto"/>
              </w:rPr>
            </w:pPr>
            <w:r>
              <w:rPr>
                <w:rFonts w:ascii="Arial" w:cs="Arial" w:eastAsia="Arial" w:hAnsi="Arial"/>
                <w:sz w:val="18"/>
                <w:szCs w:val="18"/>
                <w:color w:val="0000FF"/>
              </w:rPr>
              <w:t>Certification of the Principal Financial Officer pursuant to</w:t>
            </w: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2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2"/>
              </w:rPr>
              <w:t>Exchange Act Rules 13a14(a) and 15d14(a), as adopted</w:t>
            </w:r>
          </w:p>
        </w:tc>
        <w:tc>
          <w:tcPr>
            <w:tcW w:w="600" w:type="dxa"/>
            <w:vAlign w:val="bottom"/>
            <w:gridSpan w:val="6"/>
          </w:tcPr>
          <w:p>
            <w:pPr>
              <w:spacing w:after="0" w:line="156" w:lineRule="exact"/>
              <w:rPr>
                <w:sz w:val="20"/>
                <w:szCs w:val="20"/>
                <w:color w:val="auto"/>
              </w:rPr>
            </w:pPr>
            <w:r>
              <w:rPr>
                <w:rFonts w:ascii="Arial" w:cs="Arial" w:eastAsia="Arial" w:hAnsi="Arial"/>
                <w:sz w:val="18"/>
                <w:szCs w:val="18"/>
                <w:color w:val="0000FF"/>
                <w:w w:val="82"/>
              </w:rPr>
              <w:t>pursuant</w:t>
            </w: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89"/>
              </w:rPr>
              <w:t>to Section 302 of the Sarbanes-Oxley Act of 2002.</w:t>
            </w:r>
          </w:p>
        </w:tc>
        <w:tc>
          <w:tcPr>
            <w:tcW w:w="10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13"/>
          </w:tcPr>
          <w:p>
            <w:pPr>
              <w:spacing w:after="0"/>
              <w:rPr>
                <w:sz w:val="20"/>
                <w:szCs w:val="20"/>
                <w:color w:val="auto"/>
              </w:rPr>
            </w:pPr>
            <w:r>
              <w:rPr>
                <w:rFonts w:ascii="Arial" w:cs="Arial" w:eastAsia="Arial" w:hAnsi="Arial"/>
                <w:sz w:val="18"/>
                <w:szCs w:val="18"/>
                <w:color w:val="0000FF"/>
              </w:rPr>
              <w:t>Certification of the Principal Executive Officer and Principal</w:t>
            </w: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28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20" w:type="dxa"/>
            <w:vAlign w:val="bottom"/>
            <w:gridSpan w:val="13"/>
          </w:tcPr>
          <w:p>
            <w:pPr>
              <w:spacing w:after="0" w:line="156" w:lineRule="exact"/>
              <w:rPr>
                <w:sz w:val="20"/>
                <w:szCs w:val="20"/>
                <w:color w:val="auto"/>
              </w:rPr>
            </w:pPr>
            <w:r>
              <w:rPr>
                <w:rFonts w:ascii="Arial" w:cs="Arial" w:eastAsia="Arial" w:hAnsi="Arial"/>
                <w:sz w:val="18"/>
                <w:szCs w:val="18"/>
                <w:color w:val="0000FF"/>
                <w:w w:val="92"/>
              </w:rPr>
              <w:t>Financial Officer pursuant to 18 U.S.C. Section 1350, as adopted</w:t>
            </w: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8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89"/>
              </w:rPr>
              <w:t>pursuant to Section 906 of the Sarbanes-Oxley Act of 2002.</w:t>
            </w:r>
          </w:p>
        </w:tc>
        <w:tc>
          <w:tcPr>
            <w:tcW w:w="380" w:type="dxa"/>
            <w:vAlign w:val="bottom"/>
            <w:tcBorders>
              <w:top w:val="single" w:sz="8" w:color="0000FF"/>
            </w:tcBorders>
            <w:gridSpan w:val="4"/>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60" w:type="dxa"/>
            <w:vAlign w:val="bottom"/>
            <w:gridSpan w:val="5"/>
          </w:tcPr>
          <w:p>
            <w:pPr>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1"/>
                <w:szCs w:val="21"/>
                <w:color w:val="auto"/>
              </w:rPr>
            </w:pPr>
          </w:p>
        </w:tc>
        <w:tc>
          <w:tcPr>
            <w:tcW w:w="482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60" w:type="dxa"/>
            <w:vAlign w:val="bottom"/>
            <w:gridSpan w:val="5"/>
          </w:tcPr>
          <w:p>
            <w:pPr>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19"/>
                <w:szCs w:val="19"/>
                <w:color w:val="auto"/>
              </w:rPr>
            </w:pPr>
          </w:p>
        </w:tc>
        <w:tc>
          <w:tcPr>
            <w:tcW w:w="48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gridSpan w:val="5"/>
          </w:tcPr>
          <w:p>
            <w:pPr>
              <w:spacing w:after="0" w:line="176" w:lineRule="exact"/>
              <w:rPr>
                <w:sz w:val="20"/>
                <w:szCs w:val="20"/>
                <w:color w:val="auto"/>
              </w:rPr>
            </w:pPr>
            <w:r>
              <w:rPr>
                <w:rFonts w:ascii="Arial" w:cs="Arial" w:eastAsia="Arial" w:hAnsi="Arial"/>
                <w:sz w:val="18"/>
                <w:szCs w:val="18"/>
                <w:color w:val="auto"/>
              </w:rPr>
              <w:t>101.CAL</w:t>
            </w:r>
          </w:p>
        </w:tc>
        <w:tc>
          <w:tcPr>
            <w:tcW w:w="40" w:type="dxa"/>
            <w:vAlign w:val="bottom"/>
          </w:tcPr>
          <w:p>
            <w:pPr>
              <w:spacing w:after="0"/>
              <w:rPr>
                <w:sz w:val="15"/>
                <w:szCs w:val="15"/>
                <w:color w:val="auto"/>
              </w:rPr>
            </w:pPr>
          </w:p>
        </w:tc>
        <w:tc>
          <w:tcPr>
            <w:tcW w:w="4820" w:type="dxa"/>
            <w:vAlign w:val="bottom"/>
            <w:gridSpan w:val="13"/>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jc w:val="center"/>
              <w:ind w:left="13"/>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2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60" w:type="dxa"/>
            <w:vAlign w:val="bottom"/>
            <w:gridSpan w:val="5"/>
          </w:tcPr>
          <w:p>
            <w:pPr>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0"/>
                <w:szCs w:val="20"/>
                <w:color w:val="auto"/>
              </w:rPr>
            </w:pPr>
          </w:p>
        </w:tc>
        <w:tc>
          <w:tcPr>
            <w:tcW w:w="4820" w:type="dxa"/>
            <w:vAlign w:val="bottom"/>
            <w:gridSpan w:val="13"/>
          </w:tcPr>
          <w:p>
            <w:pPr>
              <w:spacing w:after="0"/>
              <w:rPr>
                <w:sz w:val="20"/>
                <w:szCs w:val="20"/>
                <w:color w:val="auto"/>
              </w:rPr>
            </w:pPr>
            <w:r>
              <w:rPr>
                <w:rFonts w:ascii="Arial" w:cs="Arial" w:eastAsia="Arial" w:hAnsi="Arial"/>
                <w:sz w:val="18"/>
                <w:szCs w:val="18"/>
                <w:color w:val="auto"/>
                <w:w w:val="93"/>
              </w:rPr>
              <w:t>Inline XBRL Taxonomy Extension Definition Linkbase Document</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60" w:type="dxa"/>
            <w:vAlign w:val="bottom"/>
            <w:gridSpan w:val="5"/>
          </w:tcPr>
          <w:p>
            <w:pPr>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19"/>
                <w:szCs w:val="19"/>
                <w:color w:val="auto"/>
              </w:rPr>
            </w:pPr>
          </w:p>
        </w:tc>
        <w:tc>
          <w:tcPr>
            <w:tcW w:w="4820" w:type="dxa"/>
            <w:vAlign w:val="bottom"/>
            <w:gridSpan w:val="13"/>
          </w:tcPr>
          <w:p>
            <w:pPr>
              <w:spacing w:after="0"/>
              <w:rPr>
                <w:sz w:val="20"/>
                <w:szCs w:val="20"/>
                <w:color w:val="auto"/>
              </w:rPr>
            </w:pPr>
            <w:r>
              <w:rPr>
                <w:rFonts w:ascii="Arial" w:cs="Arial" w:eastAsia="Arial" w:hAnsi="Arial"/>
                <w:sz w:val="18"/>
                <w:szCs w:val="18"/>
                <w:color w:val="auto"/>
                <w:w w:val="99"/>
              </w:rPr>
              <w:t>Inline XBRL Taxonomy Extension Label Linkbase Document</w:t>
            </w: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jc w:val="center"/>
              <w:ind w:left="1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gridSpan w:val="5"/>
          </w:tcPr>
          <w:p>
            <w:pPr>
              <w:spacing w:after="0" w:line="176" w:lineRule="exact"/>
              <w:rPr>
                <w:sz w:val="20"/>
                <w:szCs w:val="20"/>
                <w:color w:val="auto"/>
              </w:rPr>
            </w:pPr>
            <w:r>
              <w:rPr>
                <w:rFonts w:ascii="Arial" w:cs="Arial" w:eastAsia="Arial" w:hAnsi="Arial"/>
                <w:sz w:val="18"/>
                <w:szCs w:val="18"/>
                <w:color w:val="auto"/>
              </w:rPr>
              <w:t>101.PRE</w:t>
            </w:r>
          </w:p>
        </w:tc>
        <w:tc>
          <w:tcPr>
            <w:tcW w:w="40" w:type="dxa"/>
            <w:vAlign w:val="bottom"/>
          </w:tcPr>
          <w:p>
            <w:pPr>
              <w:spacing w:after="0"/>
              <w:rPr>
                <w:sz w:val="15"/>
                <w:szCs w:val="15"/>
                <w:color w:val="auto"/>
              </w:rPr>
            </w:pPr>
          </w:p>
        </w:tc>
        <w:tc>
          <w:tcPr>
            <w:tcW w:w="4820" w:type="dxa"/>
            <w:vAlign w:val="bottom"/>
            <w:gridSpan w:val="13"/>
          </w:tcPr>
          <w:p>
            <w:pPr>
              <w:spacing w:after="0" w:line="176" w:lineRule="exact"/>
              <w:rPr>
                <w:sz w:val="20"/>
                <w:szCs w:val="20"/>
                <w:color w:val="auto"/>
              </w:rPr>
            </w:pPr>
            <w:r>
              <w:rPr>
                <w:rFonts w:ascii="Arial" w:cs="Arial" w:eastAsia="Arial" w:hAnsi="Arial"/>
                <w:sz w:val="18"/>
                <w:szCs w:val="18"/>
                <w:color w:val="auto"/>
              </w:rPr>
              <w:t>Inline XBRL Taxonomy Extension Presentation Linkbase</w:t>
            </w: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jc w:val="center"/>
              <w:ind w:left="13"/>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2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100" w:right="5440" w:hanging="1074"/>
        <w:spacing w:after="0" w:line="258" w:lineRule="auto"/>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Cover Page Interactive Data File – the cover page XBRL tags are embedded within the Inline Instance XBRL document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108" w:lineRule="exact"/>
        <w:rPr>
          <w:sz w:val="20"/>
          <w:szCs w:val="20"/>
          <w:color w:val="auto"/>
        </w:rPr>
      </w:pPr>
    </w:p>
    <w:p>
      <w:pPr>
        <w:ind w:left="1100" w:right="160" w:hanging="1047"/>
        <w:spacing w:after="0" w:line="223"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913765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Austin, Texas, on the day of November 29, 2022.</w:t>
      </w:r>
    </w:p>
    <w:p>
      <w:pPr>
        <w:spacing w:after="0" w:line="20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CROWDSTRIKE HOLDINGS, INC.</w:t>
      </w:r>
    </w:p>
    <w:p>
      <w:pPr>
        <w:spacing w:after="0" w:line="81" w:lineRule="exact"/>
        <w:rPr>
          <w:sz w:val="20"/>
          <w:szCs w:val="20"/>
          <w:color w:val="auto"/>
        </w:rPr>
      </w:pPr>
    </w:p>
    <w:p>
      <w:pPr>
        <w:ind w:left="5460"/>
        <w:spacing w:after="0"/>
        <w:tabs>
          <w:tab w:leader="none" w:pos="5960" w:val="left"/>
        </w:tabs>
        <w:rPr>
          <w:sz w:val="20"/>
          <w:szCs w:val="20"/>
          <w:color w:val="auto"/>
        </w:rPr>
      </w:pPr>
      <w:r>
        <w:rPr>
          <w:rFonts w:ascii="Arial" w:cs="Arial" w:eastAsia="Arial" w:hAnsi="Arial"/>
          <w:sz w:val="18"/>
          <w:szCs w:val="18"/>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Burt W. Podbere</w:t>
      </w:r>
    </w:p>
    <w:p>
      <w:pPr>
        <w:ind w:left="598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304" w:lineRule="exact"/>
        <w:rPr>
          <w:sz w:val="20"/>
          <w:szCs w:val="20"/>
          <w:color w:val="auto"/>
        </w:rPr>
      </w:pPr>
    </w:p>
    <w:p>
      <w:pPr>
        <w:ind w:left="5460"/>
        <w:spacing w:after="0"/>
        <w:tabs>
          <w:tab w:leader="none" w:pos="5960" w:val="left"/>
        </w:tabs>
        <w:rPr>
          <w:sz w:val="20"/>
          <w:szCs w:val="20"/>
          <w:color w:val="auto"/>
        </w:rPr>
      </w:pPr>
      <w:r>
        <w:rPr>
          <w:rFonts w:ascii="Arial" w:cs="Arial" w:eastAsia="Arial" w:hAnsi="Arial"/>
          <w:sz w:val="18"/>
          <w:szCs w:val="18"/>
          <w:color w:val="auto"/>
        </w:rPr>
        <w:t>By:</w:t>
        <w:tab/>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Anurag Saha</w:t>
      </w:r>
    </w:p>
    <w:p>
      <w:pPr>
        <w:ind w:left="5980"/>
        <w:spacing w:after="0"/>
        <w:rPr>
          <w:sz w:val="20"/>
          <w:szCs w:val="20"/>
          <w:color w:val="auto"/>
        </w:rPr>
      </w:pPr>
      <w:r>
        <w:rPr>
          <w:rFonts w:ascii="Arial" w:cs="Arial" w:eastAsia="Arial" w:hAnsi="Arial"/>
          <w:sz w:val="18"/>
          <w:szCs w:val="18"/>
          <w:i w:val="1"/>
          <w:iCs w:val="1"/>
          <w:color w:val="auto"/>
        </w:rPr>
        <w:t>Chief Accounting Officer (Principal Accounting Officer)</w:t>
      </w:r>
    </w:p>
    <w:p>
      <w:pPr>
        <w:sectPr>
          <w:pgSz w:w="11900" w:h="16838" w:orient="portrait"/>
          <w:cols w:equalWidth="0" w:num="1">
            <w:col w:w="10980"/>
          </w:cols>
          <w:pgMar w:left="320" w:top="341" w:right="59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CROWDSTRIKE HOLDINGS,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OUTSIDE DIRECTOR COMPENSATION POLICY</w:t>
      </w:r>
    </w:p>
    <w:p>
      <w:pPr>
        <w:spacing w:after="0" w:line="200" w:lineRule="exact"/>
        <w:rPr>
          <w:sz w:val="20"/>
          <w:szCs w:val="20"/>
          <w:color w:val="auto"/>
        </w:rPr>
      </w:pPr>
    </w:p>
    <w:p>
      <w:pPr>
        <w:spacing w:after="0" w:line="21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CrowdStrike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believes that the granting of equity and cash compensation to its members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and members of the Board, “</w:t>
      </w:r>
      <w:r>
        <w:rPr>
          <w:rFonts w:ascii="Arial" w:cs="Arial" w:eastAsia="Arial" w:hAnsi="Arial"/>
          <w:sz w:val="18"/>
          <w:szCs w:val="18"/>
          <w:b w:val="1"/>
          <w:bCs w:val="1"/>
          <w:color w:val="auto"/>
        </w:rPr>
        <w:t>Directors</w:t>
      </w:r>
      <w:r>
        <w:rPr>
          <w:rFonts w:ascii="Arial" w:cs="Arial" w:eastAsia="Arial" w:hAnsi="Arial"/>
          <w:sz w:val="18"/>
          <w:szCs w:val="18"/>
          <w:color w:val="auto"/>
        </w:rPr>
        <w:t>”) represents a powerful tool to attract, retain and reward Directors</w:t>
      </w:r>
    </w:p>
    <w:p>
      <w:pPr>
        <w:spacing w:after="0" w:line="236" w:lineRule="auto"/>
        <w:rPr>
          <w:sz w:val="20"/>
          <w:szCs w:val="20"/>
          <w:color w:val="auto"/>
        </w:rPr>
      </w:pPr>
      <w:r>
        <w:rPr>
          <w:rFonts w:ascii="Arial" w:cs="Arial" w:eastAsia="Arial" w:hAnsi="Arial"/>
          <w:sz w:val="18"/>
          <w:szCs w:val="18"/>
          <w:color w:val="auto"/>
        </w:rPr>
        <w:t>who are not employees of the Company (“</w:t>
      </w:r>
      <w:r>
        <w:rPr>
          <w:rFonts w:ascii="Arial" w:cs="Arial" w:eastAsia="Arial" w:hAnsi="Arial"/>
          <w:sz w:val="18"/>
          <w:szCs w:val="18"/>
          <w:b w:val="1"/>
          <w:bCs w:val="1"/>
          <w:color w:val="auto"/>
        </w:rPr>
        <w:t>Outside Directors</w:t>
      </w:r>
      <w:r>
        <w:rPr>
          <w:rFonts w:ascii="Arial" w:cs="Arial" w:eastAsia="Arial" w:hAnsi="Arial"/>
          <w:sz w:val="18"/>
          <w:szCs w:val="18"/>
          <w:color w:val="auto"/>
        </w:rPr>
        <w:t>”).  This Outside Director Compensation Policy (the “</w:t>
      </w:r>
      <w:r>
        <w:rPr>
          <w:rFonts w:ascii="Arial" w:cs="Arial" w:eastAsia="Arial" w:hAnsi="Arial"/>
          <w:sz w:val="18"/>
          <w:szCs w:val="18"/>
          <w:b w:val="1"/>
          <w:bCs w:val="1"/>
          <w:color w:val="auto"/>
        </w:rPr>
        <w:t>Policy</w:t>
      </w:r>
      <w:r>
        <w:rPr>
          <w:rFonts w:ascii="Arial" w:cs="Arial" w:eastAsia="Arial" w:hAnsi="Arial"/>
          <w:sz w:val="18"/>
          <w:szCs w:val="18"/>
          <w:color w:val="auto"/>
        </w:rPr>
        <w:t>”) is intended to</w:t>
      </w:r>
    </w:p>
    <w:p>
      <w:pPr>
        <w:spacing w:after="0" w:line="226" w:lineRule="auto"/>
        <w:rPr>
          <w:sz w:val="20"/>
          <w:szCs w:val="20"/>
          <w:color w:val="auto"/>
        </w:rPr>
      </w:pPr>
      <w:r>
        <w:rPr>
          <w:rFonts w:ascii="Arial" w:cs="Arial" w:eastAsia="Arial" w:hAnsi="Arial"/>
          <w:sz w:val="18"/>
          <w:szCs w:val="18"/>
          <w:color w:val="auto"/>
        </w:rPr>
        <w:t>formalize the Company’s policy regarding cash compensation and grants of equity to its Outside Directors. Unless otherwise defined herein, capitalized terms used in this Policy will have the meaning given such term in the CrowdStrike Holdings, Inc. 2019 Equity Incentive Plan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Plan</w:t>
      </w:r>
      <w:r>
        <w:rPr>
          <w:rFonts w:ascii="Arial" w:cs="Arial" w:eastAsia="Arial" w:hAnsi="Arial"/>
          <w:sz w:val="20"/>
          <w:szCs w:val="20"/>
          <w:color w:val="auto"/>
        </w:rPr>
        <w:t>”). Outside Directors will be solely responsible for any tax obligations they incur as a result of the equity and cash payments received under this Policy.</w:t>
      </w:r>
    </w:p>
    <w:p>
      <w:pPr>
        <w:spacing w:after="0" w:line="13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u w:val="single" w:color="auto"/>
          <w:color w:val="auto"/>
        </w:rPr>
        <w:t>CASH COMPENSATION</w:t>
      </w:r>
    </w:p>
    <w:p>
      <w:pPr>
        <w:spacing w:after="0" w:line="168"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color w:val="auto"/>
        </w:rPr>
        <w:t>The following annual cash compensation for Outside Directors is payable quarterly in arrears on a monthly prorated basis. Any partial month of service shall be calculated as a full month of service for purposes of calculating cash compensation due under this Policy.</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GENERAL BOARD ANNUAL RETAINER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Annual cash compensation for the general services of Outside Directors is as follows: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Outside Director</w:t>
      </w:r>
      <w:r>
        <w:rPr>
          <w:rFonts w:ascii="Arial" w:cs="Arial" w:eastAsia="Arial" w:hAnsi="Arial"/>
          <w:sz w:val="20"/>
          <w:szCs w:val="20"/>
          <w:color w:val="auto"/>
        </w:rPr>
        <w:t>: $40,000 General Annual Retainer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Directors will receive no additional compensation for attending regular meetings of the Board.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NON-EXECUTIVE CHAIRMAN ANNUAL RETAINER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Additional annual cash compensation for the general services of the Non-Executive Chairman is as follows: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Non-Executive Chairman</w:t>
      </w:r>
      <w:r>
        <w:rPr>
          <w:rFonts w:ascii="Arial" w:cs="Arial" w:eastAsia="Arial" w:hAnsi="Arial"/>
          <w:sz w:val="20"/>
          <w:szCs w:val="20"/>
          <w:color w:val="auto"/>
        </w:rPr>
        <w:t>: $50,000 Chairman Annual Retainer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COMMITTEE ANNUAL RETAINERS</w:t>
      </w:r>
    </w:p>
    <w:p>
      <w:pPr>
        <w:spacing w:after="0" w:line="168"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In addition to the annual cash retainers described above, each Outside Director will also receive annual cash retainers in recognition of their service on the committees of the Board.</w:t>
      </w:r>
    </w:p>
    <w:p>
      <w:pPr>
        <w:spacing w:after="0" w:line="142"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Audit Committee</w:t>
      </w:r>
      <w:r>
        <w:rPr>
          <w:rFonts w:ascii="Arial" w:cs="Arial" w:eastAsia="Arial" w:hAnsi="Arial"/>
          <w:sz w:val="20"/>
          <w:szCs w:val="20"/>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Annual cash compensation for Audit Committee members is as follows:</w:t>
      </w:r>
    </w:p>
    <w:p>
      <w:pPr>
        <w:spacing w:after="0" w:line="169" w:lineRule="exact"/>
        <w:rPr>
          <w:sz w:val="20"/>
          <w:szCs w:val="20"/>
          <w:color w:val="auto"/>
        </w:rPr>
      </w:pPr>
    </w:p>
    <w:p>
      <w:pPr>
        <w:ind w:left="1300" w:right="3380"/>
        <w:spacing w:after="0" w:line="461" w:lineRule="auto"/>
        <w:rPr>
          <w:sz w:val="20"/>
          <w:szCs w:val="20"/>
          <w:color w:val="auto"/>
        </w:rPr>
      </w:pPr>
      <w:r>
        <w:rPr>
          <w:rFonts w:ascii="Arial" w:cs="Arial" w:eastAsia="Arial" w:hAnsi="Arial"/>
          <w:sz w:val="18"/>
          <w:szCs w:val="18"/>
          <w:b w:val="1"/>
          <w:bCs w:val="1"/>
          <w:color w:val="auto"/>
        </w:rPr>
        <w:t>Chairman of Committee</w:t>
      </w:r>
      <w:r>
        <w:rPr>
          <w:rFonts w:ascii="Arial" w:cs="Arial" w:eastAsia="Arial" w:hAnsi="Arial"/>
          <w:sz w:val="18"/>
          <w:szCs w:val="18"/>
          <w:color w:val="auto"/>
        </w:rPr>
        <w:t>: $25,000 Chairman Annual Retainer</w:t>
      </w:r>
      <w:r>
        <w:rPr>
          <w:rFonts w:ascii="Arial" w:cs="Arial" w:eastAsia="Arial" w:hAnsi="Arial"/>
          <w:sz w:val="18"/>
          <w:szCs w:val="18"/>
          <w:b w:val="1"/>
          <w:bCs w:val="1"/>
          <w:color w:val="auto"/>
        </w:rPr>
        <w:t xml:space="preserve"> Non-Chairman Committee Members</w:t>
      </w:r>
      <w:r>
        <w:rPr>
          <w:rFonts w:ascii="Arial" w:cs="Arial" w:eastAsia="Arial" w:hAnsi="Arial"/>
          <w:sz w:val="18"/>
          <w:szCs w:val="18"/>
          <w:color w:val="auto"/>
        </w:rPr>
        <w:t>: $10,000 Non-Chairman Annual Retainer</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per meeting attendance fees for attending Audit Committee meetings.</w:t>
      </w:r>
    </w:p>
    <w:p>
      <w:pPr>
        <w:spacing w:after="0" w:line="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Compensation Committee</w:t>
      </w:r>
      <w:r>
        <w:rPr>
          <w:rFonts w:ascii="Arial" w:cs="Arial" w:eastAsia="Arial" w:hAnsi="Arial"/>
          <w:sz w:val="20"/>
          <w:szCs w:val="20"/>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Annual cash compensation for the Compensation Committee is as follows: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Chairman of Committee</w:t>
      </w:r>
      <w:r>
        <w:rPr>
          <w:rFonts w:ascii="Arial" w:cs="Arial" w:eastAsia="Arial" w:hAnsi="Arial"/>
          <w:sz w:val="20"/>
          <w:szCs w:val="20"/>
          <w:color w:val="auto"/>
        </w:rPr>
        <w:t>: $19,000 Chairman Annual Retainer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Non-Chairman Committee Members</w:t>
      </w:r>
      <w:r>
        <w:rPr>
          <w:rFonts w:ascii="Arial" w:cs="Arial" w:eastAsia="Arial" w:hAnsi="Arial"/>
          <w:sz w:val="20"/>
          <w:szCs w:val="20"/>
          <w:color w:val="auto"/>
        </w:rPr>
        <w:t>: $9,500 Non-Chairman Annual Retainer</w:t>
      </w:r>
    </w:p>
    <w:p>
      <w:pPr>
        <w:sectPr>
          <w:pgSz w:w="11900" w:h="16838" w:orient="portrait"/>
          <w:cols w:equalWidth="0" w:num="1">
            <w:col w:w="11240"/>
          </w:cols>
          <w:pgMar w:left="320" w:top="10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There are no per meeting attendance fees for attending Compensation Committee meetings.</w:t>
      </w:r>
    </w:p>
    <w:p>
      <w:pPr>
        <w:spacing w:after="0" w:line="162"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Nominating and Corporate Governance Committee</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Annual cash compensation for the Nominating and Corporate Governance Committee is as follows: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Chairman of Committee</w:t>
      </w:r>
      <w:r>
        <w:rPr>
          <w:rFonts w:ascii="Arial" w:cs="Arial" w:eastAsia="Arial" w:hAnsi="Arial"/>
          <w:sz w:val="20"/>
          <w:szCs w:val="20"/>
          <w:color w:val="auto"/>
        </w:rPr>
        <w:t>: $10,000 Chairman Annual Retainer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Non-Chairman Committee Members</w:t>
      </w:r>
      <w:r>
        <w:rPr>
          <w:rFonts w:ascii="Arial" w:cs="Arial" w:eastAsia="Arial" w:hAnsi="Arial"/>
          <w:sz w:val="20"/>
          <w:szCs w:val="20"/>
          <w:color w:val="auto"/>
        </w:rPr>
        <w:t>: $5,000 Non-Chairman Annual Retainer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There are no per meeting attendance fees for attending Nominating and Corporate Governance Committee meetings.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ELECTION TO RECEIVE SHARES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Outside Director may elect that 100% (or such other percentage as may be determined by the Compensation Committee from</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time to time) of his or her annual cash retainers payable in respect of his or her future services be paid in the form of Shares of the Company’s Common Stock by timely executing and submitting to the Company an election on such form as specified by the Company from</w:t>
      </w:r>
    </w:p>
    <w:p>
      <w:pPr>
        <w:spacing w:after="0" w:line="236" w:lineRule="auto"/>
        <w:rPr>
          <w:sz w:val="20"/>
          <w:szCs w:val="20"/>
          <w:color w:val="auto"/>
        </w:rPr>
      </w:pPr>
      <w:r>
        <w:rPr>
          <w:rFonts w:ascii="Arial" w:cs="Arial" w:eastAsia="Arial" w:hAnsi="Arial"/>
          <w:sz w:val="18"/>
          <w:szCs w:val="18"/>
          <w:color w:val="auto"/>
        </w:rPr>
        <w:t>time to time (the “</w:t>
      </w:r>
      <w:r>
        <w:rPr>
          <w:rFonts w:ascii="Arial" w:cs="Arial" w:eastAsia="Arial" w:hAnsi="Arial"/>
          <w:sz w:val="18"/>
          <w:szCs w:val="18"/>
          <w:b w:val="1"/>
          <w:bCs w:val="1"/>
          <w:color w:val="auto"/>
        </w:rPr>
        <w:t>Election Form</w:t>
      </w:r>
      <w:r>
        <w:rPr>
          <w:rFonts w:ascii="Arial" w:cs="Arial" w:eastAsia="Arial" w:hAnsi="Arial"/>
          <w:sz w:val="18"/>
          <w:szCs w:val="18"/>
          <w:color w:val="auto"/>
        </w:rPr>
        <w:t>”). The terms of any such election (including with respect to the periods covered by such election and any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revocation of such election) shall be set forth in, and subject to, the applicable Election Form. To be valid, the election must comply with any procedural requirements (including as to timing of elections) determined by the Company from time to time, as well as the Company’s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insider trading policy. Notwithstanding the foregoing, a newly appointed Outside Director will be permitted during the open trading window following his or her Start Date (as defined below) to submit an Election Form to elect to receive the portion of such new Outside Director’s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cash retainers that are payable with respect to the remainder of the first fiscal year of his or her service in the form of Shares.</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As of each cash retainer payment date, an Outside Director who has validly elected to receive all or a portion of his or her annual cash retainers in Shares of our Common Stock will become entitled to receive a number of Shares determined by dividing (i) the amount of</w:t>
      </w:r>
    </w:p>
    <w:p>
      <w:pPr>
        <w:jc w:val="both"/>
        <w:spacing w:after="0" w:line="234" w:lineRule="auto"/>
        <w:rPr>
          <w:sz w:val="20"/>
          <w:szCs w:val="20"/>
          <w:color w:val="auto"/>
        </w:rPr>
      </w:pPr>
      <w:r>
        <w:rPr>
          <w:rFonts w:ascii="Arial" w:cs="Arial" w:eastAsia="Arial" w:hAnsi="Arial"/>
          <w:sz w:val="18"/>
          <w:szCs w:val="18"/>
          <w:color w:val="auto"/>
        </w:rPr>
        <w:t xml:space="preserve">the annual cash retainers covered by such election that otherwise would have been payable to such Outside Director on the applicable payment date by (ii) the Fair Market Value (as defined in the Plan) of a Share on the applicable issuance date </w:t>
      </w:r>
      <w:r>
        <w:rPr>
          <w:rFonts w:ascii="Arial" w:cs="Arial" w:eastAsia="Arial" w:hAnsi="Arial"/>
          <w:sz w:val="16"/>
          <w:szCs w:val="16"/>
          <w:color w:val="auto"/>
        </w:rPr>
        <w:t>(</w:t>
      </w:r>
      <w:r>
        <w:rPr>
          <w:rFonts w:ascii="Arial" w:cs="Arial" w:eastAsia="Arial" w:hAnsi="Arial"/>
          <w:sz w:val="18"/>
          <w:szCs w:val="18"/>
          <w:color w:val="auto"/>
        </w:rPr>
        <w:t>rounded down to the nearest whole Share</w:t>
      </w:r>
      <w:r>
        <w:rPr>
          <w:rFonts w:ascii="Arial" w:cs="Arial" w:eastAsia="Arial" w:hAnsi="Arial"/>
          <w:sz w:val="16"/>
          <w:szCs w:val="16"/>
          <w:color w:val="auto"/>
        </w:rPr>
        <w:t>)</w:t>
      </w:r>
      <w:r>
        <w:rPr>
          <w:rFonts w:ascii="Arial" w:cs="Arial" w:eastAsia="Arial" w:hAnsi="Arial"/>
          <w:sz w:val="18"/>
          <w:szCs w:val="18"/>
          <w:color w:val="auto"/>
        </w:rPr>
        <w:t>. Such shares shall be issued to the applicable Outside Director under the Plan on the regular quarterly vesting date following</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date that the corresponding cash retainer would have otherwise been paid to such Outside Director. The Shares issued in lieu of cash retainers shall be fully vested and unrestricted pursuant to the Plan.</w:t>
      </w:r>
    </w:p>
    <w:p>
      <w:pPr>
        <w:spacing w:after="0" w:line="150"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EQUITY COMPENSATION</w:t>
      </w:r>
    </w:p>
    <w:p>
      <w:pPr>
        <w:spacing w:after="0" w:line="168"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Outside Directors will also be eligible to receive the following Awards, as well as all types of Awards (except Incentive Stock Options) under the Plan, including discretionary Awards not covered under this Policy.</w:t>
      </w:r>
    </w:p>
    <w:p>
      <w:pPr>
        <w:spacing w:after="0" w:line="142" w:lineRule="exact"/>
        <w:rPr>
          <w:sz w:val="20"/>
          <w:szCs w:val="20"/>
          <w:color w:val="auto"/>
        </w:rPr>
      </w:pPr>
    </w:p>
    <w:p>
      <w:pPr>
        <w:ind w:firstLine="656"/>
        <w:spacing w:after="0" w:line="236" w:lineRule="auto"/>
        <w:tabs>
          <w:tab w:leader="none" w:pos="1065"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Initial Awards</w:t>
      </w:r>
      <w:r>
        <w:rPr>
          <w:rFonts w:ascii="Arial" w:cs="Arial" w:eastAsia="Arial" w:hAnsi="Arial"/>
          <w:sz w:val="20"/>
          <w:szCs w:val="20"/>
          <w:color w:val="auto"/>
        </w:rPr>
        <w:t>. Each Outside Director joining the Board after the Registration Date shall be automatically granted the following awards upon first joining the Board (such date, the “</w:t>
      </w:r>
      <w:r>
        <w:rPr>
          <w:rFonts w:ascii="Arial" w:cs="Arial" w:eastAsia="Arial" w:hAnsi="Arial"/>
          <w:sz w:val="20"/>
          <w:szCs w:val="20"/>
          <w:b w:val="1"/>
          <w:bCs w:val="1"/>
          <w:color w:val="auto"/>
        </w:rPr>
        <w:t>Start Date</w:t>
      </w:r>
      <w:r>
        <w:rPr>
          <w:rFonts w:ascii="Arial" w:cs="Arial" w:eastAsia="Arial" w:hAnsi="Arial"/>
          <w:sz w:val="20"/>
          <w:szCs w:val="20"/>
          <w:color w:val="auto"/>
        </w:rPr>
        <w:t>”):</w:t>
      </w:r>
    </w:p>
    <w:p>
      <w:pPr>
        <w:spacing w:after="0" w:line="135" w:lineRule="exact"/>
        <w:rPr>
          <w:rFonts w:ascii="Arial" w:cs="Arial" w:eastAsia="Arial" w:hAnsi="Arial"/>
          <w:sz w:val="20"/>
          <w:szCs w:val="20"/>
          <w:color w:val="auto"/>
        </w:rPr>
      </w:pPr>
    </w:p>
    <w:p>
      <w:pPr>
        <w:jc w:val="both"/>
        <w:ind w:firstLine="1344"/>
        <w:spacing w:after="0" w:line="225" w:lineRule="auto"/>
        <w:tabs>
          <w:tab w:leader="none" w:pos="1883" w:val="left"/>
        </w:tabs>
        <w:numPr>
          <w:ilvl w:val="3"/>
          <w:numId w:val="40"/>
        </w:numPr>
        <w:rPr>
          <w:rFonts w:ascii="Arial" w:cs="Arial" w:eastAsia="Arial" w:hAnsi="Arial"/>
          <w:sz w:val="20"/>
          <w:szCs w:val="20"/>
          <w:color w:val="auto"/>
        </w:rPr>
      </w:pPr>
      <w:r>
        <w:rPr>
          <w:rFonts w:ascii="Arial" w:cs="Arial" w:eastAsia="Arial" w:hAnsi="Arial"/>
          <w:sz w:val="20"/>
          <w:szCs w:val="20"/>
          <w:color w:val="auto"/>
        </w:rPr>
        <w:t>an award of Restricted Stock Units with a Value of $375,000 (the “</w:t>
      </w:r>
      <w:r>
        <w:rPr>
          <w:rFonts w:ascii="Arial" w:cs="Arial" w:eastAsia="Arial" w:hAnsi="Arial"/>
          <w:sz w:val="20"/>
          <w:szCs w:val="20"/>
          <w:b w:val="1"/>
          <w:bCs w:val="1"/>
          <w:color w:val="auto"/>
        </w:rPr>
        <w:t>Initial Award</w:t>
      </w:r>
      <w:r>
        <w:rPr>
          <w:rFonts w:ascii="Arial" w:cs="Arial" w:eastAsia="Arial" w:hAnsi="Arial"/>
          <w:sz w:val="20"/>
          <w:szCs w:val="20"/>
          <w:color w:val="auto"/>
        </w:rPr>
        <w:t xml:space="preserve">”). The Initial Award will vest annually over three years (on the same day of the month as the Start Date), subject to continued service on Board through each vesting date, </w:t>
      </w:r>
      <w:r>
        <w:rPr>
          <w:rFonts w:ascii="Arial" w:cs="Arial" w:eastAsia="Arial" w:hAnsi="Arial"/>
          <w:sz w:val="20"/>
          <w:szCs w:val="20"/>
          <w:i w:val="1"/>
          <w:iCs w:val="1"/>
          <w:color w:val="auto"/>
        </w:rPr>
        <w:t>plus</w:t>
      </w:r>
    </w:p>
    <w:p>
      <w:pPr>
        <w:spacing w:after="0" w:line="155" w:lineRule="exact"/>
        <w:rPr>
          <w:rFonts w:ascii="Arial" w:cs="Arial" w:eastAsia="Arial" w:hAnsi="Arial"/>
          <w:sz w:val="20"/>
          <w:szCs w:val="20"/>
          <w:color w:val="auto"/>
        </w:rPr>
      </w:pPr>
    </w:p>
    <w:p>
      <w:pPr>
        <w:jc w:val="both"/>
        <w:ind w:firstLine="1304"/>
        <w:spacing w:after="0" w:line="236" w:lineRule="auto"/>
        <w:tabs>
          <w:tab w:leader="none" w:pos="1803"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 award of Restricted Stock Units equal to the product of (A) the number of Restricted Stock Units subject to the Annual Award provided to Outside Directors at the last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xml:space="preserv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a fraction</w:t>
      </w:r>
    </w:p>
    <w:p>
      <w:pPr>
        <w:ind w:firstLine="8"/>
        <w:spacing w:after="0" w:line="227" w:lineRule="auto"/>
        <w:tabs>
          <w:tab w:leader="none" w:pos="25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numerator of which is (x) 12 minus (y) the number of fully completed months between the date of the last Annual Meeting and the Start Date and (ii) the denominator of which is 12, rounded to the nearest unit (the “</w:t>
      </w:r>
      <w:r>
        <w:rPr>
          <w:rFonts w:ascii="Arial" w:cs="Arial" w:eastAsia="Arial" w:hAnsi="Arial"/>
          <w:sz w:val="20"/>
          <w:szCs w:val="20"/>
          <w:b w:val="1"/>
          <w:bCs w:val="1"/>
          <w:color w:val="auto"/>
        </w:rPr>
        <w:t>Additional</w:t>
      </w:r>
    </w:p>
    <w:p>
      <w:pPr>
        <w:sectPr>
          <w:pgSz w:w="11900" w:h="16838" w:orient="portrait"/>
          <w:cols w:equalWidth="0" w:num="1">
            <w:col w:w="11240"/>
          </w:cols>
          <w:pgMar w:left="320" w:top="10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Award</w:t>
      </w:r>
      <w:r>
        <w:rPr>
          <w:rFonts w:ascii="Arial" w:cs="Arial" w:eastAsia="Arial" w:hAnsi="Arial"/>
          <w:sz w:val="18"/>
          <w:szCs w:val="18"/>
          <w:color w:val="auto"/>
        </w:rPr>
        <w:t>”).  For purposes of this calculation, any partial month of service shall be deemed a fully completed month of service. The</w:t>
      </w:r>
    </w:p>
    <w:p>
      <w:pPr>
        <w:spacing w:after="0" w:line="18"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Additional Initial Award will vest in full on the earlier of (i) the date of the next Annual Meeting held after the Start Date or (ii) the date on which the other directors’ Annual Awards for such year vest, subject to continued service on the Board through such vesting date.</w:t>
      </w:r>
    </w:p>
    <w:p>
      <w:pPr>
        <w:spacing w:after="0" w:line="156" w:lineRule="exact"/>
        <w:rPr>
          <w:sz w:val="20"/>
          <w:szCs w:val="20"/>
          <w:color w:val="auto"/>
        </w:rPr>
      </w:pPr>
    </w:p>
    <w:p>
      <w:pPr>
        <w:jc w:val="both"/>
        <w:ind w:firstLine="656"/>
        <w:spacing w:after="0" w:line="231" w:lineRule="auto"/>
        <w:tabs>
          <w:tab w:leader="none" w:pos="1117"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Annual Award</w:t>
      </w:r>
      <w:r>
        <w:rPr>
          <w:rFonts w:ascii="Arial" w:cs="Arial" w:eastAsia="Arial" w:hAnsi="Arial"/>
          <w:sz w:val="19"/>
          <w:szCs w:val="19"/>
          <w:color w:val="auto"/>
        </w:rPr>
        <w:t>. On the day of the Annual Meeting, beginning with the first Annual Meeting after the Registration Date, each Outside Director will be automatically granted an award of Restricted Stock Units with a Value of $230,000 (the “</w:t>
      </w:r>
      <w:r>
        <w:rPr>
          <w:rFonts w:ascii="Arial" w:cs="Arial" w:eastAsia="Arial" w:hAnsi="Arial"/>
          <w:sz w:val="19"/>
          <w:szCs w:val="19"/>
          <w:b w:val="1"/>
          <w:bCs w:val="1"/>
          <w:color w:val="auto"/>
        </w:rPr>
        <w:t>Annual Award</w:t>
      </w:r>
      <w:r>
        <w:rPr>
          <w:rFonts w:ascii="Arial" w:cs="Arial" w:eastAsia="Arial" w:hAnsi="Arial"/>
          <w:sz w:val="19"/>
          <w:szCs w:val="19"/>
          <w:color w:val="auto"/>
        </w:rPr>
        <w:t>”). The Annual Award will vest in full on the earlier of (i) the one-year anniversary of the date of grant or (ii) on the date of the next Annual Meeting held after the date of grant, in each case, subject to continued service on the Board through each vesting date.</w:t>
      </w:r>
    </w:p>
    <w:p>
      <w:pPr>
        <w:spacing w:after="0" w:line="138" w:lineRule="exact"/>
        <w:rPr>
          <w:rFonts w:ascii="Arial" w:cs="Arial" w:eastAsia="Arial" w:hAnsi="Arial"/>
          <w:sz w:val="19"/>
          <w:szCs w:val="19"/>
          <w:color w:val="auto"/>
        </w:rPr>
      </w:pPr>
    </w:p>
    <w:p>
      <w:pPr>
        <w:ind w:firstLine="656"/>
        <w:spacing w:after="0" w:line="292" w:lineRule="auto"/>
        <w:tabs>
          <w:tab w:leader="none" w:pos="1119"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Value</w:t>
      </w:r>
      <w:r>
        <w:rPr>
          <w:rFonts w:ascii="Arial" w:cs="Arial" w:eastAsia="Arial" w:hAnsi="Arial"/>
          <w:sz w:val="18"/>
          <w:szCs w:val="18"/>
          <w:color w:val="auto"/>
        </w:rPr>
        <w:t>. For purposes of Sections 2(a) and 2(b), “</w:t>
      </w:r>
      <w:r>
        <w:rPr>
          <w:rFonts w:ascii="Arial" w:cs="Arial" w:eastAsia="Arial" w:hAnsi="Arial"/>
          <w:sz w:val="18"/>
          <w:szCs w:val="18"/>
          <w:b w:val="1"/>
          <w:bCs w:val="1"/>
          <w:color w:val="auto"/>
        </w:rPr>
        <w:t>Value</w:t>
      </w:r>
      <w:r>
        <w:rPr>
          <w:rFonts w:ascii="Arial" w:cs="Arial" w:eastAsia="Arial" w:hAnsi="Arial"/>
          <w:sz w:val="18"/>
          <w:szCs w:val="18"/>
          <w:color w:val="auto"/>
        </w:rPr>
        <w:t>” means the fair value for financial accounting purposes based on the closing price on the date of grant, with the number of Shares of our Common Stock determined based on that Value, rounded down.</w:t>
      </w:r>
    </w:p>
    <w:p>
      <w:pPr>
        <w:spacing w:after="0" w:line="90" w:lineRule="exact"/>
        <w:rPr>
          <w:rFonts w:ascii="Arial" w:cs="Arial" w:eastAsia="Arial" w:hAnsi="Arial"/>
          <w:sz w:val="18"/>
          <w:szCs w:val="18"/>
          <w:color w:val="auto"/>
        </w:rPr>
      </w:pPr>
    </w:p>
    <w:p>
      <w:pPr>
        <w:ind w:left="360" w:hanging="352"/>
        <w:spacing w:after="0"/>
        <w:tabs>
          <w:tab w:leader="none" w:pos="3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OTHER COMPENSATION AND BENEFITS</w:t>
      </w:r>
    </w:p>
    <w:p>
      <w:pPr>
        <w:spacing w:after="0" w:line="168"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Outside Directors may also be eligible to receive other compensation and benefits, including reasonable personal benefits and perquisites, as determined by the Administrator from time to time.</w:t>
      </w:r>
    </w:p>
    <w:p>
      <w:pPr>
        <w:spacing w:after="0" w:line="136"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CHANGE IN CONTROL</w:t>
      </w:r>
    </w:p>
    <w:p>
      <w:pPr>
        <w:spacing w:after="0" w:line="168"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20"/>
          <w:szCs w:val="20"/>
          <w:color w:val="auto"/>
        </w:rPr>
        <w:t>In the event of a Change in Control, each Outside Director will fully vest in his or her outstanding Company equity awards, including any Initial Award, Additional Initial Award or Annual Award, provided that the Outside Director continues to be an Outside Director through such date.</w:t>
      </w:r>
    </w:p>
    <w:p>
      <w:pPr>
        <w:spacing w:after="0" w:line="138"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ANNUAL COMPENSATION LIMIT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cash compensation and Awards granted to an Outside Director shall be subject to the limits provided in Section 12 of the Plan.</w:t>
      </w:r>
    </w:p>
    <w:p>
      <w:pPr>
        <w:spacing w:after="0" w:line="192"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TRAVEL EXPENSES</w:t>
      </w:r>
    </w:p>
    <w:p>
      <w:pPr>
        <w:spacing w:after="0" w:line="168"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Each Outside Director’s reasonable, customary and documented travel expenses to Board meetings will be reimbursed by the Company.</w:t>
      </w:r>
    </w:p>
    <w:p>
      <w:pPr>
        <w:spacing w:after="0" w:line="136"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PROVISIONS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provisions of the Plan not inconsistent with this Policy will apply to Awards granted to Outside Directors.</w:t>
      </w:r>
    </w:p>
    <w:p>
      <w:pPr>
        <w:spacing w:after="0" w:line="169"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ADJUSTMENTS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the event that any dividend or other distribution (whether in the form of cash, Shares, other securities or other property),</w:t>
      </w:r>
    </w:p>
    <w:p>
      <w:pPr>
        <w:spacing w:after="0" w:line="226" w:lineRule="auto"/>
        <w:rPr>
          <w:sz w:val="20"/>
          <w:szCs w:val="20"/>
          <w:color w:val="auto"/>
        </w:rPr>
      </w:pPr>
      <w:r>
        <w:rPr>
          <w:rFonts w:ascii="Arial" w:cs="Arial" w:eastAsia="Arial" w:hAnsi="Arial"/>
          <w:sz w:val="18"/>
          <w:szCs w:val="18"/>
          <w:color w:val="auto"/>
        </w:rPr>
        <w:t>recapitalization, stock split, reverse stock split, reorganization, merger, consolidation, split-up, spin-off, combination, repurchase, or exchange of Shares or other securities of the Company, or other change in the corporate structure of the Company affecting the Shares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occurs, the Administrator, in order to prevent diminution or enlargement of the benefits or potential benefits intended to be made available under this Policy, will adjust the number of Shares issuable pursuant to Awards granted under this Policy.</w:t>
      </w:r>
    </w:p>
    <w:p>
      <w:pPr>
        <w:spacing w:after="0" w:line="137"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p>
    <w:p>
      <w:pPr>
        <w:spacing w:after="0" w:line="168"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In no event will cash compensation or expense reimbursement payments under this Policy be paid after the later of (i) the 15th day of the 3rd month following the end of the Company’s fiscal year in which the compensation is earned or expenses are incurred, as applicable, or</w:t>
      </w:r>
    </w:p>
    <w:p>
      <w:pPr>
        <w:ind w:firstLine="8"/>
        <w:spacing w:after="0" w:line="220" w:lineRule="auto"/>
        <w:tabs>
          <w:tab w:leader="none" w:pos="305"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15th day of the 3rd month following the end of the calendar year in which the compensation is earned or expenses are incurred, as applicable, in compliance with the “short-term deferral” exception under Section 409A of the</w:t>
      </w:r>
    </w:p>
    <w:p>
      <w:pPr>
        <w:sectPr>
          <w:pgSz w:w="11900" w:h="16838" w:orient="portrait"/>
          <w:cols w:equalWidth="0" w:num="1">
            <w:col w:w="11240"/>
          </w:cols>
          <w:pgMar w:left="320" w:top="10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Code of 1986, as amended, and the final regulations and guidance thereunder, as may be amended from time to time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(together, “</w:t>
      </w:r>
      <w:r>
        <w:rPr>
          <w:rFonts w:ascii="Arial" w:cs="Arial" w:eastAsia="Arial" w:hAnsi="Arial"/>
          <w:sz w:val="18"/>
          <w:szCs w:val="18"/>
          <w:b w:val="1"/>
          <w:bCs w:val="1"/>
          <w:color w:val="auto"/>
        </w:rPr>
        <w:t>Section 409A</w:t>
      </w:r>
      <w:r>
        <w:rPr>
          <w:rFonts w:ascii="Arial" w:cs="Arial" w:eastAsia="Arial" w:hAnsi="Arial"/>
          <w:sz w:val="18"/>
          <w:szCs w:val="18"/>
          <w:color w:val="auto"/>
        </w:rPr>
        <w:t>”). It is the intent of this Policy that this Policy and all payments hereunder be exempt from or otherwise comply with the requirements of Section 409A so that none of the compensation to be provided hereunder will be subject to the additional tax</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13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REVISIONS</w:t>
      </w:r>
    </w:p>
    <w:p>
      <w:pPr>
        <w:spacing w:after="0" w:line="168"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Subject to the limitations provided in Section 12 of the Plan, the Administrator, in its discretion, may change and otherwise revise the terms of Initial Awards, Additional Initial Awards or Annual Awards granted under this Policy, including, without limitation, the number of</w:t>
      </w:r>
    </w:p>
    <w:p>
      <w:pPr>
        <w:spacing w:after="0" w:line="226" w:lineRule="auto"/>
        <w:rPr>
          <w:sz w:val="20"/>
          <w:szCs w:val="20"/>
          <w:color w:val="auto"/>
        </w:rPr>
      </w:pPr>
      <w:r>
        <w:rPr>
          <w:rFonts w:ascii="Arial" w:cs="Arial" w:eastAsia="Arial" w:hAnsi="Arial"/>
          <w:sz w:val="18"/>
          <w:szCs w:val="18"/>
          <w:color w:val="auto"/>
        </w:rPr>
        <w:t>Shares subject thereto, for Initial Awards, Additional Initial Awards or Annual Awards of the same or different type granted on or after the date the Administrator determines to make any such change or revision. For the avoidance of doubt, the Administrator may, in its sole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discretion, grant additional awards, compensation and benefits to Outside Directors as the Administrator deems appropriate.</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The Board may also amend, alter, suspend or terminate this Policy at any time and for any reason. No amendment, alteration, suspension or termination of this Policy will materially impair the rights of an Outside Director with respect to compensation that already has</w:t>
      </w:r>
    </w:p>
    <w:p>
      <w:pPr>
        <w:spacing w:after="0" w:line="255" w:lineRule="auto"/>
        <w:rPr>
          <w:sz w:val="20"/>
          <w:szCs w:val="20"/>
          <w:color w:val="auto"/>
        </w:rPr>
      </w:pPr>
      <w:r>
        <w:rPr>
          <w:rFonts w:ascii="Arial" w:cs="Arial" w:eastAsia="Arial" w:hAnsi="Arial"/>
          <w:sz w:val="16"/>
          <w:szCs w:val="16"/>
          <w:color w:val="auto"/>
        </w:rPr>
        <w:t>been paid or awarded, unless otherwise mutually agreed between the Outside Director and the Company. Termination of this Policy will not affect the Board’s or the Compensation Committee’s ability to exercise the powers granted to it under the Plan with respect to Awards granted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under the Plan pursuant to this Policy prior to the date of such termination.</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Last reviewed and amended: October 19, 2022</w:t>
      </w:r>
    </w:p>
    <w:p>
      <w:pPr>
        <w:sectPr>
          <w:pgSz w:w="11900" w:h="16838" w:orient="portrait"/>
          <w:cols w:equalWidth="0" w:num="1">
            <w:col w:w="11240"/>
          </w:cols>
          <w:pgMar w:left="320" w:top="10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George Kurtz, certify that:</w:t>
      </w:r>
    </w:p>
    <w:p>
      <w:pPr>
        <w:spacing w:after="0" w:line="225"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00" w:hanging="328"/>
        <w:spacing w:after="0" w:line="342" w:lineRule="auto"/>
        <w:tabs>
          <w:tab w:leader="none" w:pos="64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0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Date: November 29, 2022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CROWDSTRIKE HOLDINGS, INC.</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Kurtz</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0380" w:type="dxa"/>
            <w:vAlign w:val="bottom"/>
          </w:tcPr>
          <w:p>
            <w:pPr>
              <w:ind w:left="20"/>
              <w:spacing w:after="0"/>
              <w:rPr>
                <w:sz w:val="20"/>
                <w:szCs w:val="20"/>
                <w:color w:val="auto"/>
              </w:rPr>
            </w:pPr>
            <w:r>
              <w:rPr>
                <w:rFonts w:ascii="Arial" w:cs="Arial" w:eastAsia="Arial" w:hAnsi="Arial"/>
                <w:sz w:val="18"/>
                <w:szCs w:val="18"/>
                <w:color w:val="auto"/>
              </w:rPr>
              <w:t>George Kurtz</w:t>
            </w: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10380" w:type="dxa"/>
            <w:vAlign w:val="bottom"/>
          </w:tcPr>
          <w:p>
            <w:pPr>
              <w:ind w:left="20"/>
              <w:spacing w:after="0" w:line="176" w:lineRule="exact"/>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840" w:type="dxa"/>
            <w:vAlign w:val="bottom"/>
          </w:tcPr>
          <w:p>
            <w:pPr>
              <w:spacing w:after="0"/>
              <w:rPr>
                <w:sz w:val="20"/>
                <w:szCs w:val="20"/>
                <w:color w:val="auto"/>
              </w:rPr>
            </w:pPr>
          </w:p>
        </w:tc>
        <w:tc>
          <w:tcPr>
            <w:tcW w:w="103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1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3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Date: November 29, 2022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CROWDSTRIKE HOLDINGS, INC.</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Burt W. Podbere</w:t>
            </w:r>
          </w:p>
        </w:tc>
      </w:t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0380" w:type="dxa"/>
            <w:vAlign w:val="bottom"/>
          </w:tcPr>
          <w:p>
            <w:pPr>
              <w:ind w:left="20"/>
              <w:spacing w:after="0"/>
              <w:rPr>
                <w:sz w:val="20"/>
                <w:szCs w:val="20"/>
                <w:color w:val="auto"/>
              </w:rPr>
            </w:pPr>
            <w:r>
              <w:rPr>
                <w:rFonts w:ascii="Arial" w:cs="Arial" w:eastAsia="Arial" w:hAnsi="Arial"/>
                <w:sz w:val="18"/>
                <w:szCs w:val="18"/>
                <w:color w:val="auto"/>
              </w:rPr>
              <w:t>Burt W. Podbere</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103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115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October 31, 2022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29, 2022</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Kurtz</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George Kurtz</w:t>
            </w: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8"/>
              </w:rPr>
              <w:t>President, Chief Executive Officer, and Director</w:t>
            </w:r>
          </w:p>
        </w:tc>
      </w:tr>
      <w:tr>
        <w:trPr>
          <w:trHeight w:val="230"/>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0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October 31, 2022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29, 2022</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Burt W. Podbere</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Burt W. Podbere</w:t>
            </w:r>
          </w:p>
        </w:tc>
      </w:tr>
      <w:tr>
        <w:trPr>
          <w:trHeight w:val="176"/>
        </w:trPr>
        <w:tc>
          <w:tcPr>
            <w:tcW w:w="740" w:type="dxa"/>
            <w:vAlign w:val="bottom"/>
          </w:tcPr>
          <w:p>
            <w:pPr>
              <w:spacing w:after="0"/>
              <w:rPr>
                <w:sz w:val="15"/>
                <w:szCs w:val="15"/>
                <w:color w:val="auto"/>
              </w:rPr>
            </w:pP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4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lowerLetter"/>
      <w:start w:val="3"/>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8"/>
    </w:lvl>
  </w:abstractNum>
  <w:abstractNum w:abstractNumId="11">
    <w:nsid w:val="22221A70"/>
    <w:multiLevelType w:val="hybridMultilevel"/>
    <w:lvl w:ilvl="0">
      <w:lvlJc w:val="left"/>
      <w:lvlText w:val="%1."/>
      <w:numFmt w:val="decimal"/>
      <w:start w:val="9"/>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104"/>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2"/>
    </w:lvl>
  </w:abstractNum>
  <w:abstractNum w:abstractNumId="37">
    <w:nsid w:val="7A6D8D3C"/>
    <w:multiLevelType w:val="hybridMultilevel"/>
    <w:lvl w:ilvl="0">
      <w:lvlJc w:val="left"/>
      <w:lvlText w:val="(%1)"/>
      <w:numFmt w:val="lowerLetter"/>
      <w:start w:val="3"/>
    </w:lvl>
  </w:abstractNum>
  <w:abstractNum w:abstractNumId="38">
    <w:nsid w:val="4B588F54"/>
    <w:multiLevelType w:val="hybridMultilevel"/>
    <w:lvl w:ilvl="0">
      <w:lvlJc w:val="left"/>
      <w:lvlText w:val="%1."/>
      <w:numFmt w:val="decimal"/>
      <w:start w:val="2"/>
    </w:lvl>
  </w:abstractNum>
  <w:abstractNum w:abstractNumId="39">
    <w:nsid w:val="542289E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40">
    <w:nsid w:val="6DE91B18"/>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41">
    <w:nsid w:val="38437FDB"/>
    <w:multiLevelType w:val="hybridMultilevel"/>
    <w:lvl w:ilvl="0">
      <w:lvlJc w:val="left"/>
      <w:lvlText w:val="%1"/>
      <w:numFmt w:val="decimal"/>
      <w:start w:val="1"/>
    </w:lvl>
    <w:lvl w:ilvl="1">
      <w:lvlJc w:val="left"/>
      <w:lvlText w:val="(%2)"/>
      <w:numFmt w:val="lowerLetter"/>
      <w:start w:val="2"/>
    </w:lvl>
  </w:abstractNum>
  <w:abstractNum w:abstractNumId="42">
    <w:nsid w:val="7644A45C"/>
    <w:multiLevelType w:val="hybridMultilevel"/>
    <w:lvl w:ilvl="0">
      <w:lvlJc w:val="left"/>
      <w:lvlText w:val="%1."/>
      <w:numFmt w:val="decimal"/>
      <w:start w:val="3"/>
    </w:lvl>
    <w:lvl w:ilvl="1">
      <w:lvlJc w:val="left"/>
      <w:lvlText w:val="%2"/>
      <w:numFmt w:val="lowerLetter"/>
      <w:start w:val="1"/>
    </w:lvl>
  </w:abstractNum>
  <w:abstractNum w:abstractNumId="43">
    <w:nsid w:val="32FFF902"/>
    <w:multiLevelType w:val="hybridMultilevel"/>
    <w:lvl w:ilvl="0">
      <w:lvlJc w:val="left"/>
      <w:lvlText w:val="%1."/>
      <w:numFmt w:val="decimal"/>
      <w:start w:val="4"/>
    </w:lvl>
  </w:abstractNum>
  <w:abstractNum w:abstractNumId="44">
    <w:nsid w:val="684A481A"/>
    <w:multiLevelType w:val="hybridMultilevel"/>
    <w:lvl w:ilvl="0">
      <w:lvlJc w:val="left"/>
      <w:lvlText w:val="%1."/>
      <w:numFmt w:val="decimal"/>
      <w:start w:val="5"/>
    </w:lvl>
  </w:abstractNum>
  <w:abstractNum w:abstractNumId="45">
    <w:nsid w:val="579478FE"/>
    <w:multiLevelType w:val="hybridMultilevel"/>
    <w:lvl w:ilvl="0">
      <w:lvlJc w:val="left"/>
      <w:lvlText w:val="%1."/>
      <w:numFmt w:val="decimal"/>
      <w:start w:val="6"/>
    </w:lvl>
  </w:abstractNum>
  <w:abstractNum w:abstractNumId="46">
    <w:nsid w:val="749ABB43"/>
    <w:multiLevelType w:val="hybridMultilevel"/>
    <w:lvl w:ilvl="0">
      <w:lvlJc w:val="left"/>
      <w:lvlText w:val="%1."/>
      <w:numFmt w:val="decimal"/>
      <w:start w:val="7"/>
    </w:lvl>
  </w:abstractNum>
  <w:abstractNum w:abstractNumId="47">
    <w:nsid w:val="3DC240FB"/>
    <w:multiLevelType w:val="hybridMultilevel"/>
    <w:lvl w:ilvl="0">
      <w:lvlJc w:val="left"/>
      <w:lvlText w:val="%1."/>
      <w:numFmt w:val="decimal"/>
      <w:start w:val="8"/>
    </w:lvl>
  </w:abstractNum>
  <w:abstractNum w:abstractNumId="48">
    <w:nsid w:val="1BA026FA"/>
    <w:multiLevelType w:val="hybridMultilevel"/>
    <w:lvl w:ilvl="0">
      <w:lvlJc w:val="left"/>
      <w:lvlText w:val="%1."/>
      <w:numFmt w:val="decimal"/>
      <w:start w:val="9"/>
    </w:lvl>
  </w:abstractNum>
  <w:abstractNum w:abstractNumId="49">
    <w:nsid w:val="79A1DEAA"/>
    <w:multiLevelType w:val="hybridMultilevel"/>
    <w:lvl w:ilvl="0">
      <w:lvlJc w:val="left"/>
      <w:lvlText w:val="(%1)"/>
      <w:numFmt w:val="lowerRoman"/>
      <w:start w:val="2"/>
    </w:lvl>
  </w:abstractNum>
  <w:abstractNum w:abstractNumId="50">
    <w:nsid w:val="75C6C33A"/>
    <w:multiLevelType w:val="hybridMultilevel"/>
    <w:lvl w:ilvl="0">
      <w:lvlJc w:val="left"/>
      <w:lvlText w:val="%1."/>
      <w:numFmt w:val="decimal"/>
      <w:start w:val="10"/>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96" Type="http://schemas.openxmlformats.org/officeDocument/2006/relationships/hyperlink" Target="http://www.sec.gov/Archives/edgar/data/1535527/000110465919035685/a19-11597_1ex3d1.htm" TargetMode="External"/><Relationship Id="rId97" Type="http://schemas.openxmlformats.org/officeDocument/2006/relationships/hyperlink" Target="http://www.sec.gov/Archives/edgar/data/1535527/000110465919035685/a19-11597_1ex3d2.htm" TargetMode="External"/><Relationship Id="rId98"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2022-11-30T05:27:02Z</dcterms:created>
  <dcterms:modified xsi:type="dcterms:W3CDTF">2022-11-30T05:27:02Z</dcterms:modified>
</cp:coreProperties>
</file>