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78"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2025</w:t>
      </w:r>
    </w:p>
    <w:p>
      <w:pPr>
        <w:spacing w:after="0" w:line="1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0" w:lineRule="exact"/>
        <w:rPr>
          <w:sz w:val="24"/>
          <w:szCs w:val="24"/>
          <w:color w:val="auto"/>
        </w:rPr>
      </w:pPr>
    </w:p>
    <w:p>
      <w:pPr>
        <w:ind w:left="360" w:hanging="26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001-38933</w:t>
      </w:r>
    </w:p>
    <w:p>
      <w:pPr>
        <w:spacing w:after="0" w:line="30"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CROWDSTRIKE HOLDINGS, INC.</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35"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680" w:type="dxa"/>
            <w:vAlign w:val="bottom"/>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22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45-3788918</w:t>
            </w:r>
          </w:p>
        </w:tc>
      </w:tr>
      <w:tr>
        <w:trPr>
          <w:trHeight w:val="168"/>
        </w:trPr>
        <w:tc>
          <w:tcPr>
            <w:tcW w:w="4680" w:type="dxa"/>
            <w:vAlign w:val="bottom"/>
          </w:tcPr>
          <w:p>
            <w:pPr>
              <w:jc w:val="center"/>
              <w:ind w:right="271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220" w:type="dxa"/>
            <w:vAlign w:val="bottom"/>
          </w:tcPr>
          <w:p>
            <w:pPr>
              <w:jc w:val="center"/>
              <w:ind w:left="259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680" w:type="dxa"/>
            <w:vAlign w:val="bottom"/>
          </w:tcPr>
          <w:p>
            <w:pPr>
              <w:jc w:val="center"/>
              <w:ind w:right="26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22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rPr>
              <w:t>Identification Number)</w:t>
            </w:r>
          </w:p>
        </w:tc>
      </w:tr>
    </w:tbl>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206 E. 9th Street, Suite 1400, Austin, Texas 78701</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512-8906</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4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Trading symbol(s)</w:t>
            </w:r>
          </w:p>
        </w:tc>
        <w:tc>
          <w:tcPr>
            <w:tcW w:w="376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30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r>
      <w:tr>
        <w:trPr>
          <w:trHeight w:val="204"/>
        </w:trPr>
        <w:tc>
          <w:tcPr>
            <w:tcW w:w="37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$0.0005 per share</w:t>
            </w:r>
          </w:p>
        </w:tc>
        <w:tc>
          <w:tcPr>
            <w:tcW w:w="1260" w:type="dxa"/>
            <w:vAlign w:val="bottom"/>
          </w:tcPr>
          <w:p>
            <w:pPr>
              <w:spacing w:after="0"/>
              <w:rPr>
                <w:sz w:val="17"/>
                <w:szCs w:val="17"/>
                <w:color w:val="auto"/>
              </w:rPr>
            </w:pPr>
          </w:p>
        </w:tc>
        <w:tc>
          <w:tcPr>
            <w:tcW w:w="2480" w:type="dxa"/>
            <w:vAlign w:val="bottom"/>
            <w:tcBorders>
              <w:right w:val="single" w:sz="8" w:color="auto"/>
            </w:tcBorders>
            <w:gridSpan w:val="2"/>
          </w:tcPr>
          <w:p>
            <w:pPr>
              <w:jc w:val="center"/>
              <w:ind w:right="1280"/>
              <w:spacing w:after="0"/>
              <w:rPr>
                <w:sz w:val="20"/>
                <w:szCs w:val="20"/>
                <w:color w:val="auto"/>
              </w:rPr>
            </w:pPr>
            <w:r>
              <w:rPr>
                <w:rFonts w:ascii="Times New Roman" w:cs="Times New Roman" w:eastAsia="Times New Roman" w:hAnsi="Times New Roman"/>
                <w:sz w:val="16"/>
                <w:szCs w:val="16"/>
                <w:color w:val="auto"/>
                <w:w w:val="99"/>
              </w:rPr>
              <w:t>CRWD</w:t>
            </w:r>
          </w:p>
        </w:tc>
        <w:tc>
          <w:tcPr>
            <w:tcW w:w="440" w:type="dxa"/>
            <w:vAlign w:val="bottom"/>
          </w:tcPr>
          <w:p>
            <w:pPr>
              <w:spacing w:after="0"/>
              <w:rPr>
                <w:sz w:val="17"/>
                <w:szCs w:val="17"/>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43"/>
        </w:trPr>
        <w:tc>
          <w:tcPr>
            <w:tcW w:w="130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47"/>
        </w:trPr>
        <w:tc>
          <w:tcPr>
            <w:tcW w:w="1300" w:type="dxa"/>
            <w:vAlign w:val="bottom"/>
            <w:tcBorders>
              <w:left w:val="single" w:sz="8" w:color="auto"/>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r>
    </w:tbl>
    <w:p>
      <w:pPr>
        <w:spacing w:after="0" w:line="364" w:lineRule="exact"/>
        <w:rPr>
          <w:sz w:val="24"/>
          <w:szCs w:val="24"/>
          <w:color w:val="auto"/>
        </w:rPr>
      </w:pPr>
    </w:p>
    <w:p>
      <w:pPr>
        <w:jc w:val="both"/>
        <w:ind w:right="300" w:firstLine="64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ind w:right="80" w:firstLine="648"/>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20" w:firstLine="648"/>
        <w:spacing w:after="0" w:line="267"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large 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smaller reporting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emerging growth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in Rule 12b-2 of the Exchange Act.</w:t>
      </w:r>
    </w:p>
    <w:p>
      <w:pPr>
        <w:spacing w:after="0" w:line="2" w:lineRule="exact"/>
        <w:rPr>
          <w:sz w:val="24"/>
          <w:szCs w:val="24"/>
          <w:color w:val="auto"/>
        </w:rPr>
      </w:pPr>
    </w:p>
    <w:tbl>
      <w:tblPr>
        <w:tblLayout w:type="fixed"/>
        <w:tblInd w:w="1880" w:type="dxa"/>
        <w:tblCellMar>
          <w:top w:w="0" w:type="dxa"/>
          <w:left w:w="0" w:type="dxa"/>
          <w:bottom w:w="0" w:type="dxa"/>
          <w:right w:w="0" w:type="dxa"/>
        </w:tblCellMar>
      </w:tblPr>
      <w:tr>
        <w:trPr>
          <w:trHeight w:val="231"/>
        </w:trPr>
        <w:tc>
          <w:tcPr>
            <w:tcW w:w="2460" w:type="dxa"/>
            <w:vAlign w:val="bottom"/>
          </w:tcPr>
          <w:p>
            <w:pPr>
              <w:jc w:val="center"/>
              <w:ind w:right="85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460" w:type="dxa"/>
            <w:vAlign w:val="bottom"/>
          </w:tcPr>
          <w:p>
            <w:pPr>
              <w:jc w:val="center"/>
              <w:ind w:right="859"/>
              <w:spacing w:after="0"/>
              <w:rPr>
                <w:sz w:val="20"/>
                <w:szCs w:val="20"/>
                <w:color w:val="auto"/>
              </w:rPr>
            </w:pPr>
            <w:r>
              <w:rPr>
                <w:rFonts w:ascii="Times New Roman" w:cs="Times New Roman" w:eastAsia="Times New Roman" w:hAnsi="Times New Roman"/>
                <w:sz w:val="16"/>
                <w:szCs w:val="16"/>
                <w:color w:val="auto"/>
              </w:rPr>
              <w:t>Non-accelerated Filer</w:t>
            </w:r>
          </w:p>
        </w:tc>
        <w:tc>
          <w:tcPr>
            <w:tcW w:w="20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right="460" w:firstLine="648"/>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 w:lineRule="exact"/>
        <w:rPr>
          <w:sz w:val="24"/>
          <w:szCs w:val="24"/>
          <w:color w:val="auto"/>
        </w:rPr>
      </w:pPr>
    </w:p>
    <w:p>
      <w:pPr>
        <w:ind w:left="660" w:right="2000"/>
        <w:spacing w:after="0" w:line="27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November 25, 2025, the number of shares of the registrant’s common stock outstanding was 252,098,440.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160" w:type="dxa"/>
            <w:vAlign w:val="bottom"/>
            <w:gridSpan w:val="13"/>
          </w:tcPr>
          <w:p>
            <w:pPr>
              <w:jc w:val="center"/>
              <w:ind w:right="326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440" w:type="dxa"/>
            <w:vAlign w:val="bottom"/>
            <w:gridSpan w:val="2"/>
            <w:shd w:val="clear" w:color="auto" w:fill="CCEEFF"/>
          </w:tcPr>
          <w:p>
            <w:pPr>
              <w:spacing w:after="0"/>
              <w:rPr>
                <w:sz w:val="16"/>
                <w:szCs w:val="16"/>
                <w:color w:val="auto"/>
              </w:rPr>
            </w:pPr>
          </w:p>
        </w:tc>
        <w:tc>
          <w:tcPr>
            <w:tcW w:w="9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October 31, 2025 and January 31, 2025</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October 31, 2025 and October 31,</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0000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2024</w:t>
            </w:r>
          </w:p>
        </w:tc>
        <w:tc>
          <w:tcPr>
            <w:tcW w:w="1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54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80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9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340" w:type="dxa"/>
            <w:vAlign w:val="bottom"/>
            <w:tcBorders>
              <w:top w:val="single" w:sz="8" w:color="0000FF"/>
            </w:tcBorders>
            <w:shd w:val="clear" w:color="auto" w:fill="CCEEFF"/>
          </w:tcPr>
          <w:p>
            <w:pPr>
              <w:spacing w:after="0"/>
              <w:rPr>
                <w:sz w:val="14"/>
                <w:szCs w:val="14"/>
                <w:color w:val="auto"/>
              </w:rPr>
            </w:pPr>
          </w:p>
        </w:tc>
        <w:tc>
          <w:tcPr>
            <w:tcW w:w="11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21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 October 31, 2025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180" w:type="dxa"/>
            <w:vAlign w:val="bottom"/>
            <w:tcBorders>
              <w:top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8"/>
                <w:szCs w:val="18"/>
                <w:color w:val="0000FF"/>
              </w:rPr>
              <w:t>and October 31, 2024</w:t>
            </w: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October 31, 2025 and</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0000FF"/>
              <w:bottom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8"/>
              </w:rPr>
              <w:t>October 31, 2024</w:t>
            </w:r>
          </w:p>
        </w:tc>
        <w:tc>
          <w:tcPr>
            <w:tcW w:w="752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5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9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October 31, 2025 and October 31, 2024</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1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4540" w:type="dxa"/>
            <w:vAlign w:val="bottom"/>
            <w:tcBorders>
              <w:bottom w:val="single" w:sz="8" w:color="CCEEFF"/>
            </w:tcBorders>
            <w:gridSpan w:val="9"/>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4320" w:type="dxa"/>
            <w:vAlign w:val="bottom"/>
            <w:tcBorders>
              <w:bottom w:val="single" w:sz="8" w:color="0000FF"/>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20" w:type="dxa"/>
            <w:vAlign w:val="bottom"/>
            <w:tcBorders>
              <w:bottom w:val="single" w:sz="8" w:color="CCEEFF"/>
            </w:tcBorders>
            <w:gridSpan w:val="11"/>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160" w:type="dxa"/>
            <w:vAlign w:val="bottom"/>
            <w:gridSpan w:val="13"/>
          </w:tcPr>
          <w:p>
            <w:pPr>
              <w:jc w:val="center"/>
              <w:ind w:right="3260"/>
              <w:spacing w:after="0" w:line="189" w:lineRule="exact"/>
              <w:rPr>
                <w:sz w:val="20"/>
                <w:szCs w:val="20"/>
                <w:color w:val="auto"/>
              </w:rPr>
            </w:pPr>
            <w:r>
              <w:rPr>
                <w:rFonts w:ascii="Times New Roman" w:cs="Times New Roman" w:eastAsia="Times New Roman" w:hAnsi="Times New Roman"/>
                <w:sz w:val="18"/>
                <w:szCs w:val="18"/>
                <w:color w:val="0000FF"/>
                <w:w w:val="98"/>
              </w:rPr>
              <w:t>PART II. OTHER INFORMATION</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320" w:type="dxa"/>
            <w:vAlign w:val="bottom"/>
          </w:tcPr>
          <w:p>
            <w:pPr>
              <w:spacing w:after="0"/>
              <w:rPr>
                <w:sz w:val="16"/>
                <w:szCs w:val="16"/>
                <w:color w:val="auto"/>
              </w:rPr>
            </w:pP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Unregistered Shares of Equity Securities and Use of Proceeds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40" w:type="dxa"/>
            <w:vAlign w:val="bottom"/>
            <w:gridSpan w:val="2"/>
            <w:shd w:val="clear" w:color="auto" w:fill="CCEEFF"/>
          </w:tcPr>
          <w:p>
            <w:pPr>
              <w:spacing w:after="0"/>
              <w:rPr>
                <w:sz w:val="20"/>
                <w:szCs w:val="20"/>
                <w:color w:val="auto"/>
              </w:rPr>
            </w:pPr>
          </w:p>
        </w:tc>
        <w:tc>
          <w:tcPr>
            <w:tcW w:w="9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40" w:type="dxa"/>
            <w:vAlign w:val="bottom"/>
            <w:tcBorders>
              <w:top w:val="single" w:sz="8" w:color="CCEEFF"/>
            </w:tcBorders>
            <w:gridSpan w:val="2"/>
          </w:tcPr>
          <w:p>
            <w:pPr>
              <w:spacing w:after="0"/>
              <w:rPr>
                <w:sz w:val="16"/>
                <w:szCs w:val="16"/>
                <w:color w:val="auto"/>
              </w:rPr>
            </w:pPr>
          </w:p>
        </w:tc>
        <w:tc>
          <w:tcPr>
            <w:tcW w:w="232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020" w:type="dxa"/>
            <w:vAlign w:val="bottom"/>
            <w:tcBorders>
              <w:top w:val="single" w:sz="8" w:color="CCEEFF"/>
            </w:tcBorders>
            <w:gridSpan w:val="15"/>
          </w:tcPr>
          <w:p>
            <w:pPr>
              <w:spacing w:after="0"/>
              <w:rPr>
                <w:sz w:val="16"/>
                <w:szCs w:val="16"/>
                <w:color w:val="auto"/>
              </w:rPr>
            </w:pPr>
          </w:p>
        </w:tc>
        <w:tc>
          <w:tcPr>
            <w:tcW w:w="92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5.</w:t>
            </w:r>
          </w:p>
        </w:tc>
        <w:tc>
          <w:tcPr>
            <w:tcW w:w="440" w:type="dxa"/>
            <w:vAlign w:val="bottom"/>
            <w:tcBorders>
              <w:bottom w:val="single" w:sz="8" w:color="CCEEFF"/>
            </w:tcBorders>
            <w:gridSpan w:val="2"/>
            <w:shd w:val="clear" w:color="auto" w:fill="CCEEFF"/>
          </w:tcPr>
          <w:p>
            <w:pPr>
              <w:spacing w:after="0"/>
              <w:rPr>
                <w:sz w:val="20"/>
                <w:szCs w:val="20"/>
                <w:color w:val="auto"/>
              </w:rPr>
            </w:pPr>
          </w:p>
        </w:tc>
        <w:tc>
          <w:tcPr>
            <w:tcW w:w="132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20" w:type="dxa"/>
            <w:vAlign w:val="bottom"/>
            <w:tcBorders>
              <w:bottom w:val="single" w:sz="8" w:color="CCEEFF"/>
            </w:tcBorders>
            <w:gridSpan w:val="19"/>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34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34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9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Securities Act of 1933, as amended (the “Securities Act”), the Securities Exchange Act of 1934, as amended (the “Exchange Act”), and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concerning the following:</w:t>
      </w:r>
    </w:p>
    <w:p>
      <w:pPr>
        <w:spacing w:after="0" w:line="225" w:lineRule="exact"/>
        <w:rPr>
          <w:sz w:val="20"/>
          <w:szCs w:val="20"/>
          <w:color w:val="auto"/>
        </w:rPr>
      </w:pPr>
    </w:p>
    <w:p>
      <w:pPr>
        <w:jc w:val="both"/>
        <w:ind w:left="1140" w:hanging="322"/>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7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cloud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cloud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 including by attracting new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solutions, or enhancements to our existing solutions, and bring them to market in a timely manner;</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 and our ability to effectively manage our growth and associated investments;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beliefs and objectives for future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 including channel partners and technology alliance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 and respond to government investigations and inquiries;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our existing markets and into new markets;</w:t>
      </w:r>
    </w:p>
    <w:p>
      <w:pPr>
        <w:spacing w:after="0" w:line="225"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cash and cash equivalents, cash flow from operations, and our revolving credit facility to meet cash needs for at least the next 12 months;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developments relating to our valuation allowances for our deferred tax assets;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225" w:lineRule="exact"/>
        <w:rPr>
          <w:rFonts w:ascii="Times New Roman" w:cs="Times New Roman" w:eastAsia="Times New Roman" w:hAnsi="Times New Roman"/>
          <w:sz w:val="18"/>
          <w:szCs w:val="18"/>
          <w:color w:val="auto"/>
        </w:rPr>
      </w:pPr>
    </w:p>
    <w:p>
      <w:pPr>
        <w:ind w:left="1140" w:right="360" w:hanging="322"/>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 both in the United States and internationally;</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maintain, and improve our internal control over financial reporting;</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including inflation and instability in the global credit and financial markets;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close and integrate acquisitions to contribute to our growth objectives;</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spacing w:after="0" w:line="225" w:lineRule="exact"/>
        <w:rPr>
          <w:rFonts w:ascii="Times New Roman" w:cs="Times New Roman" w:eastAsia="Times New Roman" w:hAnsi="Times New Roman"/>
          <w:sz w:val="18"/>
          <w:szCs w:val="18"/>
          <w:color w:val="auto"/>
        </w:rPr>
      </w:pPr>
    </w:p>
    <w:p>
      <w:pPr>
        <w:ind w:left="1140" w:right="160" w:hanging="322"/>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July 19 Incident (as defined below), including potential or anticipated developments, our remediation and other efforts in connection with the incident, the outcome of lawsuits, claims and inquiries related to the incident, our customer commitment packages, and the effect on our customer and partner relationships and our business, results of operations and financial condition; and</w:t>
      </w:r>
    </w:p>
    <w:p>
      <w:pPr>
        <w:spacing w:after="0" w:line="17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Plan (as defined below).</w:t>
      </w:r>
    </w:p>
    <w:p>
      <w:pPr>
        <w:spacing w:after="0" w:line="225"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1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spacing w:after="0" w:line="180" w:lineRule="exact"/>
        <w:rPr>
          <w:sz w:val="20"/>
          <w:szCs w:val="20"/>
          <w:color w:val="auto"/>
        </w:rPr>
      </w:pPr>
    </w:p>
    <w:p>
      <w:pPr>
        <w:ind w:left="660" w:right="6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July 19 Incident has had, and is expected to continue to have, an adverse effect on our business, sales, customer and partner relations, reputation,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in recent periods, and if we do not manage our future growth, our business and results of operations will be adversely affected.</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while we have achieved profitability in certain periods, including fiscal 2024, we may not be able to achieve or sustain profitability in the future.</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organizations do not adopt cloud-based SaaS-delivered endpoint security solutions, our ability to grow our business and results of operations may be adversely affected.</w:t>
      </w:r>
    </w:p>
    <w:p>
      <w:pPr>
        <w:spacing w:after="0" w:line="161" w:lineRule="exact"/>
        <w:rPr>
          <w:rFonts w:ascii="Times New Roman" w:cs="Times New Roman" w:eastAsia="Times New Roman" w:hAnsi="Times New Roman"/>
          <w:sz w:val="18"/>
          <w:szCs w:val="18"/>
          <w:color w:val="auto"/>
        </w:rPr>
      </w:pPr>
    </w:p>
    <w:p>
      <w:pPr>
        <w:ind w:left="660" w:right="480" w:hanging="328"/>
        <w:spacing w:after="0" w:line="312"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future results of operations could be harmed.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renew their subscriptions for our products and add additional cloud modules to their subscriptions, our future results of operations could be harmed.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cycles can be long and unpredictable, and our sales efforts require considerable time and expense.</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could lose market share to our competitors, which could adversely affect our business, financial condition, and results of operations.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3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61" w:lineRule="exact"/>
        <w:rPr>
          <w:rFonts w:ascii="Times New Roman" w:cs="Times New Roman" w:eastAsia="Times New Roman" w:hAnsi="Times New Roman"/>
          <w:sz w:val="18"/>
          <w:szCs w:val="18"/>
          <w:color w:val="auto"/>
        </w:rPr>
      </w:pPr>
    </w:p>
    <w:p>
      <w:pPr>
        <w:ind w:left="660" w:right="5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key technical, sales and management personnel to grow our business, and the loss of one or more key employees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qualified personnel, our business could be harmed.</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fluctuate significantly, which could make our future results difficult to predict and could cause our results of operations to fall below expectations.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CrowdStrike and Falcon brands and our reputation as a provider of high-efficacy security solutions, our business and results of operations may be adversely affected.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7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may in the future become, involved in litigation that may adversely affect us.</w:t>
      </w:r>
    </w:p>
    <w:p>
      <w:pPr>
        <w:spacing w:after="0" w:line="22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75" w:lineRule="exact"/>
        <w:rPr>
          <w:rFonts w:ascii="Times New Roman" w:cs="Times New Roman" w:eastAsia="Times New Roman" w:hAnsi="Times New Roman"/>
          <w:sz w:val="18"/>
          <w:szCs w:val="18"/>
          <w:color w:val="auto"/>
        </w:rPr>
      </w:pPr>
    </w:p>
    <w:p>
      <w:pPr>
        <w:jc w:val="both"/>
        <w:ind w:left="660" w:righ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240" w:type="dxa"/>
            <w:vAlign w:val="bottom"/>
          </w:tcPr>
          <w:p>
            <w:pPr>
              <w:spacing w:after="0"/>
              <w:rPr>
                <w:sz w:val="18"/>
                <w:szCs w:val="18"/>
                <w:color w:val="auto"/>
              </w:rPr>
            </w:pPr>
          </w:p>
        </w:tc>
        <w:tc>
          <w:tcPr>
            <w:tcW w:w="12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0" w:type="dxa"/>
            <w:vAlign w:val="bottom"/>
          </w:tcPr>
          <w:p>
            <w:pPr>
              <w:spacing w:after="0"/>
              <w:rPr>
                <w:sz w:val="1"/>
                <w:szCs w:val="1"/>
                <w:color w:val="auto"/>
              </w:rPr>
            </w:pPr>
          </w:p>
        </w:tc>
      </w:tr>
      <w:tr>
        <w:trPr>
          <w:trHeight w:val="219"/>
        </w:trPr>
        <w:tc>
          <w:tcPr>
            <w:tcW w:w="8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8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4,801,083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4,323,295</w:t>
            </w:r>
          </w:p>
        </w:tc>
        <w:tc>
          <w:tcPr>
            <w:tcW w:w="0" w:type="dxa"/>
            <w:vAlign w:val="bottom"/>
          </w:tcPr>
          <w:p>
            <w:pPr>
              <w:spacing w:after="0"/>
              <w:rPr>
                <w:sz w:val="1"/>
                <w:szCs w:val="1"/>
                <w:color w:val="auto"/>
              </w:rPr>
            </w:pPr>
          </w:p>
        </w:tc>
      </w:tr>
      <w:tr>
        <w:trPr>
          <w:trHeight w:val="135"/>
        </w:trPr>
        <w:tc>
          <w:tcPr>
            <w:tcW w:w="81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$2.7 million and $2.8 million as of October 31, 2025 and January 31, 2025,</w:t>
            </w:r>
          </w:p>
        </w:tc>
        <w:tc>
          <w:tcPr>
            <w:tcW w:w="2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1,013,116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1,128,564</w:t>
            </w:r>
          </w:p>
        </w:tc>
        <w:tc>
          <w:tcPr>
            <w:tcW w:w="0" w:type="dxa"/>
            <w:vAlign w:val="bottom"/>
          </w:tcPr>
          <w:p>
            <w:pPr>
              <w:spacing w:after="0"/>
              <w:rPr>
                <w:sz w:val="1"/>
                <w:szCs w:val="1"/>
                <w:color w:val="auto"/>
              </w:rPr>
            </w:pPr>
          </w:p>
        </w:tc>
      </w:tr>
      <w:tr>
        <w:trPr>
          <w:trHeight w:val="200"/>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347,042</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306,375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314,444</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6,519,282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6,113,345</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Strategic investments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788,640</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500,908</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1,352,927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912,805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133,114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316,858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137,459</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9,965,347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8,701,578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131,596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130,887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191,349</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319,243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13,811</w:t>
            </w: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2,851,488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2,733,005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53,220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72,755</w:t>
            </w:r>
          </w:p>
        </w:tc>
        <w:tc>
          <w:tcPr>
            <w:tcW w:w="0" w:type="dxa"/>
            <w:vAlign w:val="bottom"/>
          </w:tcPr>
          <w:p>
            <w:pPr>
              <w:spacing w:after="0"/>
              <w:rPr>
                <w:sz w:val="1"/>
                <w:szCs w:val="1"/>
                <w:color w:val="auto"/>
              </w:rPr>
            </w:pPr>
          </w:p>
        </w:tc>
      </w:tr>
      <w:tr>
        <w:trPr>
          <w:trHeight w:val="209"/>
        </w:trPr>
        <w:tc>
          <w:tcPr>
            <w:tcW w:w="8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3,599,895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3,461,050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745,099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743,983</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1,211,762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995,672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31,107</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292,556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150,849</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5,906,330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5,382,661</w:t>
            </w:r>
          </w:p>
        </w:tc>
        <w:tc>
          <w:tcPr>
            <w:tcW w:w="0" w:type="dxa"/>
            <w:vAlign w:val="bottom"/>
          </w:tcPr>
          <w:p>
            <w:pPr>
              <w:spacing w:after="0"/>
              <w:rPr>
                <w:sz w:val="1"/>
                <w:szCs w:val="1"/>
                <w:color w:val="auto"/>
              </w:rPr>
            </w:pPr>
          </w:p>
        </w:tc>
      </w:tr>
      <w:tr>
        <w:trPr>
          <w:trHeight w:val="17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1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Preferred stock, $0.0005 par value; 100,000 shares authorized as of October 31, 2025 and January 31, 2025; no shares issued and</w:t>
            </w:r>
          </w:p>
        </w:tc>
        <w:tc>
          <w:tcPr>
            <w:tcW w:w="24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as of October 31, 2025 and January 31, 2025.</w:t>
            </w:r>
          </w:p>
        </w:tc>
        <w:tc>
          <w:tcPr>
            <w:tcW w:w="24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81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Class A common stock, $0.0005 par value; 2,000,000 shares authorized as of October 31, 2025 and January 31, 2025; 252,078 shares and</w:t>
            </w: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1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247,872 shares issued and outstanding as of October 31, 2025 and January 31, 2025, respectively; Class B common stock, $0.0005 par</w:t>
            </w: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value; 92,364 shares authorized as of October 31, 2025 and January 31, 2025; 0 shares issued and outstanding as of October 31, 2025 and</w:t>
            </w:r>
          </w:p>
        </w:tc>
        <w:tc>
          <w:tcPr>
            <w:tcW w:w="2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31, 2025.</w:t>
            </w: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5,314,820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4,367,070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(1,299,986)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(1,078,107)</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(9,593)</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CrowdStrike Holdings, Inc. stockholders’ equity</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4,016,497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3,279,494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39,423</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4,059,017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3,318,917</w:t>
            </w:r>
          </w:p>
        </w:tc>
        <w:tc>
          <w:tcPr>
            <w:tcW w:w="0" w:type="dxa"/>
            <w:vAlign w:val="bottom"/>
          </w:tcPr>
          <w:p>
            <w:pPr>
              <w:spacing w:after="0"/>
              <w:rPr>
                <w:sz w:val="1"/>
                <w:szCs w:val="1"/>
                <w:color w:val="auto"/>
              </w:rPr>
            </w:pPr>
          </w:p>
        </w:tc>
      </w:tr>
      <w:tr>
        <w:trPr>
          <w:trHeight w:val="212"/>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9,965,347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8,701,578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5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2840" w:type="dxa"/>
            <w:vAlign w:val="bottom"/>
            <w:gridSpan w:val="4"/>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r>
      <w:tr>
        <w:trPr>
          <w:trHeight w:val="211"/>
        </w:trPr>
        <w:tc>
          <w:tcPr>
            <w:tcW w:w="47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1,168,705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962,735</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3,322,418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2,753,164</w:t>
            </w: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141,922</w:t>
            </w:r>
          </w:p>
        </w:tc>
      </w:tr>
      <w:tr>
        <w:trPr>
          <w:trHeight w:val="223"/>
        </w:trPr>
        <w:tc>
          <w:tcPr>
            <w:tcW w:w="4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1,234,244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1,010,178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3,506,630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2,895,086</w:t>
            </w:r>
          </w:p>
        </w:tc>
      </w:tr>
      <w:tr>
        <w:trPr>
          <w:trHeight w:val="183"/>
        </w:trPr>
        <w:tc>
          <w:tcPr>
            <w:tcW w:w="4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605,868</w:t>
            </w:r>
          </w:p>
        </w:tc>
      </w:tr>
      <w:tr>
        <w:trPr>
          <w:trHeight w:val="230"/>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111,623</w:t>
            </w:r>
          </w:p>
        </w:tc>
      </w:tr>
      <w:tr>
        <w:trPr>
          <w:trHeight w:val="223"/>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717,491</w:t>
            </w:r>
          </w:p>
        </w:tc>
      </w:tr>
      <w:tr>
        <w:trPr>
          <w:trHeight w:val="183"/>
        </w:trPr>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2,599,399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2,177,595</w:t>
            </w:r>
          </w:p>
        </w:tc>
      </w:tr>
      <w:tr>
        <w:trPr>
          <w:trHeight w:val="203"/>
        </w:trPr>
        <w:tc>
          <w:tcPr>
            <w:tcW w:w="4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1,113,852</w:t>
            </w: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761,759</w:t>
            </w:r>
          </w:p>
        </w:tc>
      </w:tr>
      <w:tr>
        <w:trPr>
          <w:trHeight w:val="229"/>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126,945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510,443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337,113</w:t>
            </w:r>
          </w:p>
        </w:tc>
      </w:tr>
      <w:tr>
        <w:trPr>
          <w:trHeight w:val="223"/>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810,814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2,906,477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2,212,724</w:t>
            </w:r>
          </w:p>
        </w:tc>
      </w:tr>
      <w:tr>
        <w:trPr>
          <w:trHeight w:val="183"/>
        </w:trPr>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w:t>
            </w: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(19,647)</w:t>
            </w: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149,577</w:t>
            </w:r>
          </w:p>
        </w:tc>
      </w:tr>
      <w:tr>
        <w:trPr>
          <w:trHeight w:val="229"/>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w:t>
            </w:r>
          </w:p>
        </w:tc>
      </w:tr>
      <w:tr>
        <w:trPr>
          <w:trHeight w:val="183"/>
        </w:trPr>
        <w:tc>
          <w:tcPr>
            <w:tcW w:w="4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100,997</w:t>
            </w:r>
          </w:p>
        </w:tc>
      </w:tr>
      <w:tr>
        <w:trPr>
          <w:trHeight w:val="203"/>
        </w:trPr>
        <w:tc>
          <w:tcPr>
            <w:tcW w:w="4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24,862</w:t>
            </w:r>
          </w:p>
        </w:tc>
      </w:tr>
      <w:tr>
        <w:trPr>
          <w:trHeight w:val="183"/>
        </w:trPr>
        <w:tc>
          <w:tcPr>
            <w:tcW w:w="4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76,135</w:t>
            </w: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73,011</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4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75"/>
        </w:trPr>
        <w:tc>
          <w:tcPr>
            <w:tcW w:w="4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Net income (loss) per share attributable to CrowdStrike common</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9"/>
        </w:trPr>
        <w:tc>
          <w:tcPr>
            <w:tcW w:w="4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7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0.29</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9"/>
        </w:trPr>
        <w:tc>
          <w:tcPr>
            <w:tcW w:w="4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76"/>
        </w:trPr>
        <w:tc>
          <w:tcPr>
            <w:tcW w:w="4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 attributable to CrowdStrike common stockholders: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9"/>
        </w:trPr>
        <w:tc>
          <w:tcPr>
            <w:tcW w:w="4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249,905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244,017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7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251,326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245,536</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249,905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250,747</w:t>
            </w: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60" w:type="dxa"/>
            <w:vAlign w:val="bottom"/>
          </w:tcPr>
          <w:p>
            <w:pPr>
              <w:spacing w:after="0"/>
              <w:rPr>
                <w:sz w:val="18"/>
                <w:szCs w:val="18"/>
                <w:color w:val="auto"/>
              </w:rPr>
            </w:pPr>
          </w:p>
        </w:tc>
        <w:tc>
          <w:tcPr>
            <w:tcW w:w="2840" w:type="dxa"/>
            <w:vAlign w:val="bottom"/>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r>
      <w:tr>
        <w:trPr>
          <w:trHeight w:val="211"/>
        </w:trPr>
        <w:tc>
          <w:tcPr>
            <w:tcW w:w="49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76,135</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175"/>
        </w:trPr>
        <w:tc>
          <w:tcPr>
            <w:tcW w:w="49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(loss) on cash equivalents and short-term</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investments, net of tax</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156"/>
        </w:trPr>
        <w:tc>
          <w:tcPr>
            <w:tcW w:w="494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43"/>
        </w:trPr>
        <w:tc>
          <w:tcPr>
            <w:tcW w:w="4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48"/>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 attributable to CrowdStrike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72,648</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Three Months Ended October 31, 2025 and 2024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4"/>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July 31,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250,827</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5,016,544</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(1,265,989)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38,011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3,794,691</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restricted stock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1,534</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279,260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279,260</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14,814</w:t>
            </w: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Fair value of replacement equity awards attributable to pre-</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2,302</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service</w:t>
            </w: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(33,997)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(33,988)</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0" w:type="dxa"/>
            <w:vAlign w:val="bottom"/>
          </w:tcPr>
          <w:p>
            <w:pPr>
              <w:spacing w:after="0"/>
              <w:rPr>
                <w:sz w:val="1"/>
                <w:szCs w:val="1"/>
                <w:color w:val="auto"/>
              </w:rPr>
            </w:pPr>
          </w:p>
        </w:tc>
      </w:tr>
      <w:tr>
        <w:trPr>
          <w:trHeight w:val="183"/>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(4,463)</w:t>
            </w:r>
          </w:p>
        </w:tc>
        <w:tc>
          <w:tcPr>
            <w:tcW w:w="0" w:type="dxa"/>
            <w:vAlign w:val="bottom"/>
          </w:tcPr>
          <w:p>
            <w:pPr>
              <w:spacing w:after="0"/>
              <w:rPr>
                <w:sz w:val="1"/>
                <w:szCs w:val="1"/>
                <w:color w:val="auto"/>
              </w:rPr>
            </w:pPr>
          </w:p>
        </w:tc>
      </w:tr>
      <w:tr>
        <w:trPr>
          <w:trHeight w:val="214"/>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October 31,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252,078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5,314,820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(1,299,986)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4,059,017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500" w:type="dxa"/>
            <w:vAlign w:val="bottom"/>
          </w:tcPr>
          <w:p>
            <w:pPr>
              <w:spacing w:after="0"/>
              <w:rPr>
                <w:sz w:val="24"/>
                <w:szCs w:val="2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4"/>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6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July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245,122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3,824,897</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(969,003)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37,675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2,890,590</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206,489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206,489</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12,456</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(16,819)</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October 31,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246,309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4,045,660</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(985,825)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37,678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3,095,611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Nine Months Ended October 31, 2025 and 2024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5"/>
                <w:szCs w:val="5"/>
                <w:color w:val="auto"/>
              </w:rPr>
            </w:pPr>
          </w:p>
        </w:tc>
        <w:tc>
          <w:tcPr>
            <w:tcW w:w="1180" w:type="dxa"/>
            <w:vAlign w:val="bottom"/>
            <w:gridSpan w:val="2"/>
          </w:tcPr>
          <w:p>
            <w:pPr>
              <w:jc w:val="center"/>
              <w:ind w:right="22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January 31,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247,872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4,367,070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(1,078,107)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39,423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3,318,917</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74,622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74,622</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restricted stock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7,670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7,670</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817,015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817,015</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43,245</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Fair value of replacement equity awards attributable to pre-</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2,302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2,302</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service</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(221,879)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(222,626)</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3,844</w:t>
            </w:r>
          </w:p>
        </w:tc>
        <w:tc>
          <w:tcPr>
            <w:tcW w:w="0" w:type="dxa"/>
            <w:vAlign w:val="bottom"/>
          </w:tcPr>
          <w:p>
            <w:pPr>
              <w:spacing w:after="0"/>
              <w:rPr>
                <w:sz w:val="1"/>
                <w:szCs w:val="1"/>
                <w:color w:val="auto"/>
              </w:rPr>
            </w:pPr>
          </w:p>
        </w:tc>
      </w:tr>
      <w:tr>
        <w:trPr>
          <w:trHeight w:val="19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11,130</w:t>
            </w:r>
          </w:p>
        </w:tc>
        <w:tc>
          <w:tcPr>
            <w:tcW w:w="0" w:type="dxa"/>
            <w:vAlign w:val="bottom"/>
          </w:tcPr>
          <w:p>
            <w:pPr>
              <w:spacing w:after="0"/>
              <w:rPr>
                <w:sz w:val="1"/>
                <w:szCs w:val="1"/>
                <w:color w:val="auto"/>
              </w:rPr>
            </w:pPr>
          </w:p>
        </w:tc>
      </w:tr>
      <w:tr>
        <w:trPr>
          <w:trHeight w:val="18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October 31,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252,078</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5,314,820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(1,299,986)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42,520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4,059,017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500" w:type="dxa"/>
            <w:vAlign w:val="bottom"/>
          </w:tcPr>
          <w:p>
            <w:pPr>
              <w:spacing w:after="0"/>
              <w:rPr>
                <w:sz w:val="24"/>
                <w:szCs w:val="24"/>
                <w:color w:val="auto"/>
              </w:rPr>
            </w:pPr>
          </w:p>
        </w:tc>
        <w:tc>
          <w:tcPr>
            <w:tcW w:w="212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61"/>
        </w:trPr>
        <w:tc>
          <w:tcPr>
            <w:tcW w:w="35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3"/>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Additional Paid-</w:t>
            </w:r>
          </w:p>
        </w:tc>
        <w:tc>
          <w:tcPr>
            <w:tcW w:w="120" w:type="dxa"/>
            <w:vAlign w:val="bottom"/>
          </w:tcPr>
          <w:p>
            <w:pPr>
              <w:spacing w:after="0"/>
              <w:rPr>
                <w:sz w:val="5"/>
                <w:szCs w:val="5"/>
                <w:color w:val="auto"/>
              </w:rPr>
            </w:pPr>
          </w:p>
        </w:tc>
        <w:tc>
          <w:tcPr>
            <w:tcW w:w="102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300" w:type="dxa"/>
            <w:vAlign w:val="bottom"/>
            <w:gridSpan w:val="3"/>
          </w:tcPr>
          <w:p>
            <w:pPr>
              <w:jc w:val="center"/>
              <w:ind w:right="120"/>
              <w:spacing w:after="0" w:line="61" w:lineRule="exact"/>
              <w:rPr>
                <w:sz w:val="20"/>
                <w:szCs w:val="20"/>
                <w:color w:val="auto"/>
              </w:rPr>
            </w:pPr>
            <w:r>
              <w:rPr>
                <w:rFonts w:ascii="Times New Roman" w:cs="Times New Roman" w:eastAsia="Times New Roman" w:hAnsi="Times New Roman"/>
                <w:sz w:val="7"/>
                <w:szCs w:val="7"/>
                <w:b w:val="1"/>
                <w:bCs w:val="1"/>
                <w:color w:val="auto"/>
              </w:rPr>
              <w:t>Accumulated Other</w:t>
            </w:r>
          </w:p>
        </w:tc>
        <w:tc>
          <w:tcPr>
            <w:tcW w:w="1040" w:type="dxa"/>
            <w:vAlign w:val="bottom"/>
            <w:gridSpan w:val="3"/>
          </w:tcPr>
          <w:p>
            <w:pPr>
              <w:jc w:val="center"/>
              <w:ind w:right="10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960" w:type="dxa"/>
            <w:vAlign w:val="bottom"/>
          </w:tcPr>
          <w:p>
            <w:pPr>
              <w:jc w:val="center"/>
              <w:ind w:right="55"/>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January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241,865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3,364,328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(1,058,836)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33,139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2,337,089</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3,308</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RSU and PSU release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56,099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56,099</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Issuance of common stock for founders holdbacks related to</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2,667</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5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common stock for payment of board of director</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0" w:type="dxa"/>
            <w:vAlign w:val="bottom"/>
          </w:tcPr>
          <w:p>
            <w:pPr>
              <w:spacing w:after="0"/>
              <w:rPr>
                <w:sz w:val="1"/>
                <w:szCs w:val="1"/>
                <w:color w:val="auto"/>
              </w:rPr>
            </w:pPr>
          </w:p>
        </w:tc>
      </w:tr>
      <w:tr>
        <w:trPr>
          <w:trHeight w:val="181"/>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founder revest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586,598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586,598</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31,934</w:t>
            </w:r>
          </w:p>
        </w:tc>
        <w:tc>
          <w:tcPr>
            <w:tcW w:w="0" w:type="dxa"/>
            <w:vAlign w:val="bottom"/>
          </w:tcPr>
          <w:p>
            <w:pPr>
              <w:spacing w:after="0"/>
              <w:rPr>
                <w:sz w:val="1"/>
                <w:szCs w:val="1"/>
                <w:color w:val="auto"/>
              </w:rPr>
            </w:pPr>
          </w:p>
        </w:tc>
      </w:tr>
      <w:tr>
        <w:trPr>
          <w:trHeight w:val="143"/>
        </w:trPr>
        <w:tc>
          <w:tcPr>
            <w:tcW w:w="35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Fair value of replacement equity awards attributable to pre-</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0" w:type="dxa"/>
            <w:vAlign w:val="bottom"/>
          </w:tcPr>
          <w:p>
            <w:pPr>
              <w:spacing w:after="0"/>
              <w:rPr>
                <w:sz w:val="1"/>
                <w:szCs w:val="1"/>
                <w:color w:val="auto"/>
              </w:rPr>
            </w:pPr>
          </w:p>
        </w:tc>
      </w:tr>
      <w:tr>
        <w:trPr>
          <w:trHeight w:val="18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service</w:t>
            </w: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76,135</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0" w:type="dxa"/>
            <w:vAlign w:val="bottom"/>
          </w:tcPr>
          <w:p>
            <w:pPr>
              <w:spacing w:after="0"/>
              <w:rPr>
                <w:sz w:val="1"/>
                <w:szCs w:val="1"/>
                <w:color w:val="auto"/>
              </w:rPr>
            </w:pPr>
          </w:p>
        </w:tc>
      </w:tr>
      <w:tr>
        <w:trPr>
          <w:trHeight w:val="183"/>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0" w:type="dxa"/>
            <w:vAlign w:val="bottom"/>
          </w:tcPr>
          <w:p>
            <w:pPr>
              <w:spacing w:after="0"/>
              <w:rPr>
                <w:sz w:val="1"/>
                <w:szCs w:val="1"/>
                <w:color w:val="auto"/>
              </w:rPr>
            </w:pPr>
          </w:p>
        </w:tc>
      </w:tr>
      <w:tr>
        <w:trPr>
          <w:trHeight w:val="214"/>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October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246,309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4,045,660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(985,825)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3,095,611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ind w:left="4060"/>
        <w:spacing w:after="0" w:line="209" w:lineRule="auto"/>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00" w:type="dxa"/>
            <w:vAlign w:val="bottom"/>
          </w:tcPr>
          <w:p>
            <w:pPr>
              <w:spacing w:after="0"/>
              <w:rPr>
                <w:sz w:val="15"/>
                <w:szCs w:val="15"/>
                <w:color w:val="auto"/>
              </w:rPr>
            </w:pPr>
          </w:p>
        </w:tc>
        <w:tc>
          <w:tcPr>
            <w:tcW w:w="2540" w:type="dxa"/>
            <w:vAlign w:val="bottom"/>
            <w:tcBorders>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(222,626)</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76,135</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180,883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137,851</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18,665</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325,434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227,713</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operating lease cost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11,100</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822,728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592,890</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(2,122)</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Realized gains on strategic investments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(6,227)</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interest expense</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2,748</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fair value of strategic investments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Accretion of short-term investments purchased at a discount</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0" w:type="dxa"/>
            <w:vAlign w:val="bottom"/>
          </w:tcPr>
          <w:p>
            <w:pPr>
              <w:spacing w:after="0"/>
              <w:rPr>
                <w:sz w:val="1"/>
                <w:szCs w:val="1"/>
                <w:color w:val="auto"/>
              </w:rPr>
            </w:pPr>
          </w:p>
        </w:tc>
      </w:tr>
      <w:tr>
        <w:trPr>
          <w:trHeight w:val="170"/>
        </w:trPr>
        <w:tc>
          <w:tcPr>
            <w:tcW w:w="8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 net of impact of acquisitions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receivable, net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116,196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39,184</w:t>
            </w:r>
          </w:p>
        </w:tc>
        <w:tc>
          <w:tcPr>
            <w:tcW w:w="0" w:type="dxa"/>
            <w:vAlign w:val="bottom"/>
          </w:tcPr>
          <w:p>
            <w:pPr>
              <w:spacing w:after="0"/>
              <w:rPr>
                <w:sz w:val="1"/>
                <w:szCs w:val="1"/>
                <w:color w:val="auto"/>
              </w:rPr>
            </w:pP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Deferred contract acquisition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(431,660)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(361,412)</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(79,440)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(42,832)</w:t>
            </w:r>
          </w:p>
        </w:tc>
        <w:tc>
          <w:tcPr>
            <w:tcW w:w="0" w:type="dxa"/>
            <w:vAlign w:val="bottom"/>
          </w:tcPr>
          <w:p>
            <w:pPr>
              <w:spacing w:after="0"/>
              <w:rPr>
                <w:sz w:val="1"/>
                <w:szCs w:val="1"/>
                <w:color w:val="auto"/>
              </w:rPr>
            </w:pP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34,096</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85,667</w:t>
            </w:r>
          </w:p>
        </w:tc>
        <w:tc>
          <w:tcPr>
            <w:tcW w:w="0" w:type="dxa"/>
            <w:vAlign w:val="bottom"/>
          </w:tcPr>
          <w:p>
            <w:pPr>
              <w:spacing w:after="0"/>
              <w:rPr>
                <w:sz w:val="1"/>
                <w:szCs w:val="1"/>
                <w:color w:val="auto"/>
              </w:rPr>
            </w:pPr>
          </w:p>
        </w:tc>
      </w:tr>
      <w:tr>
        <w:trPr>
          <w:trHeight w:val="170"/>
        </w:trPr>
        <w:tc>
          <w:tcPr>
            <w:tcW w:w="81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payroll and benefits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32,607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89,896</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(11,812)</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333,675</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142,180</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1,114,480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1,036,005</w:t>
            </w:r>
          </w:p>
        </w:tc>
        <w:tc>
          <w:tcPr>
            <w:tcW w:w="0" w:type="dxa"/>
            <w:vAlign w:val="bottom"/>
          </w:tcPr>
          <w:p>
            <w:pPr>
              <w:spacing w:after="0"/>
              <w:rPr>
                <w:sz w:val="1"/>
                <w:szCs w:val="1"/>
                <w:color w:val="auto"/>
              </w:rPr>
            </w:pP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(199,643)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(167,641)</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internal-use software and website development costs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(51,496)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(41,266)</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strategic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(12,702)</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sales of strategic investments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10,895</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 acquisitions, net of cash and restricted cash acquired</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(380,914)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(96,381)</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maturities and sales of short-term investments</w:t>
            </w:r>
          </w:p>
        </w:tc>
        <w:tc>
          <w:tcPr>
            <w:tcW w:w="9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97,300</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 of deferred compensation investments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Proceeds from sales of deferred compensation investments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(641,503)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(211,569)</w:t>
            </w:r>
          </w:p>
        </w:tc>
        <w:tc>
          <w:tcPr>
            <w:tcW w:w="0" w:type="dxa"/>
            <w:vAlign w:val="bottom"/>
          </w:tcPr>
          <w:p>
            <w:pPr>
              <w:spacing w:after="0"/>
              <w:rPr>
                <w:sz w:val="1"/>
                <w:szCs w:val="1"/>
                <w:color w:val="auto"/>
              </w:rPr>
            </w:pP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common stock upon exercise stock options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3,308</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under the employee stock purchase plan</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74,622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56,099</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 holders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(4,085)</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Capital contributions from non-controlling interest holders</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81,094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60,822</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foreign exchange rates on cash, cash equivalents and restricted cash</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7,317</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561,388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884,617</w:t>
            </w:r>
          </w:p>
        </w:tc>
        <w:tc>
          <w:tcPr>
            <w:tcW w:w="0" w:type="dxa"/>
            <w:vAlign w:val="bottom"/>
          </w:tcPr>
          <w:p>
            <w:pPr>
              <w:spacing w:after="0"/>
              <w:rPr>
                <w:sz w:val="1"/>
                <w:szCs w:val="1"/>
                <w:color w:val="auto"/>
              </w:rPr>
            </w:pPr>
          </w:p>
        </w:tc>
      </w:tr>
      <w:tr>
        <w:trPr>
          <w:trHeight w:val="17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4,324,666</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3,377,597</w:t>
            </w:r>
          </w:p>
        </w:tc>
        <w:tc>
          <w:tcPr>
            <w:tcW w:w="0" w:type="dxa"/>
            <w:vAlign w:val="bottom"/>
          </w:tcPr>
          <w:p>
            <w:pPr>
              <w:spacing w:after="0"/>
              <w:rPr>
                <w:sz w:val="1"/>
                <w:szCs w:val="1"/>
                <w:color w:val="auto"/>
              </w:rPr>
            </w:pPr>
          </w:p>
        </w:tc>
      </w:tr>
      <w:tr>
        <w:trPr>
          <w:trHeight w:val="194"/>
        </w:trPr>
        <w:tc>
          <w:tcPr>
            <w:tcW w:w="81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4,886,054</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4,262,214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the end of period:</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1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4,801,083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4,260,324</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 included in prepaid expenses and other current assets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 included in other long-term assets</w:t>
            </w: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83,960</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cash, cash equivalents and restricted cash shown in the condensed consolidated statements of cash flows</w:t>
            </w:r>
          </w:p>
        </w:tc>
        <w:tc>
          <w:tcPr>
            <w:tcW w:w="9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4,886,054</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4,262,214</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paid</w:t>
            </w: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w:t>
            </w:r>
          </w:p>
        </w:tc>
        <w:tc>
          <w:tcPr>
            <w:tcW w:w="100" w:type="dxa"/>
            <w:vAlign w:val="bottom"/>
          </w:tcPr>
          <w:p>
            <w:pPr>
              <w:spacing w:after="0"/>
              <w:rPr>
                <w:sz w:val="14"/>
                <w:szCs w:val="14"/>
                <w:color w:val="auto"/>
              </w:rPr>
            </w:pP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 paid, net of refunds received</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41,505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14,195</w:t>
            </w:r>
          </w:p>
        </w:tc>
        <w:tc>
          <w:tcPr>
            <w:tcW w:w="0" w:type="dxa"/>
            <w:vAlign w:val="bottom"/>
          </w:tcPr>
          <w:p>
            <w:pPr>
              <w:spacing w:after="0"/>
              <w:rPr>
                <w:sz w:val="1"/>
                <w:szCs w:val="1"/>
                <w:color w:val="auto"/>
              </w:rPr>
            </w:pPr>
          </w:p>
        </w:tc>
      </w:tr>
      <w:tr>
        <w:trPr>
          <w:trHeight w:val="171"/>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in property and equipment included in accounts payable and accrued expenses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22,811</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consideration for acquisitions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liabilities arising from obtaining operating right-of-use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35,351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7,009</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sales of strategic investments not yet received</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4,808</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included in capitalized software development costs and fixed assets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42,493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31,934</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consideration for the purchase of strategic investments</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3,319</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Noncash consideration received from sales of strategic investments</w:t>
            </w:r>
          </w:p>
        </w:tc>
        <w:tc>
          <w:tcPr>
            <w:tcW w:w="9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3,319</w:t>
            </w:r>
          </w:p>
        </w:tc>
        <w:tc>
          <w:tcPr>
            <w:tcW w:w="0" w:type="dxa"/>
            <w:vAlign w:val="bottom"/>
          </w:tcPr>
          <w:p>
            <w:pPr>
              <w:spacing w:after="0"/>
              <w:rPr>
                <w:sz w:val="1"/>
                <w:szCs w:val="1"/>
                <w:color w:val="auto"/>
              </w:rPr>
            </w:pPr>
          </w:p>
        </w:tc>
      </w:tr>
      <w:tr>
        <w:trPr>
          <w:trHeight w:val="170"/>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of common stock issued for consideration transferred</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 held in escrow for purchase consideration for business combinations</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83,000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340" w:right="6540" w:hanging="332"/>
        <w:spacing w:after="0" w:line="503" w:lineRule="auto"/>
        <w:tabs>
          <w:tab w:leader="none" w:pos="196"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Business and Significant Accounting Policies Business</w:t>
      </w: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CrowdStrike Holdings, Inc. (and/or its subsidiaries, as applicable, the “Company”) was formed on November 7, 2011. The Company is a global cybersecurity leader that delivers cybersecurity’s AI-native platform for the XDR era, purpose-built to stop breaches. The Company’s unified platform provides cloud-delivered protection of endpoints, cloud workloads, identity, and data via a software as a service (“SaaS”) subscription-based model that spans multiple large security markets, including corporate endpoint security, security and IT operations, managed security services, next-gen SIEM, cloud security, identity protection, threat intelligence, data protection, exposure management and cybersecurity generative AI. The Company conducts its business in the United States, as well as locations internationally, including in Australia, Canada, Germany, India, Israel, Japan, Romania, Spain, and the United Kingdom.</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2025,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and nine months ended October 31, 2025 are not necessarily indicative of the results to be expected for the year ending January 31, 2026 or for any other interim period or for any other future year.</w:t>
      </w:r>
    </w:p>
    <w:p>
      <w:pPr>
        <w:spacing w:after="0" w:line="18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2025, filed with the SEC on March 10, 2025.</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differences could be material to the Company’s condensed consolidated financial statements.</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in business combinations.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Geographic Information</w:t>
      </w:r>
    </w:p>
    <w:p>
      <w:pPr>
        <w:spacing w:after="0" w:line="229"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00"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accounts receivable, financing receivables, and strategic investments. The Company’s cash is placed with high-credit-quality financial institutions and issuers, and at times exceeds federally insured limits. The Company has not experienced any credit loss relating to its cash, cash equivalents, or strategic investments. The Company performs periodic credit evaluations of its customers and generally does not require collateral.</w:t>
      </w:r>
    </w:p>
    <w:p>
      <w:pPr>
        <w:spacing w:after="0" w:line="18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channel partners or direct customers who represented 10% or more of the Company’s accounts receivable as of October 31, 2025 or January 31, 2025.</w:t>
      </w:r>
    </w:p>
    <w:p>
      <w:pPr>
        <w:spacing w:after="0" w:line="16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channel partners or direct customers who represented 10% or more of the Company’s total revenue for each of the three and nine months ended October 31, 2025 or October 31, 2024.</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As of October 31, 2025, three end users represented 10% or more of the Company’s financing receivables, and in aggregate represented 36% of the Company’s financing receivables. As of January 31, 2025, two end users represented 10% or more of the Company’s financing receivables, and in aggregate represented 78% of the Company’s financing receivables.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10-K for the year ended January 31, 2025. There have been no significant changes to these policies that have had a material impact on the Company’s condensed consolidated financial statements and related notes for the three and nine months ended October 31, 2025 with the exception of the following addition:</w:t>
      </w:r>
    </w:p>
    <w:p>
      <w:pPr>
        <w:spacing w:after="0" w:line="174"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Restricted Cash </w:t>
      </w:r>
      <w:r>
        <w:rPr>
          <w:rFonts w:ascii="Times New Roman" w:cs="Times New Roman" w:eastAsia="Times New Roman" w:hAnsi="Times New Roman"/>
          <w:sz w:val="17"/>
          <w:szCs w:val="17"/>
          <w:color w:val="auto"/>
        </w:rPr>
        <w:t>- The Company records cash that is restricted as to withdrawal or use under the terms of certain contractual agreements as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The Company’s restricted cash primarily relates to indemnity holdback amounts arising from business combinations. Restricted cash is classified as current or noncurrent based on the remaining term of the restriction. The current portion of restricted cash is recorded in prepaid expenses and other current assets in the consolidated balance sheets. The noncurrent portion of restricted cash is recorded in other long-term assets in the consolidated balance sheets.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The standard intends to modernize the recognition and capitalization framework by removing the previous “development stage” model and introducing a more judgment-based approach. This standard can be applied prospectively, using a modified transition method based on the status of the project and whether software costs were capitalized prior to the date of adoption, or retrospectively, and is effective for annual periods beginning after December 15, 2027, and interim periods within those annual reporting periods. Early adoption is permitted as of the beginning of an annual reporting period. The Company is currently evaluating the impact of this guidance on its consolidated financial statements and related disclosures.</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The standard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standard should be applied prospectively, and is effective for annual periods, including interim reporting periods, beginning after December 15, 2025, with early adoption permitted. The Company is currently evaluating the impact of this guidance on its consolidated financial statements and related disclosures.</w:t>
      </w:r>
    </w:p>
    <w:p>
      <w:pPr>
        <w:spacing w:after="0" w:line="187"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with a subsequent clarification of its effective date through ASU 2025-01, Income Statement—Reporting Comprehensive Income—Expense Disaggregation Disclosures (Subtopic 220-40): Clarifying the Effective Date in January 2025, requiring additional disclosure on specific expense categories included in the expense captions presented on the statements of operations. The new standard can be applied either prospectively or retrospectively, and is effective for annual periods beginning after December 15, 2026 and interim reporting periods within annual reporting periods beginning after December 15, 2027. Early adoption is permitted. The Company is currently evaluating the impact of this new guidance on its disclosures within the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a final standard on improvements to income tax disclosures.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The new standard is effective for annual periods beginning after December 15, 2024. The Company will adopt the standard in its fourth quarter of fiscal year 2026 and is assessing the appropriate transition method.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Investments and Fair Value Measurements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follows ASC 820</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with respect to cash equivalents and deferred compensation investments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hierarchy is broken down into three levels as follows:</w:t>
      </w:r>
    </w:p>
    <w:p>
      <w:pPr>
        <w:spacing w:after="0" w:line="225" w:lineRule="exact"/>
        <w:rPr>
          <w:sz w:val="20"/>
          <w:szCs w:val="20"/>
          <w:color w:val="auto"/>
        </w:rPr>
      </w:pPr>
    </w:p>
    <w:p>
      <w:pPr>
        <w:ind w:left="660" w:right="380"/>
        <w:spacing w:after="0" w:line="261" w:lineRule="auto"/>
        <w:rPr>
          <w:sz w:val="20"/>
          <w:szCs w:val="20"/>
          <w:color w:val="auto"/>
        </w:rPr>
      </w:pPr>
      <w:r>
        <w:rPr>
          <w:rFonts w:ascii="Times New Roman" w:cs="Times New Roman" w:eastAsia="Times New Roman" w:hAnsi="Times New Roman"/>
          <w:sz w:val="18"/>
          <w:szCs w:val="18"/>
          <w:color w:val="auto"/>
        </w:rPr>
        <w:t>Level 1 Assets and liabilities whose values are based on unadjusted quoted market prices for identical assets and liabilities in active markets Level 2 Assets and liabilities whose values are based on quoted prices in markets that are not active or inputs that are observable for</w:t>
      </w:r>
    </w:p>
    <w:p>
      <w:pPr>
        <w:ind w:left="1460"/>
        <w:spacing w:after="0"/>
        <w:rPr>
          <w:sz w:val="20"/>
          <w:szCs w:val="20"/>
          <w:color w:val="auto"/>
        </w:rPr>
      </w:pPr>
      <w:r>
        <w:rPr>
          <w:rFonts w:ascii="Times New Roman" w:cs="Times New Roman" w:eastAsia="Times New Roman" w:hAnsi="Times New Roman"/>
          <w:sz w:val="18"/>
          <w:szCs w:val="18"/>
          <w:color w:val="auto"/>
        </w:rPr>
        <w:t>substantially the full term of the asset or liability</w:t>
      </w:r>
    </w:p>
    <w:p>
      <w:pPr>
        <w:spacing w:after="0" w:line="9" w:lineRule="exact"/>
        <w:rPr>
          <w:sz w:val="20"/>
          <w:szCs w:val="20"/>
          <w:color w:val="auto"/>
        </w:rPr>
      </w:pPr>
    </w:p>
    <w:p>
      <w:pPr>
        <w:ind w:left="1380" w:right="620" w:hanging="809"/>
        <w:spacing w:after="0" w:line="260" w:lineRule="auto"/>
        <w:tabs>
          <w:tab w:leader="none" w:pos="1360" w:val="left"/>
        </w:tabs>
        <w:rPr>
          <w:sz w:val="20"/>
          <w:szCs w:val="20"/>
          <w:color w:val="auto"/>
        </w:rPr>
      </w:pPr>
      <w:r>
        <w:rPr>
          <w:rFonts w:ascii="Times New Roman" w:cs="Times New Roman" w:eastAsia="Times New Roman" w:hAnsi="Times New Roman"/>
          <w:sz w:val="18"/>
          <w:szCs w:val="18"/>
          <w:color w:val="auto"/>
        </w:rPr>
        <w:t>Level 3</w:t>
        <w:tab/>
        <w:t>Assets and liabilities whose values are based on prices or valuation techniques that require inputs that are both unobservable and significant to the overall fair value measurement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Categorization within the valuation hierarchy is based upon the lowest level of input that is significant to the fair value measurement.</w:t>
      </w:r>
    </w:p>
    <w:p>
      <w:pPr>
        <w:spacing w:after="0" w:line="225"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its financial assets and liabilities that are measured at fair value on a recurring basis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January 31, 2025</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1"/>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6"/>
        </w:trPr>
        <w:tc>
          <w:tcPr>
            <w:tcW w:w="26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Cash equivalents</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1,470,040</w:t>
            </w:r>
          </w:p>
        </w:tc>
      </w:tr>
      <w:tr>
        <w:trPr>
          <w:trHeight w:val="213"/>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Treasury securities</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2,489,319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2,489,319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2,490,097</w:t>
            </w: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compensation investments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w:t>
            </w:r>
          </w:p>
        </w:tc>
      </w:tr>
      <w:tr>
        <w:trPr>
          <w:trHeight w:val="237"/>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2,489,319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2,949,131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1,475,536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2,490,097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3,965,633</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equivalents exclude $709.1 million of time deposits, which are carried at cost and approximate fair value as of October 31, 2025.</w:t>
      </w:r>
    </w:p>
    <w:p>
      <w:pPr>
        <w:spacing w:after="0" w:line="216"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were no transfers between the levels of the fair value hierarchy during the periods presented.</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2025 and January 31, 2025, the Company’s U.S. Treasury securities were carried at fair value and there were no material realized or unrealized gains or losses, either individually or in aggregate.</w:t>
      </w:r>
    </w:p>
    <w:p>
      <w:pPr>
        <w:spacing w:after="0" w:line="162"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Company’s financing receivables approximates their carrying amounts as of October 31, 2025 and January 31, 2025. The fair value of the Company’s financing receivables is considered to be a Level 3 measurement as unobservable inputs are used in determining discounted cash flows to estimate fair value.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Company’s investments of privately held securities as of October 31, 2025, consisted of the following (in thousands):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Privately held</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Privately held debt</w:t>
            </w:r>
          </w:p>
        </w:tc>
        <w:tc>
          <w:tcPr>
            <w:tcW w:w="360" w:type="dxa"/>
            <w:vAlign w:val="bottom"/>
          </w:tcPr>
          <w:p>
            <w:pPr>
              <w:spacing w:after="0"/>
              <w:rPr>
                <w:sz w:val="24"/>
                <w:szCs w:val="24"/>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securities</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 other securities</w:t>
            </w: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total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79,507</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79,507</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net gains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investments of privately held securities as of January 31, 2025,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Privately held</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Privately held debt</w:t>
            </w:r>
          </w:p>
        </w:tc>
        <w:tc>
          <w:tcPr>
            <w:tcW w:w="360" w:type="dxa"/>
            <w:vAlign w:val="bottom"/>
          </w:tcPr>
          <w:p>
            <w:pPr>
              <w:spacing w:after="0"/>
              <w:rPr>
                <w:sz w:val="17"/>
                <w:szCs w:val="17"/>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 securities</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and other securities</w:t>
            </w: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total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69,140</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net gains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October 31, 2025, the cumulative net gains of $1.8 million are comprised of upward adjustments of $7.3 million, less downward adjustments and impairment of $5.5 million. As of January 31, 2025, the cumulative net gains of $3.4 million are comprised of upward adjustments of $7.3 million, less downward adjustments and impairment of $3.9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Strategic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gains and losses on strategic investments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r>
      <w:tr>
        <w:trPr>
          <w:trHeight w:val="223"/>
        </w:trPr>
        <w:tc>
          <w:tcPr>
            <w:tcW w:w="45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64"/>
        </w:trPr>
        <w:tc>
          <w:tcPr>
            <w:tcW w:w="45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Unrealized losses recognized on privately held equity</w:t>
            </w: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including impairment</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losses, net</w:t>
            </w:r>
          </w:p>
        </w:tc>
        <w:tc>
          <w:tcPr>
            <w:tcW w:w="11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184"/>
        </w:trPr>
        <w:tc>
          <w:tcPr>
            <w:tcW w:w="4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Realized gains recognized on sales of privately held equity</w:t>
            </w: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w:t>
            </w:r>
          </w:p>
        </w:tc>
      </w:tr>
      <w:tr>
        <w:trPr>
          <w:trHeight w:val="184"/>
        </w:trPr>
        <w:tc>
          <w:tcPr>
            <w:tcW w:w="45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Realized losses recognized on sales of privately held equity</w:t>
            </w: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23"/>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Realized gains, net</w:t>
            </w: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48"/>
        </w:trPr>
        <w:tc>
          <w:tcPr>
            <w:tcW w:w="4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on strategic investments, net</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38" w:lineRule="exact"/>
        <w:rPr>
          <w:sz w:val="20"/>
          <w:szCs w:val="20"/>
          <w:color w:val="auto"/>
        </w:rPr>
      </w:pPr>
    </w:p>
    <w:p>
      <w:pPr>
        <w:ind w:left="20" w:right="500"/>
        <w:spacing w:after="0" w:line="250" w:lineRule="auto"/>
        <w:rPr>
          <w:sz w:val="20"/>
          <w:szCs w:val="20"/>
          <w:color w:val="auto"/>
        </w:rPr>
      </w:pPr>
      <w:r>
        <w:rPr>
          <w:rFonts w:ascii="Times New Roman" w:cs="Times New Roman" w:eastAsia="Times New Roman" w:hAnsi="Times New Roman"/>
          <w:sz w:val="18"/>
          <w:szCs w:val="18"/>
          <w:color w:val="auto"/>
        </w:rPr>
        <w:t>Unrealized losses recognized during the reporting period on privately held equity securities still held at the reporting date $</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tabs>
          <w:tab w:leader="none" w:pos="360" w:val="left"/>
          <w:tab w:leader="none" w:pos="1680" w:val="left"/>
          <w:tab w:leader="none" w:pos="2060" w:val="left"/>
          <w:tab w:leader="none" w:pos="3080" w:val="left"/>
          <w:tab w:leader="none" w:pos="5080" w:val="left"/>
        </w:tabs>
        <w:rPr>
          <w:sz w:val="20"/>
          <w:szCs w:val="20"/>
          <w:color w:val="auto"/>
        </w:rPr>
      </w:pP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(1,579)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-247650</wp:posOffset>
            </wp:positionV>
            <wp:extent cx="713232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5160" w:space="720"/>
            <w:col w:w="5360"/>
          </w:cols>
          <w:pgMar w:left="320" w:top="337" w:right="339" w:bottom="1440" w:gutter="0" w:footer="0" w:header="0"/>
          <w:type w:val="continuous"/>
        </w:sectPr>
      </w:pP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Unrealized losses recognized on privately held equity securities was related to downward adjustments and impairment.</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Realized gains and losses recognized on sales of privately held equity securities reflect the difference between the sale proceeds and the carrying value of the security at the beginning of the period or the purchase date, if later.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3. Financing Receivables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Company’s short-term and long-term financing receivables were as follows (in thousands):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72"/>
        </w:trPr>
        <w:tc>
          <w:tcPr>
            <w:tcW w:w="7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2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financing receivables, gross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income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financing receivables,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7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financing receivables, gross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43,235</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income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48"/>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financing receivables,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amortized cost basis of financing receivables categorized by internal risk rating and year of origination was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23"/>
        </w:trPr>
        <w:tc>
          <w:tcPr>
            <w:tcW w:w="4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9"/>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Fiscal Year of Origination</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Fiscal Year of Origination</w:t>
            </w:r>
          </w:p>
        </w:tc>
      </w:tr>
      <w:tr>
        <w:trPr>
          <w:trHeight w:val="223"/>
        </w:trPr>
        <w:tc>
          <w:tcPr>
            <w:tcW w:w="46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Internal Risk Rating</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to 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18,413</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to 6</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27,011</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 to 9</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Amortized cost basis of financing receivables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133,155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44,270</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177,425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45,424</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right="460" w:hanging="332"/>
        <w:spacing w:after="0" w:line="298"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Internal risk ratings are determined based on the end-user’s financial condition and are categorized as 1 through 9, with the lowest rating representing the highest quality. Credit quality indicators are generally updated at least annually, or more frequently to the extent required by economic conditions.</w:t>
      </w:r>
    </w:p>
    <w:p>
      <w:pPr>
        <w:spacing w:after="0" w:line="146"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There was no significant activity in allowance for credit losses during the three and nine months ended October 31, 2025. There were no financing receivables through October 31, 2024. There were no past due amounts on financing receivables as of October 31, 2025. Past due amounts on financing receivables as of January 31, 2025 were immaterial.</w:t>
      </w:r>
    </w:p>
    <w:p>
      <w:pPr>
        <w:spacing w:after="0" w:line="172" w:lineRule="exact"/>
        <w:rPr>
          <w:sz w:val="20"/>
          <w:szCs w:val="20"/>
          <w:color w:val="auto"/>
        </w:rPr>
      </w:pPr>
    </w:p>
    <w:p>
      <w:pPr>
        <w:ind w:left="340" w:right="8720" w:hanging="332"/>
        <w:spacing w:after="0" w:line="532" w:lineRule="auto"/>
        <w:tabs>
          <w:tab w:leader="none" w:pos="196" w:val="left"/>
        </w:tabs>
        <w:numPr>
          <w:ilvl w:val="0"/>
          <w:numId w:val="1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Balance Sheet Components Property and Equipment, Net</w:t>
      </w:r>
    </w:p>
    <w:p>
      <w:pPr>
        <w:spacing w:after="0" w:line="1" w:lineRule="exact"/>
        <w:rPr>
          <w:rFonts w:ascii="Times New Roman" w:cs="Times New Roman" w:eastAsia="Times New Roman" w:hAnsi="Times New Roman"/>
          <w:sz w:val="17"/>
          <w:szCs w:val="17"/>
          <w:b w:val="1"/>
          <w:bCs w:val="1"/>
          <w:i w:val="1"/>
          <w:iCs w:val="1"/>
          <w:color w:val="auto"/>
        </w:rPr>
      </w:pPr>
    </w:p>
    <w:p>
      <w:pPr>
        <w:ind w:left="34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160" w:type="dxa"/>
            <w:vAlign w:val="bottom"/>
          </w:tcPr>
          <w:p>
            <w:pPr>
              <w:spacing w:after="0"/>
              <w:rPr>
                <w:sz w:val="18"/>
                <w:szCs w:val="18"/>
                <w:color w:val="auto"/>
              </w:rPr>
            </w:pP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26"/>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center and other computer equipment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755,728</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and website development costs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265,987</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42,230</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15,876</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220,088</w:t>
            </w:r>
          </w:p>
        </w:tc>
      </w:tr>
      <w:tr>
        <w:trPr>
          <w:trHeight w:val="223"/>
        </w:trPr>
        <w:tc>
          <w:tcPr>
            <w:tcW w:w="7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1,310,394</w:t>
            </w: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(521,754)</w:t>
            </w:r>
          </w:p>
        </w:tc>
      </w:tr>
      <w:tr>
        <w:trPr>
          <w:trHeight w:val="248"/>
        </w:trPr>
        <w:tc>
          <w:tcPr>
            <w:tcW w:w="7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788,640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Construction in progress primarily includes data center equipment purchased that has not yet been placed in service. Data center equipment that was purchased but not yet been placed into service was $175.1 million as of October 31, 2025.</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$64.0 million and $49.0 million during the three months ended October 31, 2025 and October 31, 2024, respectively, and $180.9 million and $137.9 million during the nine months ended October 31, 2025 and October 31, 2024, respectively.</w:t>
      </w:r>
    </w:p>
    <w:p>
      <w:pPr>
        <w:spacing w:after="0" w:line="176" w:lineRule="exact"/>
        <w:rPr>
          <w:sz w:val="20"/>
          <w:szCs w:val="20"/>
          <w:color w:val="auto"/>
        </w:rPr>
      </w:pPr>
    </w:p>
    <w:p>
      <w:pPr>
        <w:jc w:val="both"/>
        <w:ind w:right="200" w:firstLine="324"/>
        <w:spacing w:after="0" w:line="272" w:lineRule="auto"/>
        <w:rPr>
          <w:sz w:val="20"/>
          <w:szCs w:val="20"/>
          <w:color w:val="auto"/>
        </w:rPr>
      </w:pPr>
      <w:r>
        <w:rPr>
          <w:rFonts w:ascii="Times New Roman" w:cs="Times New Roman" w:eastAsia="Times New Roman" w:hAnsi="Times New Roman"/>
          <w:sz w:val="17"/>
          <w:szCs w:val="17"/>
          <w:color w:val="auto"/>
        </w:rPr>
        <w:t>There was no impairment of property and equipment during the three and nine months ended October 31, 2025 and October 31, 2024. The Company capitalized $29.5 million and $27.9 million in internal-use software and website development costs during the three months ended October 31, 2025 and October 31, 2024, respectively, and $90.0 million and $70.4 million during the nine months ended October 31, 2025 and October 31, 2024, respectively.</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Amortization expense associated with internal-use software and website development costs totaled $20.6 million and $14.8 million during the three months ended October 31, 2025 and October 31, 2024, respectively, and $57.7 million and $41.4 million during the nine months ended October 31, 2025 and October 31, 2024, respectively. The net book value of capitalized internal-use software and website development costs was $176.4 million and $144.0 million as of October 31, 2025 and January 31, 2025,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intangible assets, net consisted of the following (dollars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96"/>
        </w:trPr>
        <w:tc>
          <w:tcPr>
            <w:tcW w:w="4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vMerge w:val="restart"/>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tcPr>
          <w:p>
            <w:pPr>
              <w:spacing w:after="0"/>
              <w:rPr>
                <w:sz w:val="13"/>
                <w:szCs w:val="13"/>
                <w:color w:val="auto"/>
              </w:rPr>
            </w:pPr>
          </w:p>
        </w:tc>
        <w:tc>
          <w:tcPr>
            <w:tcW w:w="15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7"/>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months)</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 and 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98,872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144,405</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480"/>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tcPr>
          <w:p>
            <w:pPr>
              <w:spacing w:after="0"/>
              <w:rPr>
                <w:sz w:val="13"/>
                <w:szCs w:val="13"/>
                <w:color w:val="auto"/>
              </w:rPr>
            </w:pPr>
          </w:p>
        </w:tc>
        <w:tc>
          <w:tcPr>
            <w:tcW w:w="15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months)</w:t>
            </w: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104,633</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 and other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$7.8 million and $6.3 million during the three months ended October 31, 2025 and October 31, 2024, respectively, and $23.1 million and $18.7 million during the nine months ended October 31, 2025 and October 31, 2024,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estimated aggregate future amortization expense of intangible assets as of October 31, 2025 was as follows (in thousands):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6"/>
        </w:trPr>
        <w:tc>
          <w:tcPr>
            <w:tcW w:w="9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(remaining three months)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r>
      <w:tr>
        <w:trPr>
          <w:trHeight w:val="229"/>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32,757</w:t>
            </w: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32,111</w:t>
            </w:r>
          </w:p>
        </w:tc>
      </w:tr>
      <w:tr>
        <w:trPr>
          <w:trHeight w:val="23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29,091</w:t>
            </w: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w:t>
            </w:r>
          </w:p>
        </w:tc>
      </w:tr>
      <w:tr>
        <w:trPr>
          <w:trHeight w:val="229"/>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22,542</w:t>
            </w:r>
          </w:p>
        </w:tc>
      </w:tr>
      <w:tr>
        <w:trPr>
          <w:trHeight w:val="248"/>
        </w:trPr>
        <w:tc>
          <w:tcPr>
            <w:tcW w:w="9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144,405</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Developed technology, customer relationships, intellectual property and other acquired intangible assets are amortized over their estimated useful lives, generally on a straight-line basis, for periods ranging from 2 to 20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 in goodwill during the nine months ended October 31, 2025 consisted of the following (in thousands):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6"/>
        </w:trPr>
        <w:tc>
          <w:tcPr>
            <w:tcW w:w="96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2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January 31, 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912,805</w:t>
            </w:r>
          </w:p>
        </w:tc>
      </w:tr>
      <w:tr>
        <w:trPr>
          <w:trHeight w:val="229"/>
        </w:trPr>
        <w:tc>
          <w:tcPr>
            <w:tcW w:w="9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acquired</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442,210</w:t>
            </w:r>
          </w:p>
        </w:tc>
      </w:tr>
      <w:tr>
        <w:trPr>
          <w:trHeight w:val="230"/>
        </w:trPr>
        <w:tc>
          <w:tcPr>
            <w:tcW w:w="9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2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as of October 31, 2025</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1,352,927</w:t>
            </w:r>
          </w:p>
        </w:tc>
      </w:tr>
      <w:tr>
        <w:trPr>
          <w:trHeight w:val="21"/>
        </w:trPr>
        <w:tc>
          <w:tcPr>
            <w:tcW w:w="9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Debt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Secured Revolving Credit Facility</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w:t>
      </w:r>
    </w:p>
    <w:p>
      <w:pPr>
        <w:spacing w:after="0" w:line="3" w:lineRule="exact"/>
        <w:rPr>
          <w:sz w:val="20"/>
          <w:szCs w:val="20"/>
          <w:color w:val="auto"/>
        </w:rPr>
      </w:pPr>
    </w:p>
    <w:p>
      <w:pPr>
        <w:ind w:right="120" w:firstLine="8"/>
        <w:spacing w:after="0" w:line="278" w:lineRule="auto"/>
        <w:tabs>
          <w:tab w:leader="none" w:pos="24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Secured Overnight Finance Rate (the “Term SOFR”) for a one-month tenor in effect on such day plus 1.00%, in each case plus a margin between (0.25)% and 0.25%, depending on the senior secured leverage ratio. The Company will be charged a commitment fee of 0.15% to 0.25% per year</w:t>
      </w:r>
    </w:p>
    <w:p>
      <w:pPr>
        <w:spacing w:after="0" w:line="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committed but unused amounts, depending on the senior secured leverage ratio. The financial covenants require the Company to maintain a minimum consolidated interest coverage ratio of 3.00:1.00 and a maximum total leverage ratio of 5.50:1.00 stepping down to 3.50:1.00 over time. The Company was in compliance with all of its financial covenants as of October 31, 2025.</w:t>
      </w:r>
    </w:p>
    <w:p>
      <w:pPr>
        <w:spacing w:after="0" w:line="176"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amounts were outstanding under the Amended A&amp;R Credit Agreement as of October 31, 2025 or January 31, 2025.</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January 20, 2021, the Company issued $750.0 million in aggregate principal amount of 3.00% Senior Notes maturing in February 2029 (the “Senior Notes”). The Senior Notes are guaranteed by the Company’s subsidiaries, CrowdStrike, Inc. and CrowdStrike Financial Services,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during the three months ended October 31, 2025 and 2024, and $18.0 million during the nine months ended October 31, 2025 and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7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Senior Notes are rated investment grade by Fitch Ratings, Inc. (“Fitch”), Moody’s Investors Service, Inc. (“Moody’s”), and Standard &amp; Poor’s Ratings Services (“S&amp;P”).</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October 31, 2025, the Company was in compliance with all of its financial covenants under the Indenture associated with the Senior Notes.</w:t>
      </w:r>
    </w:p>
    <w:p>
      <w:pPr>
        <w:spacing w:after="0" w:line="22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Based on the trading prices of the Senior Notes, the fair value of the Senior Notes was approximately $716.0 million and $688.4 million as of October 31, 2025 and January 31, 2025,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Income Taxes</w:t>
      </w:r>
    </w:p>
    <w:p>
      <w:pPr>
        <w:spacing w:after="0" w:line="229"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income tax expense of $10.7 million and $6.3 million for the three months ended October 31, 2025 and October 31, 2024, respectively, and $37.8 million and $24.9 million for the nine months ended October 31, 2025 and October 31, 2024, respectively. The tax expense for the three and nine months ended October 31, 2025 and October 31, 2024 was primarily attributable to income taxes on earnings and withholding taxes related to customer payments in certain foreign jurisdictions in which the Company conducts business.</w:t>
      </w:r>
    </w:p>
    <w:p>
      <w:pPr>
        <w:spacing w:after="0" w:line="180" w:lineRule="exact"/>
        <w:rPr>
          <w:sz w:val="20"/>
          <w:szCs w:val="20"/>
          <w:color w:val="auto"/>
        </w:rPr>
      </w:pPr>
    </w:p>
    <w:p>
      <w:pPr>
        <w:ind w:right="360" w:firstLine="324"/>
        <w:spacing w:after="0" w:line="274" w:lineRule="auto"/>
        <w:rPr>
          <w:sz w:val="20"/>
          <w:szCs w:val="20"/>
          <w:color w:val="auto"/>
        </w:rPr>
      </w:pPr>
      <w:r>
        <w:rPr>
          <w:rFonts w:ascii="Times New Roman" w:cs="Times New Roman" w:eastAsia="Times New Roman" w:hAnsi="Times New Roman"/>
          <w:sz w:val="17"/>
          <w:szCs w:val="17"/>
          <w:color w:val="auto"/>
        </w:rPr>
        <w:t>On July 4, 2025, tax reform legislation included in the One Big Beautiful Bill Act (the “OBBBA”) was enacted in the United States. The OBBBA includes significant corporate tax reforms, including (i) the permanent reinstatement of deducting domestic research and development expenditures as incurred beginning in fiscal 2026 (under prior law such expenditures were capitalized and amortized over five years); (ii) the option to claim 100% accelerated depreciation deductions on qualified property; and (iii) international tax provisions modifying global intangible low-taxed income (GILTI), foreign-derived intangible income (FDII), and base erosion and anti-abuse tax (BEAT). The change in U.S. tax law resulted in an immaterial favorable effect on the income tax provision due to the Company’s valuation allowance and was accounted for in the second quarter of fiscal year 2026.</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effective tax rates of (46.1)% and (59.6)% for the three months ended October 31, 2025 and October 31, 2024, respectively, and</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(20.4)% and 24.6% for the nine months ended October 31, 2025 and October 31, 2024, respectively, differ from the U.S. statutory tax rate primarily due to income taxes in foreign jurisdictions, withholding taxes related to customer payments in certain foreign jurisdictions in which the Company conducts business, and certain foreign jurisdictions where the Company does not benefit from losses and tax credits.</w:t>
      </w:r>
    </w:p>
    <w:p>
      <w:pPr>
        <w:spacing w:after="0" w:line="186" w:lineRule="exact"/>
        <w:rPr>
          <w:sz w:val="20"/>
          <w:szCs w:val="20"/>
          <w:color w:val="auto"/>
        </w:rPr>
      </w:pPr>
    </w:p>
    <w:p>
      <w:pPr>
        <w:jc w:val="both"/>
        <w:ind w:right="400" w:firstLine="324"/>
        <w:spacing w:after="0" w:line="261" w:lineRule="auto"/>
        <w:rPr>
          <w:sz w:val="20"/>
          <w:szCs w:val="20"/>
          <w:color w:val="auto"/>
        </w:rPr>
      </w:pPr>
      <w:r>
        <w:rPr>
          <w:rFonts w:ascii="Times New Roman" w:cs="Times New Roman" w:eastAsia="Times New Roman" w:hAnsi="Times New Roman"/>
          <w:sz w:val="18"/>
          <w:szCs w:val="18"/>
          <w:color w:val="auto"/>
        </w:rPr>
        <w:t>Total gross unrecognized tax benefits were $141.1 million and $117.5 million as of October 31, 2025 and January 31, 2025, respectively, which is primarily attributable to research and development credits. As of October 31, 2025 and January 31, 2025, there were approximately $58.2 million and $54.8 million, respectively, of unrecognized tax benefits, which, if recognized, would affect the Company’s effective tax rate due to the full valuation allowance. The Company’s policy is to classify interest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penalties related to unrecognized tax benefits as part of the income tax provision in the condensed consolidated statements of operations. The Company had incurred $6.6 million and $3.0 million of interest and penalties related to unrecognized tax benefits as of October 31, 2025 and January 31, 2025.</w:t>
      </w:r>
    </w:p>
    <w:p>
      <w:pPr>
        <w:spacing w:after="0" w:line="162" w:lineRule="exact"/>
        <w:rPr>
          <w:sz w:val="20"/>
          <w:szCs w:val="20"/>
          <w:color w:val="auto"/>
        </w:rPr>
      </w:pPr>
    </w:p>
    <w:p>
      <w:pPr>
        <w:ind w:right="200" w:firstLine="324"/>
        <w:spacing w:after="0" w:line="272" w:lineRule="auto"/>
        <w:rPr>
          <w:sz w:val="20"/>
          <w:szCs w:val="20"/>
          <w:color w:val="auto"/>
        </w:rPr>
      </w:pPr>
      <w:r>
        <w:rPr>
          <w:rFonts w:ascii="Times New Roman" w:cs="Times New Roman" w:eastAsia="Times New Roman" w:hAnsi="Times New Roman"/>
          <w:sz w:val="17"/>
          <w:szCs w:val="17"/>
          <w:color w:val="auto"/>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The Company files income tax returns in the U.S. federal, and various state jurisdictions, as well as various foreign jurisdictions. Tax years 2011 and onwards remain subject to examination by taxing authorities.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sheets.</w:t>
      </w:r>
    </w:p>
    <w:p>
      <w:pPr>
        <w:spacing w:after="0" w:line="17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full valuation allowance on U.S. federal and state and certain foreign deferred tax assets, including net operating loss carryforwards and tax credits, which the Company has determined are not realizable on a more-likely-than-not basis. The Company regularly evaluates the need for a valuation allowance.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Leases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has entered into non-cancelable operating lease agreements with various expiration dates through fiscal 2038. Certain lease agreements include options to renew or terminate the lease, which are not reasonably certain to be exercised and therefore are not factored into the determination of lease payments.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maturities of the Company’s non-cancelable operating lease liabilities are as follows (in thousands):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73"/>
        </w:trPr>
        <w:tc>
          <w:tcPr>
            <w:tcW w:w="96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(remaining three months)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3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18,776</w:t>
            </w:r>
          </w:p>
        </w:tc>
      </w:t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w:t>
            </w:r>
          </w:p>
        </w:tc>
      </w:tr>
      <w:tr>
        <w:trPr>
          <w:trHeight w:val="230"/>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w:t>
            </w: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w:t>
            </w:r>
          </w:p>
        </w:tc>
      </w:tr>
      <w:tr>
        <w:trPr>
          <w:trHeight w:val="230"/>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19,972</w:t>
            </w:r>
          </w:p>
        </w:tc>
      </w:tr>
      <w:tr>
        <w:trPr>
          <w:trHeight w:val="22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81,537</w:t>
            </w:r>
          </w:p>
        </w:tc>
      </w:tr>
      <w:tr>
        <w:trPr>
          <w:trHeight w:val="230"/>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w:t>
            </w:r>
          </w:p>
        </w:tc>
      </w:tr>
      <w:tr>
        <w:trPr>
          <w:trHeight w:val="248"/>
        </w:trPr>
        <w:tc>
          <w:tcPr>
            <w:tcW w:w="9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72,947</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of October 31, 2025, the Company has entered into a non-cancelable operating lease with a lease term greater than 12 months that has not yet commenced with undiscounted future minimum payments of $96.8 million, which has been excluded from the table above. The operating lease is expected to commence in October 2026, with a lease term of 11.2 years.</w:t>
      </w:r>
    </w:p>
    <w:p>
      <w:pPr>
        <w:spacing w:after="0" w:line="172" w:lineRule="exact"/>
        <w:rPr>
          <w:sz w:val="20"/>
          <w:szCs w:val="20"/>
          <w:color w:val="auto"/>
        </w:rPr>
      </w:pPr>
    </w:p>
    <w:p>
      <w:pPr>
        <w:ind w:left="340" w:right="9020" w:hanging="332"/>
        <w:spacing w:after="0" w:line="532" w:lineRule="auto"/>
        <w:tabs>
          <w:tab w:leader="none" w:pos="196"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Stock-Based Compensation Stock Incentive Plan</w:t>
      </w:r>
    </w:p>
    <w:p>
      <w:pPr>
        <w:spacing w:after="0" w:line="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(“RSUs”), and performance-based restricted stock units (“PSUs”).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 of outstanding shares of the Company’s capital stock</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last day of the immediately preceding fiscal year or (ii) such other amount as the Company’s board of directors may determine.</w:t>
      </w:r>
    </w:p>
    <w:p>
      <w:pPr>
        <w:spacing w:after="0" w:line="239" w:lineRule="exact"/>
        <w:rPr>
          <w:sz w:val="20"/>
          <w:szCs w:val="20"/>
          <w:color w:val="auto"/>
        </w:rPr>
      </w:pPr>
    </w:p>
    <w:p>
      <w:pPr>
        <w:ind w:right="200" w:firstLine="324"/>
        <w:spacing w:after="0" w:line="245" w:lineRule="auto"/>
        <w:rPr>
          <w:sz w:val="20"/>
          <w:szCs w:val="20"/>
          <w:color w:val="auto"/>
        </w:rPr>
      </w:pPr>
      <w:r>
        <w:rPr>
          <w:rFonts w:ascii="Times New Roman" w:cs="Times New Roman" w:eastAsia="Times New Roman" w:hAnsi="Times New Roman"/>
          <w:sz w:val="18"/>
          <w:szCs w:val="18"/>
          <w:color w:val="auto"/>
        </w:rPr>
        <w:t>The 2011 Plan was terminated on June 10, 2019, which was the business day prior to the effectiveness of the Company’s registration statement on Form S-1 used in connection with the Company’s initial public offering (“IPO”), and stock-based awards are no longer granted under the 2011 Plan. Any shares underlying stock options that expire, terminate, or are forfeited or repurchased under the 2011 Plan will be automatically transferred to the 2019 Plan.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records compensation expense for employee stock options based on the estimated fair value of the options on the date of grant using the Black-Scholes option-pricing model.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options granted during the nine months ended October 31, 2025 and October 31, 2024 were immaterial.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stock option activity for the nine months ended October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October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Options vested and expected to vest at October 31, 2025</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987</w:t>
            </w:r>
          </w:p>
        </w:tc>
        <w:tc>
          <w:tcPr>
            <w:tcW w:w="26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October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options that were unvested and exercisable as of October 31, 2025.</w:t>
      </w:r>
    </w:p>
    <w:p>
      <w:pPr>
        <w:spacing w:after="0" w:line="22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vested and exercisable was $495.6 million and $472.3 million as of October 31, 2025 and January 31, 2025, respectively. The weighted-average remaining contractual term of options vested and exercisable was 2.9 years and 3.5 years as of October 31, 2025 and January 31, 2025, respectively.</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values of all options granted was $410.70 and $325.22 per share during the nine months ended October 31, 2025 and October 31, 2024, respectively. The total intrinsic value of all options exercised was $18.6 million and $32.0 million during the three months ended October 31, 2025 and October 31, 2024, respectively, and $136.6 million and $135.7 million during the nine months ended October 31, 2025 and October 31, 2024, respectively.</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outstanding as of October 31, 2025 and January 31, 2025 was $524.0 million and $485.3 million, respectively, which represents the excess of the fair value of the Company’s common stock over the exercise price of the options multiplied by the number of options outstanding. The weighted-average remaining contractual term of stock options outstanding was 3.2 years and 3.6 years as of October 31, 2025 and January 31, 2025, respectively.</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options was $19.8 million as of October 31, 2025. This expense is expected to be amortized over a weighted-average vesting period of 2.1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RSUs granted under the 2019 Plan are generally subject to only a service-based vesting condition. The service-based vesting condition is generally satisfied based on one of the following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or (iii) vesting in sixteen quarterly installments with 10% in the first year, 15% in the second year, 25% in the third year and 50% in the fourth year, subject to continued service. The valuation of these RSUs is based solely on the fair value of the Company’s stock on the date of grant.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RSUs was $1.9 billion as of October 31, 2025. This expense is expected to be amortized over a weighted-average vesting period of 2.4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Units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spacing w:after="0" w:line="180"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PSUs was $203.8 million as of October 31, 2025, which reflects the Company’s updated assessment of the likelihood of satisfying the performance conditions. This expense is expected to be amortized over a weighted-average vesting period of 1.2 years.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Special PSU Awards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fiscal 2022 the Company’s board of directors granted 655,000 performance stock units (the “Special PSU Awards”) to certain executives under the 2019 Plan. The Special PSU Awards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(i.e., February 1, 2022, February 1, 2023, February 1, 2024 and February 1, 2025) and (ii) the remaining PSUs with respect to such tranche will thereafter service vest in four equal quarterly installments of 12.5%.</w:t>
      </w:r>
    </w:p>
    <w:p>
      <w:pPr>
        <w:spacing w:after="0" w:line="19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measured the fair value of the Special PSU Awards on the grant date using a Monte Carlo simulation valuation model. The risk-free interest rates used were 0.85% -1.51%, which were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2.21- 2.58 year look-back from the grant date and 50% weight based on the Company’s implied volatility as of the grant date.</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the unvested portion of the Special PSU Awards was $3.8 million as of October 31, 2025. This expense is expected to be amortized over a weighted-average vesting period of 0.5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RSUs, PSUs and the Special PSU Awards activities for the nine months ended October 31,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8"/>
        </w:trPr>
        <w:tc>
          <w:tcPr>
            <w:tcW w:w="81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January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249.26</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October 31,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RSUs and PSUs expected to vest at October 31, 2025 </w:t>
            </w:r>
            <w:r>
              <w:rPr>
                <w:rFonts w:ascii="Times New Roman" w:cs="Times New Roman" w:eastAsia="Times New Roman" w:hAnsi="Times New Roman"/>
                <w:sz w:val="23"/>
                <w:szCs w:val="23"/>
                <w:b w:val="1"/>
                <w:bCs w:val="1"/>
                <w:color w:val="auto"/>
                <w:vertAlign w:val="superscript"/>
              </w:rPr>
              <w:t>(2)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40" w:right="160" w:hanging="332"/>
        <w:spacing w:after="0" w:line="280"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adjustment represents adjustments in shares outstanding due to the actual achievement of performance-based awards, the achievement of which was based upon pre-defined financial performance targets.</w:t>
      </w:r>
    </w:p>
    <w:p>
      <w:pPr>
        <w:spacing w:after="0" w:line="5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in progress PSUs and Special PSUs where pre-defined targets have not yet been achieved.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ESPP provides for consecutive offering periods that will typically have a duration of approximately 24 months in length and are comprised</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18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 Contribution modifications during the nine months ended October 31, 2025 were $3.1 million, which are recognized over the remaining offering periods.</w:t>
      </w:r>
    </w:p>
    <w:p>
      <w:pPr>
        <w:spacing w:after="0" w:line="19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Employee payroll contributions ultimately used to purchase shares are reclassified to stockholders’ equity on the purchase date. ESPP employee payroll contributions accrued as of October 31, 2025 and January 31, 2025 totaled $45.6 million and $33.2 million, respectively, and are included within accrued payroll and benefits in the condensed consolidated balance sheets.</w:t>
      </w:r>
    </w:p>
    <w:p>
      <w:pPr>
        <w:spacing w:after="0" w:line="17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option-pricing model to determine the fair value of employee stock purchase rights granted under the Company’s ESPP: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5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r>
      <w:tr>
        <w:trPr>
          <w:trHeight w:val="223"/>
        </w:trPr>
        <w:tc>
          <w:tcPr>
            <w:tcW w:w="388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8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 2.0</w:t>
            </w: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80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 – 5.3%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 5.3%</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8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 – 59.8%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 59.8%</w:t>
            </w: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800" w:type="dxa"/>
            <w:vAlign w:val="bottom"/>
          </w:tcPr>
          <w:p>
            <w:pPr>
              <w:spacing w:after="0"/>
              <w:rPr>
                <w:sz w:val="20"/>
                <w:szCs w:val="20"/>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900"/>
        </w:trPr>
        <w:tc>
          <w:tcPr>
            <w:tcW w:w="3880" w:type="dxa"/>
            <w:vAlign w:val="bottom"/>
          </w:tcPr>
          <w:p>
            <w:pPr>
              <w:spacing w:after="0"/>
              <w:rPr>
                <w:sz w:val="24"/>
                <w:szCs w:val="24"/>
                <w:color w:val="auto"/>
              </w:rPr>
            </w:pPr>
          </w:p>
        </w:tc>
        <w:tc>
          <w:tcPr>
            <w:tcW w:w="380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23</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96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w w:val="99"/>
              </w:rPr>
              <w:t>Stock-based compensation expense included in the condensed consolidated statements of operations is as follows (in thousands):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4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260" w:type="dxa"/>
            <w:vAlign w:val="bottom"/>
          </w:tcPr>
          <w:p>
            <w:pPr>
              <w:spacing w:after="0"/>
              <w:rPr>
                <w:sz w:val="22"/>
                <w:szCs w:val="22"/>
                <w:color w:val="auto"/>
              </w:rPr>
            </w:pPr>
          </w:p>
        </w:tc>
        <w:tc>
          <w:tcPr>
            <w:tcW w:w="30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r>
      <w:tr>
        <w:trPr>
          <w:trHeight w:val="223"/>
        </w:trPr>
        <w:tc>
          <w:tcPr>
            <w:tcW w:w="45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49,261</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cost of revenue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165,914</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224,467</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132,133</w:t>
            </w: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282,961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208,888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823,718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592,890</w:t>
            </w:r>
          </w:p>
        </w:tc>
      </w:tr>
      <w:tr>
        <w:trPr>
          <w:trHeight w:val="20"/>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Revenue, Deferred Revenue and Remaining Performance Obligations</w:t>
      </w:r>
    </w:p>
    <w:p>
      <w:pPr>
        <w:spacing w:after="0" w:line="229"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by region based on the shipping address of customers who have contracted to use the Company’s platform or service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gridSpan w:val="7"/>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0" w:type="dxa"/>
            <w:vAlign w:val="bottom"/>
          </w:tcPr>
          <w:p>
            <w:pPr>
              <w:spacing w:after="0"/>
              <w:rPr>
                <w:sz w:val="1"/>
                <w:szCs w:val="1"/>
                <w:color w:val="auto"/>
              </w:rPr>
            </w:pPr>
          </w:p>
        </w:tc>
      </w:tr>
      <w:tr>
        <w:trPr>
          <w:trHeight w:val="211"/>
        </w:trPr>
        <w:tc>
          <w:tcPr>
            <w:tcW w:w="18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0" w:type="dxa"/>
            <w:vAlign w:val="bottom"/>
          </w:tcPr>
          <w:p>
            <w:pPr>
              <w:spacing w:after="0"/>
              <w:rPr>
                <w:sz w:val="1"/>
                <w:szCs w:val="1"/>
                <w:color w:val="auto"/>
              </w:rPr>
            </w:pPr>
          </w:p>
        </w:tc>
      </w:tr>
      <w:tr>
        <w:trPr>
          <w:trHeight w:val="211"/>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826,653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2,353,180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1,968,503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162"/>
        </w:trPr>
        <w:tc>
          <w:tcPr>
            <w:tcW w:w="1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Europe, Middle East, and</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198,420</w:t>
            </w: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160,574</w:t>
            </w: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563,285</w:t>
            </w: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451,037</w:t>
            </w: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Africa</w:t>
            </w: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127,591</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102,837</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357,956</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294,573</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81,580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63,291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232,209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180,973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37"/>
        </w:trPr>
        <w:tc>
          <w:tcPr>
            <w:tcW w:w="1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1,234,244</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1,010,178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3,506,630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2,895,086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total revenue during the three and nine months ended October 31, 2025 and October 31,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and include payments received in advance of performance under the contract. Such amounts are recognized as revenue over the contractual period. The Company recognized revenue of $1,056.3 million and $880.5 million for the three months ended October 31, 2025 and October 31, 2024, respectively, and $2,312.1 million and $1,945.4 million for the nine months ended October 31, 2025 and October 31, 2024, respectively, which was included in the corresponding contract liability balance at the beginning of the period.</w:t>
      </w:r>
    </w:p>
    <w:p>
      <w:pPr>
        <w:spacing w:after="0" w:line="180"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deferred revenue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260" w:type="dxa"/>
            <w:vAlign w:val="bottom"/>
          </w:tcPr>
          <w:p>
            <w:pPr>
              <w:spacing w:after="0"/>
              <w:rPr>
                <w:sz w:val="20"/>
                <w:szCs w:val="20"/>
                <w:color w:val="auto"/>
              </w:rPr>
            </w:pPr>
          </w:p>
        </w:tc>
        <w:tc>
          <w:tcPr>
            <w:tcW w:w="30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r>
      <w:tr>
        <w:trPr>
          <w:trHeight w:val="223"/>
        </w:trPr>
        <w:tc>
          <w:tcPr>
            <w:tcW w:w="44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3,834,857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3,093,197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3,728,677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3,054,099</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240" w:type="dxa"/>
            <w:vAlign w:val="bottom"/>
          </w:tcPr>
          <w:p>
            <w:pPr>
              <w:spacing w:after="0"/>
              <w:rPr>
                <w:sz w:val="19"/>
                <w:szCs w:val="19"/>
                <w:color w:val="auto"/>
              </w:rPr>
            </w:pPr>
          </w:p>
        </w:tc>
        <w:tc>
          <w:tcPr>
            <w:tcW w:w="13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1,462,637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1,113,499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3,841,203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3,037,505</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(1,234,244)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(1,010,178)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(3,506,630)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(2,895,086)</w:t>
            </w: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4,063,250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3,196,518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4,063,250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3,196,518</w:t>
            </w: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Company’s subscription contracts with its customers have a typical term of one to three years and most subscription contracts are non-cancelable. Customers generally have the right to terminate their contracts for cause as a result of the Company’s failure to perform. As of October 31, 2025, the aggregate amount of the transaction price allocated to remaining performance obligations was $7.9 billion. The Company expects to recognize approximately 51% of the remaining performance obligations in the 12 months following October 31, 2025, and 43% of the remaining performance obligations between 13 to 36 months, with the remainder to be recognized thereafter.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and Fulfill a Contract</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five months. Commissions are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and nine months ended October 31, 2025 or October 31, 2024.</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of deferred contract acquisition costs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320" w:type="dxa"/>
            <w:vAlign w:val="bottom"/>
          </w:tcPr>
          <w:p>
            <w:pPr>
              <w:spacing w:after="0"/>
              <w:rPr>
                <w:sz w:val="18"/>
                <w:szCs w:val="18"/>
                <w:color w:val="auto"/>
              </w:rPr>
            </w:pPr>
          </w:p>
        </w:tc>
        <w:tc>
          <w:tcPr>
            <w:tcW w:w="2960" w:type="dxa"/>
            <w:vAlign w:val="bottom"/>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r>
      <w:tr>
        <w:trPr>
          <w:trHeight w:val="211"/>
        </w:trPr>
        <w:tc>
          <w:tcPr>
            <w:tcW w:w="4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rPr>
              <w:t>889,631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592,785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9"/>
              </w:rPr>
              <w:t>847,950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582,303</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contract acquisition costs</w:t>
            </w:r>
          </w:p>
        </w:tc>
        <w:tc>
          <w:tcPr>
            <w:tcW w:w="280" w:type="dxa"/>
            <w:vAlign w:val="bottom"/>
          </w:tcPr>
          <w:p>
            <w:pPr>
              <w:spacing w:after="0"/>
              <w:rPr>
                <w:sz w:val="19"/>
                <w:szCs w:val="19"/>
                <w:color w:val="auto"/>
              </w:rPr>
            </w:pPr>
          </w:p>
        </w:tc>
        <w:tc>
          <w:tcPr>
            <w:tcW w:w="13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rPr>
              <w:t>180,791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203,079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432,413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361,412</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9"/>
              </w:rPr>
              <w:t>(115,493)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(79,862)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9"/>
              </w:rPr>
              <w:t>(325,434)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rPr>
              <w:t>(227,713)</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center"/>
              <w:ind w:left="492"/>
              <w:spacing w:after="0"/>
              <w:rPr>
                <w:sz w:val="20"/>
                <w:szCs w:val="20"/>
                <w:color w:val="auto"/>
              </w:rPr>
            </w:pPr>
            <w:r>
              <w:rPr>
                <w:rFonts w:ascii="Times New Roman" w:cs="Times New Roman" w:eastAsia="Times New Roman" w:hAnsi="Times New Roman"/>
                <w:sz w:val="18"/>
                <w:szCs w:val="18"/>
                <w:color w:val="auto"/>
              </w:rPr>
              <w:t>954,929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716,002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center"/>
              <w:ind w:left="452"/>
              <w:spacing w:after="0"/>
              <w:rPr>
                <w:sz w:val="20"/>
                <w:szCs w:val="20"/>
                <w:color w:val="auto"/>
              </w:rPr>
            </w:pPr>
            <w:r>
              <w:rPr>
                <w:rFonts w:ascii="Times New Roman" w:cs="Times New Roman" w:eastAsia="Times New Roman" w:hAnsi="Times New Roman"/>
                <w:sz w:val="18"/>
                <w:szCs w:val="18"/>
                <w:color w:val="auto"/>
                <w:w w:val="99"/>
              </w:rPr>
              <w:t>954,929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391"/>
              <w:spacing w:after="0"/>
              <w:rPr>
                <w:sz w:val="20"/>
                <w:szCs w:val="20"/>
                <w:color w:val="auto"/>
              </w:rPr>
            </w:pPr>
            <w:r>
              <w:rPr>
                <w:rFonts w:ascii="Times New Roman" w:cs="Times New Roman" w:eastAsia="Times New Roman" w:hAnsi="Times New Roman"/>
                <w:sz w:val="18"/>
                <w:szCs w:val="18"/>
                <w:color w:val="auto"/>
                <w:w w:val="99"/>
              </w:rPr>
              <w:t>716,002</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rPr>
              <w:t>398,708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294,229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398,708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294,229</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rPr>
              <w:t>556,221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421,773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9"/>
              </w:rPr>
              <w:t>556,221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9"/>
              </w:rPr>
              <w:t>421,773</w:t>
            </w: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center"/>
              <w:ind w:left="492"/>
              <w:spacing w:after="0"/>
              <w:rPr>
                <w:sz w:val="20"/>
                <w:szCs w:val="20"/>
                <w:color w:val="auto"/>
              </w:rPr>
            </w:pPr>
            <w:r>
              <w:rPr>
                <w:rFonts w:ascii="Times New Roman" w:cs="Times New Roman" w:eastAsia="Times New Roman" w:hAnsi="Times New Roman"/>
                <w:sz w:val="18"/>
                <w:szCs w:val="18"/>
                <w:color w:val="auto"/>
              </w:rPr>
              <w:t>954,929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716,002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center"/>
              <w:ind w:left="452"/>
              <w:spacing w:after="0"/>
              <w:rPr>
                <w:sz w:val="20"/>
                <w:szCs w:val="20"/>
                <w:color w:val="auto"/>
              </w:rPr>
            </w:pPr>
            <w:r>
              <w:rPr>
                <w:rFonts w:ascii="Times New Roman" w:cs="Times New Roman" w:eastAsia="Times New Roman" w:hAnsi="Times New Roman"/>
                <w:sz w:val="18"/>
                <w:szCs w:val="18"/>
                <w:color w:val="auto"/>
                <w:w w:val="99"/>
              </w:rPr>
              <w:t>954,929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391"/>
              <w:spacing w:after="0"/>
              <w:rPr>
                <w:sz w:val="20"/>
                <w:szCs w:val="20"/>
                <w:color w:val="auto"/>
              </w:rPr>
            </w:pPr>
            <w:r>
              <w:rPr>
                <w:rFonts w:ascii="Times New Roman" w:cs="Times New Roman" w:eastAsia="Times New Roman" w:hAnsi="Times New Roman"/>
                <w:sz w:val="18"/>
                <w:szCs w:val="18"/>
                <w:color w:val="auto"/>
                <w:w w:val="99"/>
              </w:rPr>
              <w:t>716,002</w:t>
            </w: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right="8500" w:hanging="332"/>
        <w:spacing w:after="0" w:line="503" w:lineRule="auto"/>
        <w:tabs>
          <w:tab w:leader="none" w:pos="286"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 July 19 Incident</w:t>
      </w:r>
    </w:p>
    <w:p>
      <w:pPr>
        <w:ind w:right="480" w:firstLine="324"/>
        <w:spacing w:after="0" w:line="312" w:lineRule="auto"/>
        <w:rPr>
          <w:sz w:val="20"/>
          <w:szCs w:val="20"/>
          <w:color w:val="auto"/>
        </w:rPr>
      </w:pPr>
      <w:r>
        <w:rPr>
          <w:rFonts w:ascii="Times New Roman" w:cs="Times New Roman" w:eastAsia="Times New Roman" w:hAnsi="Times New Roman"/>
          <w:sz w:val="17"/>
          <w:szCs w:val="17"/>
          <w:color w:val="auto"/>
        </w:rPr>
        <w:t>On July 19, 2024, the Company released a content configuration update for its Falcon sensor that resulted in system crashes for certain Windows systems (the “July 19 Incident”). The Company is subject to a number of legal proceedings in connection with the July 19 Incident, including:</w:t>
      </w:r>
    </w:p>
    <w:p>
      <w:pPr>
        <w:spacing w:after="0" w:line="140" w:lineRule="exact"/>
        <w:rPr>
          <w:sz w:val="20"/>
          <w:szCs w:val="20"/>
          <w:color w:val="auto"/>
        </w:rPr>
      </w:pPr>
    </w:p>
    <w:p>
      <w:pPr>
        <w:ind w:left="1140" w:right="20" w:hanging="322"/>
        <w:spacing w:after="0" w:line="261" w:lineRule="auto"/>
        <w:tabs>
          <w:tab w:leader="none" w:pos="1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2024, a putative class action lawsuit was filed against the Company and certain of the Company’s officers in federal court in the Western District of Texas alleging violations of federal securities laws, including that the defendants made false or misleading statements. The complainants seek certification of a class of all persons who purchased or otherwise acquired the Company’s securities during specified periods of time and are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40" w:right="40"/>
        <w:spacing w:after="0" w:line="282" w:lineRule="auto"/>
        <w:rPr>
          <w:sz w:val="20"/>
          <w:szCs w:val="20"/>
          <w:color w:val="auto"/>
        </w:rPr>
      </w:pPr>
      <w:r>
        <w:rPr>
          <w:rFonts w:ascii="Times New Roman" w:cs="Times New Roman" w:eastAsia="Times New Roman" w:hAnsi="Times New Roman"/>
          <w:sz w:val="18"/>
          <w:szCs w:val="18"/>
          <w:color w:val="auto"/>
        </w:rPr>
        <w:t>seeking unspecified monetary damages, costs and attorneys’ fees. On January 21, 2025, an amended complaint was filed. On April 7, 2025, the defendants filed a motion to dismiss.</w:t>
      </w:r>
    </w:p>
    <w:p>
      <w:pPr>
        <w:spacing w:after="0" w:line="162" w:lineRule="exact"/>
        <w:rPr>
          <w:sz w:val="20"/>
          <w:szCs w:val="20"/>
          <w:color w:val="auto"/>
        </w:rPr>
      </w:pPr>
    </w:p>
    <w:p>
      <w:pPr>
        <w:ind w:left="1140" w:hanging="322"/>
        <w:spacing w:after="0" w:line="254"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5, 2024, a putative class action was filed against CrowdStrike, Inc. in the Western District of Texas in relation to passenger airline flight disruptions allegedly caused by the July 19 Incident. On August 19, 2024, a second putative class action was filed against the Company and CrowdStrike, Inc. in the Western District of Texas, making similar allegations in relation to passenger airline flight disruptions. On November 6, 2024, these two lawsuits were consolidated, and interim class counsel was appointed. On December 6, 2024, a consolidated class action complaint was filed, which, among other things, asserts causes of action for negligence and public nuisance, and seeks certification of a nationwide class, as well as several state sub-classes of citizens of California, Ohio, Pennsylvania, Iowa, and Nevada. The putative classes are comprised of individuals who allegedly had a flight delayed or canceled as a result of the July 19 Incident. The consolidated complaint seeks unspecified monetary damages, certain injunctive relief, costs, and attorneys’ fees. On February 4, 2025, the Company and CrowdStrike, Inc. filed a motion to dismiss the consolidated complaint. On June 18, 2025, the district court granted the</w:t>
      </w:r>
    </w:p>
    <w:p>
      <w:pPr>
        <w:spacing w:after="0" w:line="12" w:lineRule="exact"/>
        <w:rPr>
          <w:rFonts w:ascii="Times New Roman" w:cs="Times New Roman" w:eastAsia="Times New Roman" w:hAnsi="Times New Roman"/>
          <w:sz w:val="18"/>
          <w:szCs w:val="18"/>
          <w:color w:val="auto"/>
        </w:rPr>
      </w:pPr>
    </w:p>
    <w:p>
      <w:pPr>
        <w:ind w:left="1140" w:righ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CrowdStrike, Inc.’s motion to dismiss the consolidated complaint and entered a final judgment. On June 25, 2025, the plaintiffs filed a notice of appeal to the United States Court of Appeals for the Fifth Circuit. The appeal is currently pending.</w:t>
      </w:r>
    </w:p>
    <w:p>
      <w:pPr>
        <w:spacing w:after="0" w:line="161" w:lineRule="exact"/>
        <w:rPr>
          <w:rFonts w:ascii="Times New Roman" w:cs="Times New Roman" w:eastAsia="Times New Roman" w:hAnsi="Times New Roman"/>
          <w:sz w:val="18"/>
          <w:szCs w:val="18"/>
          <w:color w:val="auto"/>
        </w:rPr>
      </w:pPr>
    </w:p>
    <w:p>
      <w:pPr>
        <w:ind w:left="1140" w:hanging="322"/>
        <w:spacing w:after="0" w:line="252"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4, September 11, and September 20, 2024, three derivative lawsuits were filed against certain of the Company’s officers and directors, and against the Company as nominal defendant, in federal court in the Western District of Texas alleging various claims, including breach of fiduciary duty, unjust enrichment, and violations of federal securities laws, including that the defendants made false or misleading statements in violation of Sections 10(b) and 14(a) of the Exchange Act and SEC Rules 10b-5 and 14a-9. One of the lawsuits also brings a claim against certain of the defendants for contribution under Sections 10(b) and 21D of the Exchange Act. The complainants seek monetary and non-monetary relief purportedly on behalf of the Company. On November 21, 2024, all three cases were consolidated and stayed pending resolution of the putative securities class action described above. On April 9, 2025, another derivative lawsuit was filed against certain of the Company’s officers and directors, and against the Company as nominal defendant, in federal court in the District of Delaware, asserting similar claims and seeking similar relief as the previously filed derivative lawsuits. On May 22, 2025, this lawsuit was voluntarily dismissed without prejudice. On April 10, 2025, two additional derivative lawsuits were filed against certain of the Company’s officers and directors, and against the Company as nominal defendant, in federal court in the Western District of Texas, asserting similar claims and seeking similar relief as the previously filed derivative lawsuits. On May 23, 2025, these lawsuits were consolidated with each other and stayed pending a response by the Company’s board of directors to a litigation demand submitted by one of the plaintiffs and a proposed order governing next steps. On July 18, 2025, these consolidated lawsuits were stayed pending resolution of the putative securities class action described above. On July 3 and July 17, 2025, two additional derivative lawsuits were filed against certain of the Company’s officers and directors, and against the Company as a nominal defendant, in the Delaware Court of Chancery, asserting similar claims and seeking similar relief as the previously filed derivative lawsuits. On August 18, 2025, these two lawsuits were consolidated and stayed pending resolution of the putative securities class action described above.</w:t>
      </w:r>
    </w:p>
    <w:p>
      <w:pPr>
        <w:spacing w:after="0" w:line="191" w:lineRule="exact"/>
        <w:rPr>
          <w:rFonts w:ascii="Times New Roman" w:cs="Times New Roman" w:eastAsia="Times New Roman" w:hAnsi="Times New Roman"/>
          <w:sz w:val="18"/>
          <w:szCs w:val="18"/>
          <w:color w:val="auto"/>
        </w:rPr>
      </w:pPr>
    </w:p>
    <w:p>
      <w:pPr>
        <w:ind w:left="1140" w:hanging="322"/>
        <w:spacing w:after="0" w:line="256"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25, 2024, Delta Airlines, Inc. (“Delta”) filed a complaint against CrowdStrike, Inc. in the Superior Court for Fulton County, Georgia, alleging, among other things, computer trespass, trespass to personalty, breach of contract, intentional misrepresentation/fraud by omission, strict-liability product defect, gross negligence, and deceptive and unfair business practices. Delta is seeking unspecified monetary damages, attorneys’ fees and unspecified punitive damages. The matter has been transferred to the Metro Atlanta Business Case Division. On December 16, 2024, CrowdStrike, Inc. filed a motion to dismiss. On May 16, 2025, CrowdStrike, Inc.’s motion to dismiss was granted in part and denied in part. Discovery is ongoing.</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received requests for information from the U.S. Department of Justice and the U.S. Securities and Exchange Commission relating to the Company’s recognition of revenue and reporting of ARR for transactions with certain customers, the July 19 Incident and related matters. The Company is cooperating and providing information in response to these requests.</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Additionally, some customers and third parties have asserted claims against the Company. The Company has also received inquiries from other governmental authorities and third parties related to the July 19 Incident. The Company is cooperating and providing information in connection with these inquiries.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For any claims and legal proceedings for which the Company believes a liability is both probable and reasonably estimable, the Company records a liability in the period for which it makes this determination. For claims and legal proceedings where a loss may be reasonably possible, but not probable, or is probable but not reasonably estimable, no accrual is established. While the Company believes it is reasonably possible that it could incur losses associated with the claims, proceedings and inquiries described above, it is not possible to estimate the amount of any loss or range of possible loss that might result from adverse judgments, settlements, penalties or other resolutions of these claims, proceedings and inquiries based on their current stage, and the lack of resolution on significant factual and legal issues. Because the final outcome of any of these matters cannot be predicted with certainty, unfavorable or unexpected developments or outcomes could result in a material impact to the Company’s results of operations.</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to incur significant legal and professional services and other expenses associated with the July 19 Incident and related matters in future periods. These expenses will be recognized as incurred. Certain costs may be recoverable under the Company’s insurance policies in effect at the date of the July 19 Incident. Any amounts recoverable under such policies will be reflected in future periods in which recovery is considered probable.</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Amounts accrued and expenses incurred, net of insurance receivable recorded, associated with the July 19 Incident and related matters during the nine months ended October 31, 2025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31, 2025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21,145</w:t>
            </w:r>
          </w:p>
        </w:tc>
      </w:tr>
      <w:tr>
        <w:trPr>
          <w:trHeight w:val="230"/>
        </w:trPr>
        <w:tc>
          <w:tcPr>
            <w:tcW w:w="9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Expenses incurred, net of insurance receivable recorded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101,556</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 cash received</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(98,883)</w:t>
            </w:r>
          </w:p>
        </w:tc>
      </w:tr>
      <w:tr>
        <w:trPr>
          <w:trHeight w:val="22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October 31, 2025</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23,818</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340" w:right="80" w:hanging="332"/>
        <w:spacing w:after="0" w:line="263" w:lineRule="auto"/>
        <w:tabs>
          <w:tab w:leader="none" w:pos="36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expenses are included in the Company’s condensed consolidated statements of operations as sales and marketing expenses, research and development expenses, and general and administrative expenses. Accruals are recorded in accrued expenses in the Company’s condensed consolidated balance sheets. Insurance receivable is recorded in prepaid expenses and other current assets in the Company’s condensed consolidated balance sheets.</w:t>
      </w:r>
    </w:p>
    <w:p>
      <w:pPr>
        <w:spacing w:after="0" w:line="187"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addition to customer commitment packages, the Company has made an immaterial amount of settlement offers to certain customers in response to the July 19 Incident. These amounts are, or will be, entirely offset by recoveries under the Company’s insurance policies. Accordingly, there is no impact on the Company’s condensed consolidated statement of operations during the three and nine months ended October 31, 2025. The customer payables and insurance receivables were recorded as accrued expenses and as prepaid expenses and other current assets in the Company’s condensed consolidated balance sheet as of October 31, 2025, respectively.</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Other than as discussed above, there is no pending or threatened legal proceeding to which the Company is a party that, in the Company’s opinion, is reasonably possible to have a material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non-cancelable purchase commitments with various parties to purchase products and services such as data center capacity, advertising, technology, equipment, office renovations, corporate events, and consulting services. A summary of non-cancelable purchase obligations in excess of one year as of October 31, 2025, with expected date of payment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1"/>
        </w:trPr>
        <w:tc>
          <w:tcPr>
            <w:tcW w:w="97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Commitments</w:t>
            </w: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(remaining three months)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73,239</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563,984</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590,668</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589,668</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462,384</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291,547</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2,571,490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Unfunded Loan Commitments</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 provides financing arrangements for certain qualified end-users to purchase its products and services. When the Company enters into these financing arrangements with the end-users, the funds provided by the Company for the sales transactions do not always occur immediately upon signing, depending on the terms of the arrangements. The Company estimates an allowance for credit losses on these off-balance sheet credit exposures at each reporting period on the contractual period over which the Company is exposed to credit risk via a contractual obligation to extend credit, unless that obligation is unconditionally cancelable by the Company. As of October 31, 2025, the Company had non-cancelable unfunded commitments totaling approximately $121.3 million.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Warranties and Indemnification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such limited warranty arrangements. The Company’s customer arrangements generally include certain provisions for indemnifying customers against losses suffered or incurred as a result of third-party claims that the Company’s products or services infringe a third party’s intellectual property rights. From time to time, the Company has also agreed to certain other indemnifications and warranties. The Company has not incurred any material costs because of such obligations and has not accrued any liabilities related to such obligations in the condensed consolidated financial statements as of October 31, 2025 or January 31, 2025.</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October 31, 2025 or January 31,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Acquisitions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Pangea Cyber Corporation</w:t>
      </w:r>
    </w:p>
    <w:p>
      <w:pPr>
        <w:spacing w:after="0" w:line="256"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On September 26, 2025, the Company acquired 100% of the equity interest of Pangea Cyber Corporation (“Pangea”), a company that offers AI detection and response solutions.</w:t>
      </w:r>
    </w:p>
    <w:p>
      <w:pPr>
        <w:spacing w:after="0" w:line="175"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$212.1 million in cash, net of $9.4 million of cash and restricted cash acquired, and $0.3 million and $10.3 million representing the fair value of replacement equity and liability awards, respectively, attributable to pre-acquisition service. The remaining fair value of these replacement awards attributed to post-combination service was excluded from the purchase price. The cash consideration included (i) cash held back in an escrow fund for a partial security for post-closing true-up adjustments and (ii) cash held back in an escrow fund for a partial security for post-closing indemnification claims. Amounts are reflected within restricted cash and are expected to be released prior to the one-year anniversary of the closing date and in fiscal year 2028, respectively. The purchase price was allocated on a preliminary basis, subject to working capital adjustment and continuing management analysis, to developed technology of $13.2 million with a useful life of 72 months, net tangible liabilities of $0.7 million, and goodwill of $210.2 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The goodwill was primarily attributable to the assembled workforce of Pangea, planned growth in new markets, and synergies expected to be achieved from the integration of Pangea. Goodwill is not deductible for income tax purposes.</w:t>
      </w:r>
    </w:p>
    <w:p>
      <w:pPr>
        <w:spacing w:after="0" w:line="20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Per the terms of the merger agreement with Pangea, certain unvested stock options held by Pangea employees were canceled and exchanged for replacement stock options under the 2019 Plan. Additionally, certain shares of Pangea stock held by Pangea employees were exchanged for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Acquisition costs incurred during the nine months ended October 31, 2025 were $2.8 million.</w:t>
      </w:r>
    </w:p>
    <w:p>
      <w:pPr>
        <w:spacing w:after="0" w:line="225"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condensed consolidated financial statements from the date of acquisition. The acquisition of Pangea did not have a material impact on the Company’s condensed consolidated financial statements, and therefore historical and pro forma disclosures have not been presented.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Onum Technology Inc.</w:t>
      </w:r>
    </w:p>
    <w:p>
      <w:pPr>
        <w:spacing w:after="0" w:line="243" w:lineRule="exact"/>
        <w:rPr>
          <w:sz w:val="20"/>
          <w:szCs w:val="20"/>
          <w:color w:val="auto"/>
        </w:rPr>
      </w:pPr>
    </w:p>
    <w:p>
      <w:pPr>
        <w:ind w:right="540" w:firstLine="324"/>
        <w:spacing w:after="0" w:line="237" w:lineRule="auto"/>
        <w:rPr>
          <w:sz w:val="20"/>
          <w:szCs w:val="20"/>
          <w:color w:val="auto"/>
        </w:rPr>
      </w:pPr>
      <w:r>
        <w:rPr>
          <w:rFonts w:ascii="Times New Roman" w:cs="Times New Roman" w:eastAsia="Times New Roman" w:hAnsi="Times New Roman"/>
          <w:sz w:val="18"/>
          <w:szCs w:val="18"/>
          <w:color w:val="auto"/>
        </w:rPr>
        <w:t>On September 12, 2025, the Company acquired 100% of the equity interest of Onum Technology Inc. (“Onum”), a leader in real-time telemetry pipeline management.</w:t>
      </w:r>
    </w:p>
    <w:p>
      <w:pPr>
        <w:spacing w:after="0" w:line="199"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$251.8 million in cash, net of $15.2 million of cash and restricted cash acquired, and $2.0 million representing the fair value of replacement equity awards attributable to pre-acquisition service. The remaining fair value of these replacement awards attributed to post-combination service was excluded from the purchase price. The cash consideration included cash held back in an escrow fund for a partial security for post-closing indemnification claims. Escrow amounts are reflected within restricted cash and are expected to be released in fiscal year 2028. The purchase price was allocated on a preliminary basis, subject to working capital adjustment and continuing management analysis, to identifiable intangible assets, which include developed technology and customer relationships of $21.4 million, net tangible assets acquired of $0.4 million, and goodwill of $232.0 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In addition, the fair value of customer relationships was estimated using the with-and-without method. The goodwill was primarily attributable to the assembled workforce of Onum, planned growth in new markets, and synergies expected to be achieved from the integration of Onum. Goodwill is not deductible for income tax purposes.</w:t>
      </w:r>
    </w:p>
    <w:p>
      <w:pPr>
        <w:spacing w:after="0" w:line="23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Per the terms of the merger agreement with Onum, certain unvested stock options held by Onum employees were canceled and exchanged for replacement stock options under the 2019 Plan. Additionally, certain shares of Onum stock held by Onum employees were exchanged for shares 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period. The awards that are subject to both continued service and specified performance targets are recognized over the requisite service period when it is probable that the performance condition will be satisfied.</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23"/>
        </w:trPr>
        <w:tc>
          <w:tcPr>
            <w:tcW w:w="8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(in months)</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Acquisition costs incurred during the nine months ended October 31, 2025 were $3.9 million.</w:t>
      </w:r>
    </w:p>
    <w:p>
      <w:pPr>
        <w:spacing w:after="0" w:line="225"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condensed consolidated financial statements from the date of acquisition. The acquisition of Onum did not have a material impact on the Company’s condensed consolidated financial statements, and therefore historical and pro forma disclosures have not been presented.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Adaptive Shield</w:t>
      </w:r>
    </w:p>
    <w:p>
      <w:pPr>
        <w:spacing w:after="0" w:line="229"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On November 20, 2024, the Company acquired 100% of the equity interest of A.S. Adaptive Shield Ltd. (“Adaptive Shield”), a SaaS-based cybersecurity company that offers customers comprehensive SaaS security posture management solutions.</w:t>
      </w:r>
    </w:p>
    <w:p>
      <w:pPr>
        <w:spacing w:after="0" w:line="16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$213.7 million in cash, net of $13.7 million of cash acquired, and $0.7 million representing the fair value of replacement equity awards attributable to pre-acquisition service. The remaining fair value of these replacement awards attributed to post-combination service was excluded from the purchase price. The purchase price was allocated on a preliminary basis, subject to working capital adjustment and continuing management analysis, to identifiable intangible assets, which include developed technology and customer relationships of $31.1 million, net tangible liabilities acquired of $7.7 million, and goodwill of $191.0 million, which was allocated to the Company’s one reporting unit and represents the excess of the purchase price over the fair value of net tangible and intangible assets acquired. The goodwill was primarily attributable to the assembled workforce of Adaptive Shield, planned growth in new markets, and synergies expected to be achieved from the integration of Adaptive Shield. Goodwill is not deductible for income tax purposes.</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Per the terms of the share purchase agreement with Adaptive Shield, certain unvested stock options held by Adaptive Shield employees were canceled and exchanged for replacement stock options under the 2019 Plan. Additionally, certain shares of Adaptive Shield stock held by Adaptive Shield employees were exchanged for the right to receive shares of the Company’s common stock, subject to service-based vesting and other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8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23"/>
        </w:trPr>
        <w:tc>
          <w:tcPr>
            <w:tcW w:w="8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(in months)</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Acquisition costs incurred during the nine months ended October 31, 2025 were immaterial.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condensed consolidated financial statements from the date of acquisition. The acquisition of Adaptive Shield did not have a material impact on the Company’s condensed consolidated financial statements, and therefore historical and pro forma disclosures have not been presented.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Flow Security</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On March 26, 2024, the Company acquired 100% of the equity interest of Flow Security Ltd. (“Flow Security”), a leading provider of data security solutions.</w:t>
      </w:r>
    </w:p>
    <w:p>
      <w:pPr>
        <w:spacing w:after="0" w:line="162"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The total consideration transferred consisted of $96.4 million in cash, net of $0.8 million of cash acquired, and $0.5 million representing the fair value of replacement equity awards attributable to pre-acquisition service. The remaining fair value of these replacement awards attributed to post-combination service was excluded from the purchase price. The purchase price was allocated to developed technology of $13.5 million with a useful life of 72 months, net tangible liabilities acquired of $0.6 million, and goodwill of $84.0 million, which was allocated to the Company’s one reporting unit and represents the excess of the purchase price over the fair value of net tangible and intangible assets acquired. The goodwill was primarily attributable to the assembled workforce of Flow Security, planned growth in new markets, and synergies expected to be achieved from the integration of Flow Security. Goodwill is not deductible for income tax purposes.</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Per the terms of the share purchase agreement with Flow Security, certain unvested stock options held by Flow Security employees were canceled and exchanged for replacement stock options under the 2019 Plan. Additionally, certain shares of Flow Security stock held by Flow Security employees were exchanged for the right to receive shares of the Company’s common stock, subject to service-based vesting and other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acquisition have been included in the Company’s condensed consolidated financial statements from the date of acquisition. The acquisition of Flow Security did not have a material impact on the Company’s condensed consolidated financial statements, and therefore historical and pro forma disclosures have not been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Net Income (Loss) Per Share Attributable to Common Stockholders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CrowdStrike’s common stockholders is computed in conformity with the two-class method required for participating securities. Basic net income (loss) per share attributable to CrowdStrike common stockholders is computed by dividing the net income (loss)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effect of the weighted-average number of dilutive common share equivalents during the period. The dilutive potential shares of common stock are comprised of outstanding stock options, RSUs, PSUs, Special PSUs, ESPP obligations, and founder holdbacks, and are computed using the treasury stock method. The effects of the outstanding stock options, RSUs, PSUs, Special PSUs, ESPP obligations, and founder holdbacks are excluded from the computation of the diluted net income per share in periods in which the effect would be anti-dilutive. Diluted net loss per share is the same as basic net loss per share for the three and nine months ended October 31, 2025 and three months ended October 31, 2024 because the effects of potentially dilutive items were antidilutive given the Company’s net loss position during those periods.</w:t>
      </w:r>
    </w:p>
    <w:p>
      <w:pPr>
        <w:spacing w:after="0" w:line="19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income (loss) per share attributable to CrowdStrike common stockholders are the same for shares of Class A and Class B common stock. On December 11, 2024, all of the Company’s outstanding shares of Class B common stock were automatically converted into an equal number of shares of Class A common stock pursuant to the provisions of the Amended and Restated Certificate of Incorporation.</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attributable to CrowdStrike common stockholders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260" w:type="dxa"/>
            <w:vAlign w:val="bottom"/>
          </w:tcPr>
          <w:p>
            <w:pPr>
              <w:spacing w:after="0"/>
              <w:rPr>
                <w:sz w:val="20"/>
                <w:szCs w:val="20"/>
                <w:color w:val="auto"/>
              </w:rPr>
            </w:pPr>
          </w:p>
        </w:tc>
        <w:tc>
          <w:tcPr>
            <w:tcW w:w="30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(221,879)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income</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(loss) per share attributable to CrowdStrike common</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basic</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244,017</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0" w:type="dxa"/>
            <w:vAlign w:val="bottom"/>
          </w:tcPr>
          <w:p>
            <w:pPr>
              <w:spacing w:after="0"/>
              <w:rPr>
                <w:sz w:val="1"/>
                <w:szCs w:val="1"/>
                <w:color w:val="auto"/>
              </w:rPr>
            </w:pPr>
          </w:p>
        </w:tc>
      </w:tr>
      <w:tr>
        <w:trPr>
          <w:trHeight w:val="155"/>
        </w:trPr>
        <w:tc>
          <w:tcPr>
            <w:tcW w:w="452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Weighted-average shares used in computing net income</w:t>
            </w: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(loss) per share attributable to CrowdStrike common</w:t>
            </w:r>
          </w:p>
        </w:tc>
        <w:tc>
          <w:tcPr>
            <w:tcW w:w="2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251,326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245,536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249,905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250,747</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dilutive</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(loss) per share attributable to CrowdStrike</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stockholders, basic</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income (loss) per share attributable to CrowdStrike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520" w:type="dxa"/>
            <w:vAlign w:val="bottom"/>
            <w:vMerge w:val="continue"/>
          </w:tcPr>
          <w:p>
            <w:pPr>
              <w:spacing w:after="0"/>
              <w:rPr>
                <w:sz w:val="10"/>
                <w:szCs w:val="10"/>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0"/>
                <w:szCs w:val="10"/>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21"/>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stockholders, diluted</w:t>
            </w:r>
          </w:p>
        </w:tc>
        <w:tc>
          <w:tcPr>
            <w:tcW w:w="24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700" w:firstLine="324"/>
        <w:spacing w:after="0" w:line="271"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income (loss) per share attributable to common stockholders for the periods presented because including them would have been antidilutive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4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33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 subject to future vesting</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of common stock issuable from stock options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purchase rights under the Employee Stock Purchase</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55"/>
        </w:trPr>
        <w:tc>
          <w:tcPr>
            <w:tcW w:w="452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Potential common shares excluded from diluted net income</w:t>
            </w:r>
          </w:p>
        </w:tc>
        <w:tc>
          <w:tcPr>
            <w:tcW w:w="10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20" w:type="dxa"/>
            <w:vAlign w:val="bottom"/>
          </w:tcPr>
          <w:p>
            <w:pPr>
              <w:spacing w:after="0"/>
              <w:rPr>
                <w:sz w:val="13"/>
                <w:szCs w:val="13"/>
                <w:color w:val="auto"/>
              </w:rPr>
            </w:pPr>
          </w:p>
        </w:tc>
        <w:tc>
          <w:tcPr>
            <w:tcW w:w="1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100" w:type="dxa"/>
            <w:vAlign w:val="bottom"/>
          </w:tcPr>
          <w:p>
            <w:pPr>
              <w:spacing w:after="0"/>
              <w:rPr>
                <w:sz w:val="13"/>
                <w:szCs w:val="13"/>
                <w:color w:val="auto"/>
              </w:rPr>
            </w:pPr>
          </w:p>
        </w:tc>
        <w:tc>
          <w:tcPr>
            <w:tcW w:w="1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tcPr>
          <w:p>
            <w:pPr>
              <w:spacing w:after="0"/>
              <w:rPr>
                <w:sz w:val="13"/>
                <w:szCs w:val="13"/>
                <w:color w:val="auto"/>
              </w:rPr>
            </w:pPr>
          </w:p>
        </w:tc>
        <w:tc>
          <w:tcPr>
            <w:tcW w:w="1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5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per share</w:t>
            </w: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above table excludes founder holdbacks related to business combinations where a variable number of shares will be issued upon vesting to settle a fixed monetary amount of $46.9 million, contingent upon continued employment with the Company. The share price will be determined based on the Company’s average stock price or the volume weighted average stock price five days prior to each vesting date. During the three and nine months ended October 31, 2025, 3,546 shares and 16,550 shares, respectively, were issued to settle founder holdbacks at a weighted average price of $432.61 per share and $463.46 per share, respectively.</w:t>
      </w:r>
    </w:p>
    <w:p>
      <w:pPr>
        <w:spacing w:after="0" w:line="18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above table also excludes 499,608 and 790,544 shares of in progress PSUs and Special PSUs where pre-defined targets have not yet been achieved as of October 31, 2025 and October 31,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Segment Information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CrowdStrike’s Chief Operating Decision Maker (“CODM”), the Chief Executive Officer, manages the Company’s business activities as a single operating and reportable segment at the consolidated level. Accordingly, the CODM uses consolidated net income (loss) to measure segment profit or loss, evaluate financial performance, and allocate resources. Consolidated net income (loss) is evaluated on a monthly basis by comparing actual results against budgeted or forecasted net income (loss), facilitating the analysis of the Company’s financial trends.</w:t>
      </w:r>
    </w:p>
    <w:p>
      <w:pPr>
        <w:spacing w:after="0" w:line="180"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Significant expenses within net income (loss) include cost of revenue for subscription and professional services, sales and marketing expenses, research and development expenses, and general and administrative expenses. Other segment items within net income (loss) include interest expense, interest income, other income (expense), net, and provision for income taxes, which are each separately disclosed and presented in the condensed consolidated statements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property and equipment, net and operating lease right-of-use assets are summarized by geographic area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October 31, 2025</w:t>
            </w:r>
          </w:p>
        </w:tc>
        <w:tc>
          <w:tcPr>
            <w:tcW w:w="160" w:type="dxa"/>
            <w:vAlign w:val="bottom"/>
          </w:tcPr>
          <w:p>
            <w:pPr>
              <w:spacing w:after="0"/>
              <w:rPr>
                <w:sz w:val="18"/>
                <w:szCs w:val="18"/>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January 31, 2025</w:t>
            </w:r>
          </w:p>
        </w:tc>
      </w:tr>
      <w:tr>
        <w:trPr>
          <w:trHeight w:val="226"/>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688,766</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88,443</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54,194</w:t>
            </w:r>
          </w:p>
        </w:tc>
      </w:tr>
      <w:tr>
        <w:trPr>
          <w:trHeight w:val="22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 and operating lease right-of-use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994,322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831,403</w:t>
            </w:r>
          </w:p>
        </w:tc>
      </w:tr>
      <w:tr>
        <w:trPr>
          <w:trHeight w:val="21"/>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9 for additional information about the Company’s revenue by geographic region.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Strategic Plan</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On May 6, 2025, the Company announced a strategic plan (the “Plan”) to evolve its operations to yield greater efficiencies as the Company continues to scale its business with focus and discipline to meet its goals. The Plan resulted in a reduction of roles representing approximately 500 positions, or 5%, of the Company’s global workforce.</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actions associated with the Plan were substantially completed as of October 31, 2025. For the three months ended October 31, 2025, the Company recorded immaterial charges related to the Plan. For the nine months ended October 31, 2025, the Company recorded charges related to the Plan of $45.5 million, which consisted of $20.6 million related to severance payments and employee benefits, $17.8 million related to stock-based compensation expense, and $7.0 million for non-employee costs.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Charges (benefits) related to the Plan included in the condensed consolidated statement of operations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75"/>
        </w:trPr>
        <w:tc>
          <w:tcPr>
            <w:tcW w:w="7900" w:type="dxa"/>
            <w:vAlign w:val="bottom"/>
          </w:tcPr>
          <w:p>
            <w:pPr>
              <w:spacing w:after="0"/>
              <w:rPr>
                <w:sz w:val="15"/>
                <w:szCs w:val="15"/>
                <w:color w:val="auto"/>
              </w:rPr>
            </w:pPr>
          </w:p>
        </w:tc>
        <w:tc>
          <w:tcPr>
            <w:tcW w:w="17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 October 31,</w:t>
            </w: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9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October 31, 2025</w:t>
            </w: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cost of revenue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w:t>
            </w:r>
          </w:p>
        </w:tc>
        <w:tc>
          <w:tcPr>
            <w:tcW w:w="0" w:type="dxa"/>
            <w:vAlign w:val="bottom"/>
          </w:tcPr>
          <w:p>
            <w:pPr>
              <w:spacing w:after="0"/>
              <w:rPr>
                <w:sz w:val="1"/>
                <w:szCs w:val="1"/>
                <w:color w:val="auto"/>
              </w:rPr>
            </w:pPr>
          </w:p>
        </w:tc>
      </w:tr>
      <w:tr>
        <w:trPr>
          <w:trHeight w:val="22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activities related to the Plan for the three and nine months ended October 31, 2025 (in thousands):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right="1100"/>
        <w:spacing w:after="0" w:line="318" w:lineRule="auto"/>
        <w:rPr>
          <w:sz w:val="20"/>
          <w:szCs w:val="20"/>
          <w:color w:val="auto"/>
        </w:rPr>
      </w:pPr>
      <w:r>
        <w:rPr>
          <w:rFonts w:ascii="Times New Roman" w:cs="Times New Roman" w:eastAsia="Times New Roman" w:hAnsi="Times New Roman"/>
          <w:sz w:val="16"/>
          <w:szCs w:val="16"/>
          <w:color w:val="auto"/>
        </w:rPr>
        <w:t>Liability, beginning of the period Charges (benefits) Payments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Non-cash items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Liability, end of the period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7"/>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Three Months Ended October 31, 2025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7"/>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Nine Months Ended October 31, 2025</w:t>
            </w:r>
          </w:p>
        </w:tc>
        <w:tc>
          <w:tcPr>
            <w:tcW w:w="0" w:type="dxa"/>
            <w:vAlign w:val="bottom"/>
          </w:tcPr>
          <w:p>
            <w:pPr>
              <w:spacing w:after="0"/>
              <w:rPr>
                <w:sz w:val="1"/>
                <w:szCs w:val="1"/>
                <w:color w:val="auto"/>
              </w:rPr>
            </w:pPr>
          </w:p>
        </w:tc>
      </w:tr>
      <w:tr>
        <w:trPr>
          <w:trHeight w:val="159"/>
        </w:trPr>
        <w:tc>
          <w:tcPr>
            <w:tcW w:w="122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Severance and</w:t>
            </w:r>
          </w:p>
        </w:tc>
        <w:tc>
          <w:tcPr>
            <w:tcW w:w="122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Non-Employee</w:t>
            </w:r>
          </w:p>
        </w:tc>
        <w:tc>
          <w:tcPr>
            <w:tcW w:w="24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Severance and</w:t>
            </w:r>
          </w:p>
        </w:tc>
        <w:tc>
          <w:tcPr>
            <w:tcW w:w="122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Non-Employee</w:t>
            </w:r>
          </w:p>
        </w:tc>
        <w:tc>
          <w:tcPr>
            <w:tcW w:w="24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Related Costs</w:t>
            </w: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Related Costs</w:t>
            </w:r>
          </w:p>
        </w:tc>
        <w:tc>
          <w:tcPr>
            <w:tcW w:w="2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center"/>
              <w:ind w:left="499"/>
              <w:spacing w:after="0"/>
              <w:rPr>
                <w:sz w:val="20"/>
                <w:szCs w:val="20"/>
                <w:color w:val="auto"/>
              </w:rPr>
            </w:pPr>
            <w:r>
              <w:rPr>
                <w:rFonts w:ascii="Times New Roman" w:cs="Times New Roman" w:eastAsia="Times New Roman" w:hAnsi="Times New Roman"/>
                <w:sz w:val="16"/>
                <w:szCs w:val="16"/>
                <w:color w:val="auto"/>
                <w:w w:val="99"/>
              </w:rPr>
              <w:t>46</w:t>
            </w:r>
          </w:p>
        </w:tc>
        <w:tc>
          <w:tcPr>
            <w:tcW w:w="8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7"/>
              </w:rPr>
              <w:t>(20)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45,471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7"/>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(26,412)</w:t>
            </w: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(17,827)</w:t>
            </w:r>
          </w:p>
        </w:tc>
        <w:tc>
          <w:tcPr>
            <w:tcW w:w="0" w:type="dxa"/>
            <w:vAlign w:val="bottom"/>
          </w:tcPr>
          <w:p>
            <w:pPr>
              <w:spacing w:after="0"/>
              <w:rPr>
                <w:sz w:val="1"/>
                <w:szCs w:val="1"/>
                <w:color w:val="auto"/>
              </w:rPr>
            </w:pPr>
          </w:p>
        </w:tc>
      </w:tr>
      <w:tr>
        <w:trPr>
          <w:trHeight w:val="210"/>
        </w:trPr>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center"/>
              <w:ind w:left="499"/>
              <w:spacing w:after="0"/>
              <w:rPr>
                <w:sz w:val="20"/>
                <w:szCs w:val="20"/>
                <w:color w:val="auto"/>
              </w:rPr>
            </w:pPr>
            <w:r>
              <w:rPr>
                <w:rFonts w:ascii="Times New Roman" w:cs="Times New Roman" w:eastAsia="Times New Roman" w:hAnsi="Times New Roman"/>
                <w:sz w:val="16"/>
                <w:szCs w:val="16"/>
                <w:color w:val="auto"/>
                <w:w w:val="99"/>
              </w:rPr>
              <w:t>16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0" w:type="dxa"/>
            <w:vAlign w:val="bottom"/>
          </w:tcPr>
          <w:p>
            <w:pPr>
              <w:spacing w:after="0"/>
              <w:rPr>
                <w:sz w:val="1"/>
                <w:szCs w:val="1"/>
                <w:color w:val="auto"/>
              </w:rPr>
            </w:pPr>
          </w:p>
        </w:tc>
      </w:tr>
      <w:tr>
        <w:trPr>
          <w:trHeight w:val="23"/>
        </w:trPr>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-736600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-453390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-179070</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337" w:right="339" w:bottom="1440" w:gutter="0" w:footer="0" w:header="0"/>
          <w:type w:val="continuous"/>
        </w:sectPr>
      </w:pPr>
    </w:p>
    <w:p>
      <w:pPr>
        <w:spacing w:after="0" w:line="9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2025, the liability associated with the Plan is included in accrued payroll and benefits and accounts payable on the condensed consolidated balance sheet.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2025,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Founded in 2011, we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AI-native CrowdStrike Falcon platform – the first, true cloud-native unified platform built with artificial intelligence (“AI”) at the core, capable of harnessing vast amounts of security and enterprise data to deliver highly modular solutions through a single lightweight agent.</w:t>
      </w:r>
    </w:p>
    <w:p>
      <w:pPr>
        <w:spacing w:after="0" w:line="183" w:lineRule="exact"/>
        <w:rPr>
          <w:sz w:val="20"/>
          <w:szCs w:val="20"/>
          <w:color w:val="auto"/>
        </w:rPr>
      </w:pPr>
    </w:p>
    <w:p>
      <w:pPr>
        <w:ind w:right="280" w:firstLine="324"/>
        <w:spacing w:after="0" w:line="274" w:lineRule="auto"/>
        <w:rPr>
          <w:sz w:val="20"/>
          <w:szCs w:val="20"/>
          <w:color w:val="auto"/>
        </w:rPr>
      </w:pPr>
      <w:r>
        <w:rPr>
          <w:rFonts w:ascii="Times New Roman" w:cs="Times New Roman" w:eastAsia="Times New Roman" w:hAnsi="Times New Roman"/>
          <w:sz w:val="17"/>
          <w:szCs w:val="17"/>
          <w:color w:val="auto"/>
        </w:rPr>
        <w:t>We believe our approach has defined a new category called the Security Cloud, which has transformed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6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8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substantial majority of our customers purchase subscriptions with a term over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Certain Factors Affecting Our Performance</w:t>
      </w:r>
    </w:p>
    <w:p>
      <w:pPr>
        <w:spacing w:after="0" w:line="225" w:lineRule="exact"/>
        <w:rPr>
          <w:sz w:val="20"/>
          <w:szCs w:val="20"/>
          <w:color w:val="auto"/>
        </w:rPr>
      </w:pPr>
    </w:p>
    <w:p>
      <w:pPr>
        <w:ind w:right="140"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Adoption of Our Solutions. </w:t>
      </w:r>
      <w:r>
        <w:rPr>
          <w:rFonts w:ascii="Times New Roman" w:cs="Times New Roman" w:eastAsia="Times New Roman" w:hAnsi="Times New Roman"/>
          <w:sz w:val="17"/>
          <w:szCs w:val="17"/>
          <w:color w:val="auto"/>
        </w:rPr>
        <w:t>We believe our future success depends in large part on the growth in the market for cloud-based SaaS-delivered endpoint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5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Customer Acquisition. </w:t>
      </w:r>
      <w:r>
        <w:rPr>
          <w:rFonts w:ascii="Times New Roman" w:cs="Times New Roman" w:eastAsia="Times New Roman" w:hAnsi="Times New Roman"/>
          <w:sz w:val="18"/>
          <w:szCs w:val="18"/>
          <w:color w:val="auto"/>
        </w:rPr>
        <w:t>Our future growth depends in large part on our ability to acquire new customers. If our efforts to attract new customers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82"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Customer Retention and Increase Sales. </w:t>
      </w:r>
      <w:r>
        <w:rPr>
          <w:rFonts w:ascii="Times New Roman" w:cs="Times New Roman" w:eastAsia="Times New Roman" w:hAnsi="Times New Roman"/>
          <w:sz w:val="18"/>
          <w:szCs w:val="18"/>
          <w:color w:val="auto"/>
        </w:rPr>
        <w:t>Our ability to increase revenue depends in large part on our ability to retain our existing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increase the size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 in Growth. </w:t>
      </w:r>
      <w:r>
        <w:rPr>
          <w:rFonts w:ascii="Times New Roman" w:cs="Times New Roman" w:eastAsia="Times New Roman" w:hAnsi="Times New Roman"/>
          <w:sz w:val="18"/>
          <w:szCs w:val="18"/>
          <w:color w:val="auto"/>
        </w:rPr>
        <w:t>We believe that our market opportunity is large and requires us to continue to invest significantly in sales and marketing efforts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July 19 Incident</w:t>
      </w:r>
      <w:r>
        <w:rPr>
          <w:rFonts w:ascii="Times New Roman" w:cs="Times New Roman" w:eastAsia="Times New Roman" w:hAnsi="Times New Roman"/>
          <w:sz w:val="18"/>
          <w:szCs w:val="18"/>
          <w:color w:val="auto"/>
        </w:rPr>
        <w:t>. On July 19, 2024, we released a content configuration update for our Falcon sensor that resulted in system crashes for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Windows systems (the “July 19 Incident”). As a result of the July 19 Incident, we are subject to lawsuits, claims and inquiries as described in Note 10, “Commitments and Contingencies,” to our condensed consolidated financial statements in Part I, Item 1 of this Quarterly Report on Form 10-Q. We have incurred, and expect to continue to incur, significant legal and professional services and other general and administrative expenses associated with the July 19 Incident in future periods. It is not reasonably possible to quantify the precise impact of the July 19 Incident, but the incident has adversely affected our results of operations, and we currently expect a number of factors relating to the incident to adversely affect our key metrics and results of operations in future periods. While we have maintained high dollar-based gross retention rates following the incident, we have experienced delays in creating sales opportunities and longer sales cycles, including delays in customer purchasing decisions. Sales cycles may be elongated in future periods. In addition, because our customers typically sign contracts with terms of twelve months or longer, customer churn and any corresponding impact to our key metrics and revenue may occur in future periods. Customer commitment packages introduced following the July 19 Incident have included discounting, additional modules, professional services, flexible payment terms or subscription period extensions. Our customer commitment packages have resulted, and are expected to continue to result, in increased contraction, due to elongated subscription terms, and decreased upsell dollar values.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organization for a new subscription or renewal, or until such organization notifies us that it is not renewing its subscription.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ARR as of the dates presented (dollars in thousands):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7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October 31,</w:t>
            </w:r>
          </w:p>
        </w:tc>
        <w:tc>
          <w:tcPr>
            <w:tcW w:w="1020" w:type="dxa"/>
            <w:vAlign w:val="bottom"/>
            <w:tcBorders>
              <w:bottom w:val="single" w:sz="8" w:color="auto"/>
            </w:tcBorders>
          </w:tcPr>
          <w:p>
            <w:pPr>
              <w:spacing w:after="0"/>
              <w:rPr>
                <w:sz w:val="22"/>
                <w:szCs w:val="22"/>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recurring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4,922,006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4,017,540</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growth</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2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ARR grew to $4.9 billion as of October 31, 2025, of which $265.3 million and $680.2 million was net new ARR added for the three and nine months ended October 31, 2025, respectively. ARR grew to $4.0 billion as of October 31, 2024, of which $153.0 million and $582.3 million was net new ARR added for the three and nine months ended October 31, 2024,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spacing w:after="0" w:line="19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dollar-based net retention rate increased in the quarter ended October 31, 2025 over the prior quarter. Our dollar-based net retention rate can fluctuate from period to period due to large customer contracts in a given period and incentives provided, which may reduce our dollar-based net retention rate in subsequent periods. In addition, if our customers are not able to fully utilize their product subscriptions (including in connection with our flexible subscription offering), we may experience increased contraction as such customers may elect to renew with shorter subscription periods, fewer cloud modules, fewer endpoints or smaller contract values, which may reduce our dollar-based net retention rate.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Subscription revenue primarily consists of subscription fees for our Falcon platform and additional cloud modules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We generally invoice our subscription customers at the beginning of the subscription term, or in some instances, such as in multi-year arrangements, in installments. Consequently, a substantial portion of the revenue that we report in each period is attributable to the recognition of deferred revenue relating to subscriptions that we entered into during previous periods.</w:t>
      </w:r>
    </w:p>
    <w:p>
      <w:pPr>
        <w:spacing w:after="0" w:line="182" w:lineRule="exact"/>
        <w:rPr>
          <w:sz w:val="20"/>
          <w:szCs w:val="20"/>
          <w:color w:val="auto"/>
        </w:rPr>
      </w:pPr>
    </w:p>
    <w:p>
      <w:pPr>
        <w:ind w:right="2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Professional services revenue includes incident response and proactive services, forensic and malware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attribution analysis, operationalizing the Falcon Platform, residency program, and active defense services.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Subscription Cost of Revenue. </w:t>
      </w:r>
      <w:r>
        <w:rPr>
          <w:rFonts w:ascii="Times New Roman" w:cs="Times New Roman" w:eastAsia="Times New Roman" w:hAnsi="Times New Roman"/>
          <w:sz w:val="18"/>
          <w:szCs w:val="18"/>
          <w:color w:val="auto"/>
        </w:rPr>
        <w:t>Subscription cost of revenue consists primarily of costs related to hosting our cloud-based Falcon platform in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8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7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Cost of Revenue. </w:t>
      </w:r>
      <w:r>
        <w:rPr>
          <w:rFonts w:ascii="Times New Roman" w:cs="Times New Roman" w:eastAsia="Times New Roman" w:hAnsi="Times New Roman"/>
          <w:sz w:val="18"/>
          <w:szCs w:val="18"/>
          <w:color w:val="auto"/>
        </w:rPr>
        <w:t>Professional services cost of revenue consists primarily of employee-related costs, such as salaries and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expense, consulting expense, and an allocated portion of facilities and administrative costs.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as we grow our business,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other administrative functions.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primarily consist of employee-related expenses such as salaries, commissions, and bonuses.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marketing expenses also include stock-based compensation; expenses related to our marketing programs; and an allocated portion of facilities and administrative expenses. Sales and marketing expenses also include the amortization of deferred contract acquisition costs, which includes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spacing w:after="0" w:line="18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as we grow our business, although our sales and marketing expenses may fluctuate as a percentage of our total revenue from period to period depending on the timing of these expenses.</w:t>
      </w:r>
    </w:p>
    <w:p>
      <w:pPr>
        <w:spacing w:after="0" w:line="17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primarily consist of employee-related expenses such as salaries and bonuses; stock-based compensation; cloud hosting and related costs;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8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as we grow our business, although our research and development expenses may fluctuate as a percentage of our total revenue from period to period depending on the timing of these expenses.</w:t>
      </w:r>
    </w:p>
    <w:p>
      <w:pPr>
        <w:spacing w:after="0" w:line="178"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of employee-related expenses such as salaries and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spacing w:after="0" w:line="17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dollar amount over time. We expect to incur significant legal and professional services and other expenses associated with the July 19 Incident and related matters in future periods. General and administrative expenses may fluctuate as a percentage of our total revenue from period to period depending on the timing of these expenses.</w:t>
      </w:r>
    </w:p>
    <w:p>
      <w:pPr>
        <w:spacing w:after="0" w:line="174"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amortization of debt issuance costs, contractual interest expense for our Senior Notes issued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2021, and amortization of debt issuance costs on our secured Revolving Facility.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income earned on our cash and cash equivalents.</w:t>
      </w:r>
    </w:p>
    <w:p>
      <w:pPr>
        <w:spacing w:after="0" w:line="225" w:lineRule="exact"/>
        <w:rPr>
          <w:sz w:val="20"/>
          <w:szCs w:val="20"/>
          <w:color w:val="auto"/>
        </w:rPr>
      </w:pPr>
    </w:p>
    <w:p>
      <w:pPr>
        <w:ind w:right="6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consists primarily of gains and losses on strategic investments and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gains and losses.</w:t>
      </w:r>
    </w:p>
    <w:p>
      <w:pPr>
        <w:spacing w:after="0" w:line="15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consists of state income taxes in the United States, foreign income taxes, and withholding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customer payments in certain foreign jurisdictions in which we conduct business. We maintain a full valuation allowance on our U.S. federal and state and certain foreign deferred tax assets, including net operating loss carryforwards and tax credits, which we have determined are not realizable on a more-likely-than-not basis. We regularly evaluate the need for a valuation allowance.</w:t>
      </w:r>
    </w:p>
    <w:p>
      <w:pPr>
        <w:spacing w:after="0" w:line="207"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Income (Loss) Attributable to Non-controlling Interest</w:t>
      </w:r>
      <w:r>
        <w:rPr>
          <w:rFonts w:ascii="Times New Roman" w:cs="Times New Roman" w:eastAsia="Times New Roman" w:hAnsi="Times New Roman"/>
          <w:sz w:val="18"/>
          <w:szCs w:val="18"/>
          <w:color w:val="auto"/>
        </w:rPr>
        <w:t>. Net income (loss) attributable to non-controlling interest consists of the Falcon Funds’ non-controlling interest share of gains and losses and interest income from our strategic investments.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condensed consolidated statements of operations for each period presented (in thousands, except percentages):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 October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
        </w:trPr>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4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1,168,705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962,735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205,970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3,322,418</w:t>
            </w:r>
          </w:p>
        </w:tc>
        <w:tc>
          <w:tcPr>
            <w:tcW w:w="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2,753,164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569,254</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184,212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07"/>
        </w:trPr>
        <w:tc>
          <w:tcPr>
            <w:tcW w:w="2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1,234,244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1,010,178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224,066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3,506,630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2,895,086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611,544</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19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753,929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148,061</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Professional services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153,302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41,679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07"/>
        </w:trPr>
        <w:tc>
          <w:tcPr>
            <w:tcW w:w="2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cost of revenue</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307,805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255,087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52,718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907,231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717,491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189,740</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926,439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171,348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2,599,399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2,177,595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3"/>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481,032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72,765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1,367,673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1,113,852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3"/>
        </w:trPr>
        <w:tc>
          <w:tcPr>
            <w:tcW w:w="2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71,962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1,028,361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266,602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510,443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07"/>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995,882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810,814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185,068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2,906,477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2,212,724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693,753</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1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(271,949)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774 %</w:t>
            </w:r>
          </w:p>
        </w:tc>
        <w:tc>
          <w:tcPr>
            <w:tcW w:w="0" w:type="dxa"/>
            <w:vAlign w:val="bottom"/>
          </w:tcPr>
          <w:p>
            <w:pPr>
              <w:spacing w:after="0"/>
              <w:rPr>
                <w:sz w:val="1"/>
                <w:szCs w:val="1"/>
                <w:color w:val="auto"/>
              </w:rPr>
            </w:pPr>
          </w:p>
        </w:tc>
      </w:tr>
      <w:tr>
        <w:trPr>
          <w:trHeight w:val="213"/>
        </w:trPr>
        <w:tc>
          <w:tcPr>
            <w:tcW w:w="2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19"/>
        </w:trPr>
        <w:tc>
          <w:tcPr>
            <w:tcW w:w="2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2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(10,591)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145"/>
        </w:trPr>
        <w:tc>
          <w:tcPr>
            <w:tcW w:w="2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Income (loss) before provision for</w:t>
            </w: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(12,730)</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(184,829)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100,997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(285,826)</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4,439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12,935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1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(298,761)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162"/>
        </w:trPr>
        <w:tc>
          <w:tcPr>
            <w:tcW w:w="24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3"/>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(33,997)</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(16,822)</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(17,175)</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(221,879)</w:t>
            </w:r>
          </w:p>
        </w:tc>
        <w:tc>
          <w:tcPr>
            <w:tcW w:w="3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73,011</w:t>
            </w: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(294,890)</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CrowdStrike</w:t>
            </w:r>
          </w:p>
        </w:tc>
        <w:tc>
          <w:tcPr>
            <w:tcW w:w="2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60" w:type="dxa"/>
            <w:vAlign w:val="bottom"/>
            <w:gridSpan w:val="3"/>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components of our condensed consolidated statements of operations as a percentage of total revenue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334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3240" w:type="dxa"/>
            <w:vAlign w:val="bottom"/>
            <w:gridSpan w:val="2"/>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r>
      <w:tr>
        <w:trPr>
          <w:trHeight w:val="211"/>
        </w:trPr>
        <w:tc>
          <w:tcPr>
            <w:tcW w:w="46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0" w:type="dxa"/>
            <w:vAlign w:val="bottom"/>
            <w:tcBorders>
              <w:top w:val="single" w:sz="8" w:color="auto"/>
              <w:bottom w:val="single" w:sz="8" w:color="auto"/>
            </w:tcBorders>
          </w:tcPr>
          <w:p>
            <w:pPr>
              <w:jc w:val="right"/>
              <w:ind w:right="9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3"/>
        </w:trPr>
        <w:tc>
          <w:tcPr>
            <w:tcW w:w="4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jc w:val="right"/>
              <w:ind w:right="211"/>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spacing w:after="0"/>
              <w:rPr>
                <w:sz w:val="19"/>
                <w:szCs w:val="19"/>
                <w:color w:val="auto"/>
              </w:rPr>
            </w:pPr>
          </w:p>
        </w:tc>
      </w:tr>
      <w:tr>
        <w:trPr>
          <w:trHeight w:val="231"/>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95 %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95 %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5 %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100 %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100 %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21 %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22 %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4 %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26 %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75 %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74 %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39 %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39 %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28 %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29 %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14 %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15 %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81 %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83 %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4 %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20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1 %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CrowdStrike</w:t>
            </w: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October 31, 2025 and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total revenue from subscriptions and professional services for the three months ended October 31, 2025 as compared to the three months ended October 31, 2024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1,168,705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962,735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205,970</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224,066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Total revenue increased by $224.1 million, or 22%, for the three months ended October 31, 2025 compared to the three months ended October 31, 2024. Subscription revenue accounted for 95% of total revenue for each of the three months ended October 31, 2025 and October 31, 2024. Professional services revenue accounted for 5% of our total revenue for each of the three months ended October 31, 2025 and October 31,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Subscription revenue increased by $206.0 million, or 21%, for the three months ended October 31, 2025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which was primarily driven by a combination of the addition of new customers and the sale of additional sensors and modules to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Professional services revenue increased by $18.1 million, or 38%, for the three months ended October 31, 2025, compared to the three months ended October 31, 2024, which was primarily attributable to an increase in the number of professional service hours.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cost of revenue related to subscriptions and professional services for the three months ended October 31, 2025 as compared to the three months ended October 31, 2024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2"/>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216,301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cost of revenue increased by $52.7 million, or 21%, for the three months ended October 31, 2025 compared to the three months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Subscription cost of revenue increased by $41.6 million, or 19%, for the three months ended October 31, 2025, compared to the</w:t>
      </w:r>
    </w:p>
    <w:p>
      <w:pPr>
        <w:spacing w:after="0" w:line="219" w:lineRule="auto"/>
        <w:rPr>
          <w:sz w:val="20"/>
          <w:szCs w:val="20"/>
          <w:color w:val="auto"/>
        </w:rPr>
      </w:pPr>
      <w:r>
        <w:rPr>
          <w:rFonts w:ascii="Times New Roman" w:cs="Times New Roman" w:eastAsia="Times New Roman" w:hAnsi="Times New Roman"/>
          <w:sz w:val="18"/>
          <w:szCs w:val="18"/>
          <w:color w:val="auto"/>
        </w:rPr>
        <w:t>three months ended October 31, 2024. The increase in subscription cost of revenue was primarily due to an increase in cloud hosting and related services</w:t>
      </w:r>
    </w:p>
    <w:p>
      <w:pPr>
        <w:spacing w:after="0" w:line="234" w:lineRule="auto"/>
        <w:rPr>
          <w:sz w:val="20"/>
          <w:szCs w:val="20"/>
          <w:color w:val="auto"/>
        </w:rPr>
      </w:pPr>
      <w:r>
        <w:rPr>
          <w:rFonts w:ascii="Times New Roman" w:cs="Times New Roman" w:eastAsia="Times New Roman" w:hAnsi="Times New Roman"/>
          <w:sz w:val="18"/>
          <w:szCs w:val="18"/>
          <w:color w:val="auto"/>
        </w:rPr>
        <w:t>costs of $11.3 million, an increase in employee-related expenses of $8.6 million driven by a 17% increase in average headcount, an increase in depreciation</w:t>
      </w:r>
    </w:p>
    <w:p>
      <w:pPr>
        <w:spacing w:after="0" w:line="235" w:lineRule="auto"/>
        <w:rPr>
          <w:sz w:val="20"/>
          <w:szCs w:val="20"/>
          <w:color w:val="auto"/>
        </w:rPr>
      </w:pPr>
      <w:r>
        <w:rPr>
          <w:rFonts w:ascii="Times New Roman" w:cs="Times New Roman" w:eastAsia="Times New Roman" w:hAnsi="Times New Roman"/>
          <w:sz w:val="18"/>
          <w:szCs w:val="18"/>
          <w:color w:val="auto"/>
        </w:rPr>
        <w:t>of data center equipment of $8.3 million, an increase in amortization of internal-use software of $5.8 million, an increase in allocated overhead costs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and an increase in stock-based compensation expense of $5.0 million.</w:t>
      </w:r>
    </w:p>
    <w:p>
      <w:pPr>
        <w:spacing w:after="0" w:line="20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Professional services cost of revenue increased by $11.1 million, or 29%, for the three months ended October 31, 2025, compared to the three months ended October 31, 2024. The increase in professional services cost of revenue was primarily due to an increase in consulting expenses of $6.1 million, an increase in employee-related expenses of $2.1 million driven by a 11% increase in average headcount, and an increase in stock-based compensation expense of $1.9 million.</w:t>
      </w:r>
    </w:p>
    <w:p>
      <w:pPr>
        <w:spacing w:after="0" w:line="180"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gross profit and gross margin for subscriptions and professional services for the three months ended October 31, 2025 as compared to the three months ended October 31, 2024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4"/>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910,790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746,434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164,356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profit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8,657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17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926,439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755,091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171,348</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vMerge w:val="restart"/>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740" w:type="dxa"/>
            <w:vAlign w:val="bottom"/>
            <w:gridSpan w:val="4"/>
          </w:tcPr>
          <w:p>
            <w:pPr>
              <w:jc w:val="center"/>
              <w:ind w:left="3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margin</w:t>
            </w:r>
          </w:p>
        </w:tc>
        <w:tc>
          <w:tcPr>
            <w:tcW w:w="2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gross margin</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margin</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Subscription gross margin was flat for the three months ended October 31, 2025, compared to the three months ended October 31, 2024.</w:t>
      </w:r>
    </w:p>
    <w:p>
      <w:pPr>
        <w:spacing w:after="0" w:line="22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Professional services gross margin increased by six percentage points for the three months ended October 31, 2025, compared to the three months ended October 31, 2024. The increase in professional services gross margin was primarily due to an increase in the number of professional service hours, partially offset by an increase in consulting expense during the three months ended October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sales and marketing expenses for the three months ended October 31, 2025 as compared to the three months ended October 31, 2024 (in thousands, except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by $72.8 million, or 18%, for the three months ended October 31, 2025 compared to the three months ended October 31, 2024. The increase in sales and marketing expenses was primarily due to an increase in employee-related expenses of $36.6 million driven by a 10% increase in average headcount, an increase in stock-based compensation expense of $17.5 million, an increase in marketing programs of $9.0 million, an increase in allocated overhead costs of $5.3 million, an increase in employee benefits of $4.5 million, an increase in cloud hosting and related services costs of $4.5 million, and an increase in travel expenses of $2.4 million, partially offset by a decrease in expenses associated with the July 19 Incident and related matters of $14.9 million.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shows research and development expenses for the three months ended October 31, 2025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(in thousands, except percentages):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bl>
    <w:p>
      <w:pPr>
        <w:spacing w:after="0" w:line="265" w:lineRule="exact"/>
        <w:rPr>
          <w:sz w:val="20"/>
          <w:szCs w:val="20"/>
          <w:color w:val="auto"/>
        </w:rPr>
      </w:pPr>
    </w:p>
    <w:p>
      <w:pPr>
        <w:ind w:right="40" w:firstLine="324"/>
        <w:spacing w:after="0" w:line="232" w:lineRule="auto"/>
        <w:rPr>
          <w:sz w:val="20"/>
          <w:szCs w:val="20"/>
          <w:color w:val="auto"/>
        </w:rPr>
      </w:pPr>
      <w:r>
        <w:rPr>
          <w:rFonts w:ascii="Times New Roman" w:cs="Times New Roman" w:eastAsia="Times New Roman" w:hAnsi="Times New Roman"/>
          <w:sz w:val="18"/>
          <w:szCs w:val="18"/>
          <w:color w:val="auto"/>
        </w:rPr>
        <w:t>Research and development expenses increased by $72.0 million, or 26%, for the three months ended October 31, 2025 compared to the three months ended October 31, 2024. This increase was primarily due to an increase in stock-based compensation expense of $27.2 million, an increase in employee-related expenses of $26.6 million driven by a 17% increase in average headcount, an increase in cloud hosting and related costs of $9.9 million, an increase in allocated overhead costs of $7.7 million, and an increase in employee benefits of $2.4 million, partially offset by an increase in software capitalization of $0.5 million, and a decrease in other labor expense of $2.5 million.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shows general and administrative expenses for the three months ended October 31, 2025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(in thousands, except percentages):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4"/>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$40.3 million, or 32%, for the three months ended October 31, 2025 compared to the three months ended October 31, 2024. The increase in general and administrative expenses was primarily due to an increase in stock-based compensation expense of $22.4 million, an increase in expenses associated with the July 19 Incident and related matters of $9.1 million, an increase in consulting expense of $3.2 million, an increase in employee-related expenses of $2.3 million driven by a 18% increase in average headcount, and an increase in allocated overhead costs of $1.2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Income (Expense), Net</w:t>
      </w:r>
    </w:p>
    <w:p>
      <w:pPr>
        <w:spacing w:after="0" w:line="229" w:lineRule="exact"/>
        <w:rPr>
          <w:sz w:val="20"/>
          <w:szCs w:val="20"/>
          <w:color w:val="auto"/>
        </w:rPr>
      </w:pPr>
    </w:p>
    <w:p>
      <w:pPr>
        <w:jc w:val="both"/>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interest income, and other income (expense), net for the three months ended October 31, 2025 as compared to the three months ended October 31, 2024 (in thousands, except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4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bl>
    <w:p>
      <w:pPr>
        <w:spacing w:after="0" w:line="2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amortization of debt issuance costs, contractual interest expense, accretion of debt discount for our Senior Notes issued in January 2021, and amortization of debt issuance costs on our Revolving Facility.</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decrease in interest income for the three months ended October 31, 2025 compared to the three months ended October 31, 2024 was driven by lower market rates, partially offset by higher cash balance.</w:t>
      </w:r>
    </w:p>
    <w:p>
      <w:pPr>
        <w:spacing w:after="0" w:line="16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increase in other income (expense), net for the three months ended October 31, 2025 compared to the three months ended October 31, 2024 was primarily due to an increase in net foreign currency transaction gains of $1.6 million, and an increase in gains from deferred compensation assets of $0.5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the provision for income taxes for the three months ended October 31, 2025 as compared to the three months ended October 31, 2024 (in thousands, except percentage):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08"/>
        </w:trPr>
        <w:tc>
          <w:tcPr>
            <w:tcW w:w="48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bl>
    <w:p>
      <w:pPr>
        <w:spacing w:after="0" w:line="27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increase in provision for income taxes of $4.4 million during the three months ended October 31, 2025 compared to the three months ended October 31, 2024 was primarily attributable to income taxes in foreign jurisdictions and withholding taxes related to customer payments in certain foreign jurisdictions in which the Company conducts business.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October 31, 2025 and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total revenue from subscriptions and professional services for the nine months ended October 31, 2025 as compared to the nine months ended October 31, 2024 (in thousands, except percentages):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3,322,418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2,753,164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569,254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42,290</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3,506,630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2,895,086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611,544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Total revenue increased by $611.5 million, or 21%, for the nine months ended October 31, 2025 compared to the nine months ended October 31, 2024. Subscription revenue accounted for 95% total revenue for both the nine months ended October 31, 2025 and October 31, 2024. Professional services revenue accounted for 5% of our total revenue for both the nine months ended October 31, 2025 and October 31, 2024.</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Subscription revenue increased by $569.3 million, or 21%, for the nine months ended October 31, 2025,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which was primarily driven by a combination of the addition of new customers and the sale of additional sensors and modules to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w:t>
      </w:r>
    </w:p>
    <w:p>
      <w:pPr>
        <w:spacing w:after="0" w:line="20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Professional services revenue increased by $42.3 million, or 30%, for the nine months ended October 31, 2025, compared to the nine months ended October 31, 2024, which was primarily attributable to an increase in the number of professional service hours.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cost of revenue related to subscriptions and professional services for the nine months ended October 31, 2025 as compared to the nine months ended October 31, 2024 (in thousands, except percentages):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c>
          <w:tcPr>
            <w:tcW w:w="28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8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753,929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605,868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148,061</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41,679</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189,740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ind w:right="640" w:firstLine="324"/>
        <w:spacing w:after="0" w:line="230" w:lineRule="auto"/>
        <w:rPr>
          <w:sz w:val="20"/>
          <w:szCs w:val="20"/>
          <w:color w:val="auto"/>
        </w:rPr>
      </w:pPr>
      <w:r>
        <w:rPr>
          <w:rFonts w:ascii="Times New Roman" w:cs="Times New Roman" w:eastAsia="Times New Roman" w:hAnsi="Times New Roman"/>
          <w:sz w:val="18"/>
          <w:szCs w:val="18"/>
          <w:color w:val="auto"/>
        </w:rPr>
        <w:t>Total cost of revenue increased by $189.7 million, or 26%, for the nine months ended October 31, 2025 compared to the nine months ended October 31, 2024. Subscription cost of revenue increased by $148.1 million, or 24%, for the nine months ended October 31, 2025, compared to the</w:t>
      </w:r>
    </w:p>
    <w:p>
      <w:pPr>
        <w:spacing w:after="0" w:line="1"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nine months ended October 31, 2024. The increase in subscription cost of revenue was primarily due to an increase in employee-related expenses of $37.0 million driven by a 19% increase in average headcount, an increase in cloud hosting and related services costs of $34.5 million, an increase in depreciation of data center equipment of $23.7 million, an increase in stock-based compensation expense of $21.8 million, an increase in amortization of internal-use software of $16.2 million, and an increase in allocated overhead costs of $13.6 million.</w:t>
      </w:r>
    </w:p>
    <w:p>
      <w:pPr>
        <w:spacing w:after="0" w:line="18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Professional services cost of revenue increased by $41.7 million, or 37%, for the nine months ended October 31, 2025, compared to the nine months ended October 31, 2024. The increase in professional services cost of revenue was primarily due to an increase in consulting expenses of $15.1 million, an increase in employee-related expenses of $12.5 million driven by a 13% increase in average headcount, an increase in stock-based compensation expense of $7.0 million, charges related to the Plan of $3.4 million, and an increase in allocated overhead costs of $2.1 million.</w:t>
      </w:r>
    </w:p>
    <w:p>
      <w:pPr>
        <w:spacing w:after="0" w:line="180"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gross profit and gross margin for subscriptions and professional services for the nine months ended October 31, 2025 as compared to the nine months ended October 31, 2024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8"/>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280" w:type="dxa"/>
            <w:vAlign w:val="bottom"/>
          </w:tcPr>
          <w:p>
            <w:pPr>
              <w:spacing w:after="0"/>
              <w:rPr>
                <w:sz w:val="18"/>
                <w:szCs w:val="18"/>
                <w:color w:val="auto"/>
              </w:rPr>
            </w:pPr>
          </w:p>
        </w:tc>
        <w:tc>
          <w:tcPr>
            <w:tcW w:w="120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gridSpan w:val="4"/>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2,568,489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2,147,296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421,193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profit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30,299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7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profit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2,599,399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2,177,595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421,804</w:t>
            </w:r>
          </w:p>
        </w:tc>
        <w:tc>
          <w:tcPr>
            <w:tcW w:w="1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Nine Months Ended October 31,</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vMerge w:val="restart"/>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740" w:type="dxa"/>
            <w:vAlign w:val="bottom"/>
            <w:gridSpan w:val="4"/>
          </w:tcPr>
          <w:p>
            <w:pPr>
              <w:jc w:val="center"/>
              <w:ind w:left="3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margin</w:t>
            </w:r>
          </w:p>
        </w:tc>
        <w:tc>
          <w:tcPr>
            <w:tcW w:w="2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gross margin</w:t>
            </w:r>
          </w:p>
        </w:tc>
        <w:tc>
          <w:tcPr>
            <w:tcW w:w="2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margin</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Subscription gross margin slightly decreased by one percentage point for the nine months ended October 31, 2025, compared to the nine months ended October 31, 2024. The decrease in subscription gross margin was primarily due to an increase in stock-based compensation expense, and an increase in depreciation of data center equipment during the nine months ended October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Professional services gross margin decreased by four percentage points for the nine months ended October 31, 2025, compared to the nine months ended October 31, 2024. The decrease in professional services gross margin was primarily due to an increase in consulting expense during the nine months ended October 31, 2025.</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sales and marketing expenses for the nine months ended October 31, 2025 as compared to the nine months ended October 31, 2024 (in thousands, except percentages):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8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253,821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9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by $253.8 million, or 23%, for the nine months ended October 31, 2025 compared to the nine months ended October 31, 2024. The increase in sales and marketing expenses was primarily due to an increase in employee-related expenses of $130.8 million driven by a 12% increase in average headcount, an increase in stock-based compensation expense of $41.6 million, an increase in marketing programs of $26.5 million, an increase in allocated overhead costs of $16.7 million, an increase in employee benefits of $14.3 million, an increase in travel expenses of $10.5 million, charges related to the Plan of $9.1 million, and an increase in term-based software licenses of $2.8 million, partially offset by a decrease of $17.4 million of expenses associated with the July 19 Incident and related matters, and a decrease in company events expenses of $5.5 million.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shows research and development expenses for the nine months ended October 31, 2025 as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(in thousands,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8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266,602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bl>
    <w:p>
      <w:pPr>
        <w:spacing w:after="0" w:line="265" w:lineRule="exact"/>
        <w:rPr>
          <w:sz w:val="20"/>
          <w:szCs w:val="20"/>
          <w:color w:val="auto"/>
        </w:rPr>
      </w:pPr>
    </w:p>
    <w:p>
      <w:pPr>
        <w:ind w:right="40" w:firstLine="324"/>
        <w:spacing w:after="0" w:line="233" w:lineRule="auto"/>
        <w:rPr>
          <w:sz w:val="20"/>
          <w:szCs w:val="20"/>
          <w:color w:val="auto"/>
        </w:rPr>
      </w:pPr>
      <w:r>
        <w:rPr>
          <w:rFonts w:ascii="Times New Roman" w:cs="Times New Roman" w:eastAsia="Times New Roman" w:hAnsi="Times New Roman"/>
          <w:sz w:val="18"/>
          <w:szCs w:val="18"/>
          <w:color w:val="auto"/>
        </w:rPr>
        <w:t>Research and development expenses increased by $266.6 million, or 35%, for the nine months ended October 31, 2025 compared to the nine months ended October 31, 2024. This increase was primarily due to an increase in stock-based compensation expense of $98.9 million, an increase in employee-related expenses of $93.4 million driven by a 20% increase in average headcount, an increase in cloud hosting and related costs of $35.0 million, an increase in allocated overhead costs of $21.4 million, charges related to the Plan of $16.8 million, an increase in employee benefits of $11.3 million, and an increase in term-based software licenses of $2.3 million, partially offset by a decrease in other labor expenses of $11.3 million, and an increase in software capitalization of $10.2 million.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shows general and administrative expenses for the nine months ended October 31, 2025 as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(in thousands, except percentages):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48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bl>
    <w:p>
      <w:pPr>
        <w:spacing w:after="0" w:line="2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$173.3 million, or 51%, for the nine months ended October 31, 2025 compared to the nine months ended October 31, 2024. The increase in general and administrative expenses was primarily due to an increase in expenses associated with the July 19 Incident and related matters of $82.0 million, an increase in stock-based compensation expense of $43.7 million, charges related to the Plan of $12.6 million, an increase in employee-related expenses of $10.5 million driven by a 19% increase in average headcount, an increase in allocated overhead costs of $3.6 million, an increase in legal expense of $3.4 million unrelated to the July 19 Incident or related matters, an increase in term-based software licenses of $2.6 million, an increase in consulting expense of $2.0 million, and an increase in travel expenses of $1.9 million.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Income (Expense), Net</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interest income, and other income (expense), net for the nine months ended October 31, 2025 as compared to the nine months ended October 31, 2024 (in thousands, except 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8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149,577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spacing w:after="0" w:line="2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amortization of debt issuance costs, contractual interest expense, accretion of debt discount for our Senior Notes issued in January 2021, and amortization of debt issuance costs on our Revolving Facility.</w:t>
      </w:r>
    </w:p>
    <w:p>
      <w:pPr>
        <w:spacing w:after="0" w:line="16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decrease in interest income for the nine months ended October 31, 2025 compared to the nine months ended October 31, 2024 was driven by lower market rates, partially offset by higher cash balance.</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decrease in other income (expense), net for the nine months ended October 31, 2025 compared to the nine months ended October 31, 2024 was primarily due to a decrease in net realized gains on our strategic investments of $6.2 million, an increase in net foreign currency transaction losses of $3.7 million, and downward adjustments and impairment of $1.6 million of our strategic investments, partially offset by an increase in gains from deferred compensation assets of $0.7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shows the provision for income taxes for the nine months ended October 31, 2025 as compared to the nine months ended October 31, 2024 (in thousands, except percentage):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8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bl>
    <w:p>
      <w:pPr>
        <w:spacing w:after="0" w:line="27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increase in provision for income taxes of $12.9 million during the nine months ended October 31, 2025 compared to the nine months ended October 31, 2024 was primarily attributable to income taxes in foreign jurisdictions and withholding taxes related to customer payments in certain foreign jurisdictions in which the Company conducts business.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as of October 31, 2025, consisted of: (i) $4.8 billion in cash and cash equivalents, which mainly consists of cash on hand and highly liquid investments in money market funds, U.S. Treasury bills, and time deposits, (ii) cash we expect to generate from operations, and (iii) available capacity under our $750.0 million Revolving Facility. It is not currently possible to reasonably estimate the amount of loss or range of possible loss that might result from adverse judgments, settlements, penalties, or other resolution of proceedings resulting from the July 19 Incident or related matters. However, despite such uncertainties, we expect that the combination of our existing cash and cash equivalents, cash flows from operations, and the Revolving Facility will be sufficient to meet our anticipated cash needs for working capital and capital expenditures for at least the next 12 months. Our Revolving Facility matures on January 2, 2026.</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short-term and long-term liquidity requirements primarily arise from: (i) business acquisitions and investments we may make from time to time,</w:t>
      </w:r>
    </w:p>
    <w:p>
      <w:pPr>
        <w:spacing w:after="0" w:line="27" w:lineRule="exact"/>
        <w:rPr>
          <w:sz w:val="20"/>
          <w:szCs w:val="20"/>
          <w:color w:val="auto"/>
        </w:rPr>
      </w:pPr>
    </w:p>
    <w:p>
      <w:pPr>
        <w:ind w:right="60" w:firstLine="8"/>
        <w:spacing w:after="0" w:line="253"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historically generated operating losses, as reflected in our accumulated deficit of $1.3 billion as of October 31, 2025. We expect to continue to make investments, particularly in sales and marketing and research and development. As a result, we may require additional capital resources in the future to execute strategic initiatives to grow our business.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generally invoice our subscription customers at the beginning of the subscription term, or in some instances, such as in multi-year arrangements, in installments.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October 31, 2025, we had deferred revenue of $4.1 billion, of which $2.9 billion was recorded as a current liability and is expected to be recorded as revenue in the next 12 months, provided all other revenue recognition criteria have been met.</w:t>
      </w:r>
    </w:p>
    <w:p>
      <w:pPr>
        <w:spacing w:after="0" w:line="18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72"/>
        </w:trPr>
        <w:tc>
          <w:tcPr>
            <w:tcW w:w="7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October 31,</w:t>
            </w:r>
          </w:p>
        </w:tc>
      </w:tr>
      <w:tr>
        <w:trPr>
          <w:trHeight w:val="223"/>
        </w:trPr>
        <w:tc>
          <w:tcPr>
            <w:tcW w:w="7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1,036,005</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(641,503)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(211,569)</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60,822</w:t>
            </w: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884,617</w:t>
            </w:r>
          </w:p>
        </w:tc>
      </w:tr>
    </w:tbl>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during the nine months ended October 31, 2025 was $1.1 billion, which resulted from net loss of $222.6 million, adjusted for non-cash charges of $1.4 billion and net cash outflow of $27.4 million from changes in operating assets and liabilities. Non-cash charges primarily consisted of $822.7 million in stock-based compensation expense, $325.4 million of amortization of deferred contract acquisition costs, $180.9 million of depreciation and amortization, $23.1 million of amortization of intangibles assets, $12.6 million of non-cash operating lease costs, $3.5 million of non-cash interest expense, and $1.6 million change in fair value of strategic investments, partially offset by $5.4 million of deferred income taxes. The net cash outflow from changes in operating assets and liabilities was primarily due to an increase of $333.7 million in deferred revenue, a decrease of $116.2 million in accounts receivable, an increase of $32.6 million in accrued payroll and benefits, and an increase of $19.9 million in accrued expenses and other liabilities, partially offset by an increase of $431.7 million in deferred contract acquisition costs, an increase of $79.4 million in prepaid expenses and other assets, a decrease of $9.6 million in accounts payable, and a decrease of $9.0 million in operating lease liabilities.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of $641.5 million during the nine months ended October 31, 2025 was primarily due to business acquisitions, net of cash acquired, of $380.9 million, purchases of property and equipment of $199.6 million, capitalized internal-use software and website development costs of $51.5 million, purchases of strategic investments of $10.3 million, and purchases of deferred compensation investments of $4.3 million, partially offset by proceeds from sales of strategic investments of $4.9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$81.1 million during the nine months ended October 31, 2025 was primarily due to proceeds from our employee stock purchase plan of $74.6 million, capital contributions from non-controlling interests of $6.0 million, and proceeds from the exercise of stock options of $2.6 million, partially offset by distributions to non-controlling interest holders of $2.2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Senior Notes are guaranteed on a senior, unsecured basis by CrowdStrike, Inc. and CrowdStrike Financial Services, Inc., wholly owned subsidiaries of CrowdStrike Holdings, Inc. (the “subsidiary guarantors,” and together with CrowdStrike Holdings, Inc., the “Obligor Group”). The guarantee is full and unconditional and is subject to certain conditions for release. See Note 5, “Debt,” to our condensed consolidated financial statements in Part I, Item 1 of this Quarterly Report on Form 10-Q, for a brief description of the Senior Notes.</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conduct our operations almost entirely through our subsidiaries. Accordingly, the Obligor Group’s cash flows and ability to service the Senior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condensed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00" w:type="dxa"/>
            <w:vAlign w:val="bottom"/>
          </w:tcPr>
          <w:p>
            <w:pPr>
              <w:spacing w:after="0"/>
              <w:rPr>
                <w:sz w:val="17"/>
                <w:szCs w:val="17"/>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3"/>
        </w:trPr>
        <w:tc>
          <w:tcPr>
            <w:tcW w:w="9140" w:type="dxa"/>
            <w:vAlign w:val="bottom"/>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October 31, 2025</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3,509,373</w:t>
            </w:r>
          </w:p>
        </w:tc>
        <w:tc>
          <w:tcPr>
            <w:tcW w:w="0" w:type="dxa"/>
            <w:vAlign w:val="bottom"/>
          </w:tcPr>
          <w:p>
            <w:pPr>
              <w:spacing w:after="0"/>
              <w:rPr>
                <w:sz w:val="1"/>
                <w:szCs w:val="1"/>
                <w:color w:val="auto"/>
              </w:rPr>
            </w:pP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965,277</w:t>
            </w:r>
          </w:p>
        </w:tc>
        <w:tc>
          <w:tcPr>
            <w:tcW w:w="0" w:type="dxa"/>
            <w:vAlign w:val="bottom"/>
          </w:tcPr>
          <w:p>
            <w:pPr>
              <w:spacing w:after="0"/>
              <w:rPr>
                <w:sz w:val="1"/>
                <w:szCs w:val="1"/>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2,928,982</w:t>
            </w:r>
          </w:p>
        </w:tc>
        <w:tc>
          <w:tcPr>
            <w:tcW w:w="0" w:type="dxa"/>
            <w:vAlign w:val="bottom"/>
          </w:tcPr>
          <w:p>
            <w:pPr>
              <w:spacing w:after="0"/>
              <w:rPr>
                <w:sz w:val="1"/>
                <w:szCs w:val="1"/>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(384,886)</w:t>
            </w:r>
          </w:p>
        </w:tc>
        <w:tc>
          <w:tcPr>
            <w:tcW w:w="0" w:type="dxa"/>
            <w:vAlign w:val="bottom"/>
          </w:tcPr>
          <w:p>
            <w:pPr>
              <w:spacing w:after="0"/>
              <w:rPr>
                <w:sz w:val="1"/>
                <w:szCs w:val="1"/>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(332,361)</w:t>
            </w:r>
          </w:p>
        </w:tc>
        <w:tc>
          <w:tcPr>
            <w:tcW w:w="0" w:type="dxa"/>
            <w:vAlign w:val="bottom"/>
          </w:tcPr>
          <w:p>
            <w:pPr>
              <w:spacing w:after="0"/>
              <w:rPr>
                <w:sz w:val="1"/>
                <w:szCs w:val="1"/>
                <w:color w:val="auto"/>
              </w:rPr>
            </w:pPr>
          </w:p>
        </w:tc>
      </w:tr>
      <w:tr>
        <w:trPr>
          <w:trHeight w:val="23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CrowdStrike</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(332,361)</w:t>
            </w: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23"/>
        </w:trPr>
        <w:tc>
          <w:tcPr>
            <w:tcW w:w="7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gridSpan w:val="3"/>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(excluding current intercompany receivables from non-Guarantors)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6,325,851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5,922,562</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intercompany receivables from non-Guarantors</w:t>
            </w:r>
          </w:p>
        </w:tc>
        <w:tc>
          <w:tcPr>
            <w:tcW w:w="200" w:type="dxa"/>
            <w:vAlign w:val="bottom"/>
          </w:tcPr>
          <w:p>
            <w:pPr>
              <w:spacing w:after="0"/>
              <w:rPr>
                <w:sz w:val="19"/>
                <w:szCs w:val="19"/>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49,417</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(excluding noncurrent intercompany receivables from non-Guarantors)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2,619,906</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2,316,545</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intercompany receivables from non-Guarantors</w:t>
            </w:r>
          </w:p>
        </w:tc>
        <w:tc>
          <w:tcPr>
            <w:tcW w:w="200" w:type="dxa"/>
            <w:vAlign w:val="bottom"/>
          </w:tcPr>
          <w:p>
            <w:pPr>
              <w:spacing w:after="0"/>
              <w:rPr>
                <w:sz w:val="19"/>
                <w:szCs w:val="19"/>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625,902</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613,732</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 (excluding current intercompany payables to non-Guarantors)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3,424,180</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3,331,647</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intercompany payables to non-Guarantors</w:t>
            </w:r>
          </w:p>
        </w:tc>
        <w:tc>
          <w:tcPr>
            <w:tcW w:w="200" w:type="dxa"/>
            <w:vAlign w:val="bottom"/>
          </w:tcPr>
          <w:p>
            <w:pPr>
              <w:spacing w:after="0"/>
              <w:rPr>
                <w:sz w:val="19"/>
                <w:szCs w:val="19"/>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94,529</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31,092</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 (excluding noncurrent intercompany payables to non-Guarantors)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2,216,822</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1,897,235</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intercompany payables to non-Guarantors</w:t>
            </w:r>
          </w:p>
        </w:tc>
        <w:tc>
          <w:tcPr>
            <w:tcW w:w="2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203,271</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234,643</w:t>
            </w:r>
          </w:p>
        </w:tc>
      </w:tr>
      <w:tr>
        <w:trPr>
          <w:trHeight w:val="886"/>
        </w:trPr>
        <w:tc>
          <w:tcPr>
            <w:tcW w:w="74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7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29"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9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October 31, 2025, there were no significant changes to our debt obligations related to the Senior Notes, as presented in Part II, Item 7, Management’s Discussion and Analysis of Financial Condition and Results of Operations included in our Annual Report on Form 10-K for the fiscal year ended January 31, 2025.</w:t>
      </w:r>
    </w:p>
    <w:p>
      <w:pPr>
        <w:spacing w:after="0" w:line="176"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We have non-cancelable purchase commitments with various parties to purchase products and services entered in the normal course of business totaling $2.6 billion as of October 31, 2025, with remaining terms in excess of 12 months. We expect to fund these obligations with cash flows from operations and cash on our balance sheet.</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commitments also consist of obligations under non-cancelable real estate arrangements on an undiscounted basis, of which $14.7 million is due in the next 12 months and $163.6 million is due thereafter.</w:t>
      </w:r>
    </w:p>
    <w:p>
      <w:pPr>
        <w:spacing w:after="0" w:line="16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2025, our unrecognized tax benefits included $62.6 million, which were classified as long-term liabilities due to the inherent uncertainty with respect to the timing of future cash outflows associated with our unrecognized tax benefits.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October 31, 2025, we had non-cancelable unfunded commitments from our financing arrangements totaling approximately $121.3 million.</w:t>
      </w:r>
    </w:p>
    <w:p>
      <w:pPr>
        <w:spacing w:after="0" w:line="2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were prepared in accordance with U.S GAAP. The preparation of the condensed consolidated financial statements requires our management to make estimates and assumptions that affect the amounts reported in the condensed consolidated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accounting estimates we use in the preparation of our condensed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condensed consolidated financial statements. By their nature, these estimates and judgments are subject to an inherent degree of uncertainty and actual results could differ materially from the amounts reported based on these estimates.</w:t>
      </w:r>
    </w:p>
    <w:p>
      <w:pPr>
        <w:spacing w:after="0" w:line="18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nine months ended October 31, 2025, as compared to the critical accounting policies and estimates disclosed in Management’s Discussion and Analysis of Financial Condition and Results of Operations included in our Annual Report on Form 10-K for the year ended January 31, 2025, filed with the SEC on March 10, 2025.</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enter into both single and multi-year subscription contracts for our solutions. We generally invoice our subscription customers at the beginning of the subscription term, or in some instances, such as in multi-year arrangements, in installments. Until we have the contractual right to invoice, these contract amounts are classified as backlog. They are not recorded in deferred revenue or elsewhere in our condensed consolidated financial statements. As of October 31, 2025, we had backlog of approximately $3.8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spacing w:after="0" w:line="1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October 31, 2025, we had 10,410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7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Quarterly Report on Form 10-Q.</w:t>
      </w:r>
    </w:p>
    <w:p>
      <w:pPr>
        <w:spacing w:after="0" w:line="1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See Note 1, “Description of Business and Significant Accounting Policies,” to our condensed consolidated financial statements in Part I, Item 1 of this Quarterly Report on Form 10-Q, for more information about the impact of certain recent accounting pronouncements on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risks during the three and nine months ended October 31, 2025 compared to our disclosures in Part II, Item 7A of our Annual Report on Form 10-K for the fiscal year ended January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October 31, 2025. Based on such evaluation of our disclosure controls and procedures as of October 31, 2025,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380" w:firstLine="324"/>
        <w:spacing w:after="0" w:line="261" w:lineRule="auto"/>
        <w:rPr>
          <w:sz w:val="20"/>
          <w:szCs w:val="20"/>
          <w:color w:val="auto"/>
        </w:rPr>
      </w:pPr>
      <w:r>
        <w:rPr>
          <w:rFonts w:ascii="Times New Roman" w:cs="Times New Roman" w:eastAsia="Times New Roman" w:hAnsi="Times New Roman"/>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asserted against us, including in relation to the July 19 Incident, see Note 10, “Commitments and Contingencies,” to our condensed consolidated financial statements in Part I, Item 1 of this Quarterly Report on Form 10-Q.</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For any claims for which we believe a liability is both probable and reasonably estimable, we record a liability in the period in which we make this determination. Other than as disclosed in Note 10, there is no pending or threatened legal proceeding to which we are a party that, in our opinion, is likely to have a material adverse effect on our business and our condensed consolidated financial statements; however, the results of legal proceedings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or “common stock,” could decline, and you could lose all or part of your investment.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July 19 Incident has had, and is expected to continue to have, an adverse effect on our business, sales, customer and partner relations, reputation, results of operations and financial condition.</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July 19, 2024, we released a content configuration update for our Falcon sensor that resulted in system crashes for certain Windows systems (the “July 19 Incident”). We have incurred, and expect to continue to incur, significant costs and expenses related to the incident, including in connection with remediation efforts, customer and partner relations, measures taken to address the damage to our reputation, and other measures taken in response to the incident. Our management and other personnel have devoted, and may continue to devote, significant time and resources to address the impacts of the July 19 Incident. We also have hired, and in the future may hire, additional personnel to assist with our ongoing efforts. Any real or perceived failure, by us or the third-party service providers we engage, to remediate and respond to the July 19 Incident could adversely impact our business. While we are investing in enhancements to software resiliency, testing and customer controls following the July 19 Incident, we cannot guarantee that such enhancements will be effective, or that our products do not have or will not have defects, errors, or vulnerabilities.</w:t>
      </w:r>
    </w:p>
    <w:p>
      <w:pPr>
        <w:spacing w:after="0" w:line="19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July 19 Incident has harmed, and is expected to continue to harm, our business, sales, customer and partner relations, and our reputation. As a result of the July 19 Incident, certain of our existing or prospective customers have elected to, and may in the future elect to, defer purchasing decisions relating to our products and services or not purchase our products and services at all. Customers have also decided, and may in the future decide, to terminate or not renew their agreements with us. The July 19 Incident has negatively impacted, and may in the future negatively impact, our existing or prospective partners’ ability or willingness to promote our products or services. Certain of our competitors have aggressively approached our current and prospective customers and partners to attempt to capitalize on the July 19 Incident, and may continue to do so. Furthermore, we have agreed to, and expect to agree to in the future, provide incentives in connection with our commercial arrangements with our customers, including subscription period extensions, discounts or promotional modules. The July 19 Incident has received negative media coverage and harmed our reputation and brand. If we are unable to regain the trust of our current and prospective customers and partners, or if negative media coverage and publicity continues, whether directly or indirectly related to the July 19 Incident, our reputation and brand may suffer further, exacerbating the effects discussed herein. These factors may result in harm to our business, results of operations and financial condition.</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party to a number of legal proceedings relating to the July 19 Incident, such as lawsuits filed by or on behalf of third parties, including securities litigation brought on behalf of certain purchasers of our common stock, derivative litigation asserting claims against certain officers and directors, and putative class actions brought by individual consumers. We have also received inquiries from governmental authorities and other third parties, and governmental authorities may seek to impose undertakings, injunctive relief, consent decrees or other penalties, which could, among other things, materially increase our expenses or otherwise require us to alter how we operate our business. Third parties, including governmental authorities, may take certain actions in response to the July 19 Incident that may negatively impact our business and operations and may result in additional costs and expenses relating to compliance, product development or other matters. Some customers and other third parties claiming to have been impacted by the incident have asserted claims against us or otherwise communicated their intent to seek indemnification or compensation from us. Additional claims may also be asserted by or on behalf of customers, customers’ insurers, partners, stockholders or others seeking monetary damages or other relief. These lawsuits, claims and inquiries are resulting, and are expected to result in the future, in the incurrence of significant costs and expenses, the diversion of management’s attention from the operation of our business and other negative impacts on our business and operations.</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While we maintain insurance policies that may cover certain costs, claims and liabilities in connection with the July 19 Incident, we expect that our insurance coverage will not cover all costs, claims and liabilities actually incurred, and we cannot be certain that our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5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have experienced rapid revenue growth in recent periods and we expect to continue to invest broadly across our organization to support our growth.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183" w:lineRule="exact"/>
        <w:rPr>
          <w:sz w:val="20"/>
          <w:szCs w:val="20"/>
          <w:color w:val="auto"/>
        </w:rPr>
      </w:pPr>
    </w:p>
    <w:p>
      <w:pPr>
        <w:ind w:left="1140" w:right="20" w:hanging="322"/>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attract, integrate, and retain a large number of new employees, particularly members of our sales and marketing and research and development teams;</w:t>
      </w:r>
    </w:p>
    <w:p>
      <w:pPr>
        <w:spacing w:after="0" w:line="161" w:lineRule="exact"/>
        <w:rPr>
          <w:rFonts w:ascii="Times New Roman" w:cs="Times New Roman" w:eastAsia="Times New Roman" w:hAnsi="Times New Roman"/>
          <w:sz w:val="18"/>
          <w:szCs w:val="18"/>
          <w:color w:val="auto"/>
        </w:rPr>
      </w:pPr>
    </w:p>
    <w:p>
      <w:pPr>
        <w:ind w:left="1140" w:right="420" w:hanging="322"/>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improve our Falcon platform, including our cloud modules, and IT infrastructure, including expanding and optimizing our data centers, to support our business needs;</w:t>
      </w:r>
    </w:p>
    <w:p>
      <w:pPr>
        <w:spacing w:after="0" w:line="161" w:lineRule="exact"/>
        <w:rPr>
          <w:rFonts w:ascii="Times New Roman" w:cs="Times New Roman" w:eastAsia="Times New Roman" w:hAnsi="Times New Roman"/>
          <w:sz w:val="18"/>
          <w:szCs w:val="18"/>
          <w:color w:val="auto"/>
        </w:rPr>
      </w:pPr>
    </w:p>
    <w:p>
      <w:pPr>
        <w:ind w:left="1140" w:right="200" w:hanging="322"/>
        <w:spacing w:after="0" w:line="282"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financial, management, and compliance systems and controls.</w:t>
      </w:r>
    </w:p>
    <w:p>
      <w:pPr>
        <w:spacing w:after="0" w:line="22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while we have achieved profitability in certain periods, we may not be able to achieve or sustain profitability in the future.</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incurred net losses each year prior to fiscal 2024, and we may not achieve or maintain profitability in the future. We experienced net losses of $19.3 million and $183.2 million for fiscal 2025 and 2023, respectively, and net income of $89.3 million for fiscal 2024. As of October 31, 2025, we had an accumulated deficit of $1.3 billion. While we have experienced significant growth in revenue in recent periods, and have achieved profitability during certain periods, including fiscal 2024, we cannot assure you when or whether we will reach sustained profitability. We also expect our operating expenses to increase in the future as we continue to invest for our future growth, which will negatively affect our results of operations if our total revenue does not increase. Additionally, on May 6, 2025, we announced a strategic plan (the “Plan”) to evolve our operations to yield greater efficiencies as we continue to scale our business with focus and discipline to meet our goals. We cannot assure you that the Plan or the above-mentioned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9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damage to our reputation including as a result of the July 19 Incident,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to the extent we or other SaaS security providers experience security incidents, loss or disclosure of customer data, disruptions in delivery, or other problems, the market for SaaS solutions as a whole, including our security solutions, could be negatively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 You should consider our business and prospects in light of the risks and difficulties we encounter in this new and evolving market.</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(such as those experienced in connection with the July 19 Incident), especially in the early stages of introduction, as well as our ability to seamlessly integrate all of our product and service offerings and develop adequate sales capabilities in new markets. Failure to effectively deliver, integrate, and manage perceptions with respect to enhancements and new solutions could erode our competitive position, significantly impair our revenue growth, and negatively impact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results of operations could be harmed.</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or changes and uncertainty regarding trade policies or tariffs, the outbreak of diseases or other public health crises, volatility in the banking and financial services sector,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constrained spending on security and IT operations, and the impact of the July 19 Incident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8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to three years,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cloud modules, they may decline to purchase additional cloud modules or choose not to consolidate onto our Falcon platform. Our customer retention, renewals and expansion may decline or fluctuate as a result of a number of factors, including our customers’ satisfaction with our products and services, our customers’ ability to fully utilize their product subscriptions, our pricing, customer security and networking issues and requirements, our customers’ spending levels, decreases in the number of endpoints to which our customers deploy our solutions, mergers and acquisitions involving our customers, industry developments, competition, the impact of the July 19 Incident, including the impact of our customer commitment packages, and general economic and geopolitical conditions. Any such impacts on customer renewals may result from a variety of different factors, including customers electing to renew with shorter subscription periods, fewer cloud modules, fewer endpoints or smaller contract values. If our efforts to maintain and expand our relationships with our existing customers are not successful, our business, results of operations, and financial condition may materially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and our sales efforts require considerable time and expense.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or geopolitical conditions, including in connection with changes in trade policies and tariffs, may lead to additional scrutiny of budgets by current and prospective customers, which has resulted in, for example, longer sales cycles for products and services, and may result in shifting demand for IT products and services, and slower adoption of new technologies. We have also experienced, and may continue to experience, longer sales cycles in connection with the July 19 Incident. We may also experience longer sales cycles as customers seek to consolidate on our Falcon platform and negotiate larger deals, including in connection with our flexible subscription offering.</w:t>
      </w:r>
    </w:p>
    <w:p>
      <w:pPr>
        <w:spacing w:after="0" w:line="18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or services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87" w:lineRule="exact"/>
        <w:rPr>
          <w:sz w:val="20"/>
          <w:szCs w:val="20"/>
          <w:color w:val="auto"/>
        </w:rPr>
      </w:pPr>
    </w:p>
    <w:p>
      <w:pPr>
        <w:ind w:left="1140" w:right="360" w:hanging="322"/>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capabilities, including performance and reliability, of our Falcon platform, including our cloud modules, services, and features compared to those of our competitors;</w:t>
      </w:r>
    </w:p>
    <w:p>
      <w:pPr>
        <w:spacing w:after="0" w:line="161" w:lineRule="exact"/>
        <w:rPr>
          <w:rFonts w:ascii="Times New Roman" w:cs="Times New Roman" w:eastAsia="Times New Roman" w:hAnsi="Times New Roman"/>
          <w:sz w:val="18"/>
          <w:szCs w:val="18"/>
          <w:color w:val="auto"/>
        </w:rPr>
      </w:pPr>
    </w:p>
    <w:p>
      <w:pPr>
        <w:ind w:left="1140" w:right="500" w:hanging="322"/>
        <w:spacing w:after="0" w:line="282" w:lineRule="auto"/>
        <w:tabs>
          <w:tab w:leader="none" w:pos="11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competitors, to improve existing products, services, and features, or to develop new ones to address evolving customer needs;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relationships with channel partners and direct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sales and marketing efforts;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reputation and brand, including the impact to our reputation and brand as a result of the July 19 Incident;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competitors include the following by general category:</w:t>
      </w:r>
    </w:p>
    <w:p>
      <w:pPr>
        <w:spacing w:after="0" w:line="225" w:lineRule="exact"/>
        <w:rPr>
          <w:sz w:val="20"/>
          <w:szCs w:val="20"/>
          <w:color w:val="auto"/>
        </w:rPr>
      </w:pPr>
    </w:p>
    <w:p>
      <w:pPr>
        <w:ind w:left="1140" w:right="380" w:hanging="322"/>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antivirus product providers who offer a broad range of approaches and solutions including traditional signature-based anti-virus protection;</w:t>
      </w:r>
    </w:p>
    <w:p>
      <w:pPr>
        <w:spacing w:after="0" w:line="161" w:lineRule="exact"/>
        <w:rPr>
          <w:rFonts w:ascii="Times New Roman" w:cs="Times New Roman" w:eastAsia="Times New Roman" w:hAnsi="Times New Roman"/>
          <w:sz w:val="18"/>
          <w:szCs w:val="18"/>
          <w:color w:val="auto"/>
        </w:rPr>
      </w:pPr>
    </w:p>
    <w:p>
      <w:pPr>
        <w:ind w:left="1140" w:right="240" w:hanging="322"/>
        <w:spacing w:after="0" w:line="282" w:lineRule="auto"/>
        <w:tabs>
          <w:tab w:leader="none" w:pos="11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endpoint security providers who generally offer a mix of on-premise and cloud-hosted products that rely heavily on malware-only or application whitelisting techniques;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vendors who are supplementing their core perimeter-based offerings with endpoint or cloud security solutions;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security vendors, including those who focus on public cloud infrastructure and services;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security vendors that seek to identify and secure user accounts and related activities;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 providers who offer cybersecurity response services;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SIEM vendors who offer a range of log management and security capabilities.</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including with respect to AI. Our competitors may more successfully incorporate AI into their products, gain or leverage superior access 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solutions.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pricing pressure may reduce our gross profits and adversely affect our financial results.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has contained, and may in the future contain defects, errors or vulnerabilities that are not detected until after deployment. For example, the July 19 Incident harmed our brand and reputation, business and results of operations. In addition, we identified a transport layer security issue that impacted certain Falcon Linux sensors, which led us to release a security fix and publish a security advisory to remediate the matter in February 2025. If we fail to timely detect defects or errors before deployment in the future, our brand and reputation, business and results of operations will suffer further.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or third-party solutions, our solutions could be or become vulnerable to security incidents (both from intentional attacks and accidental causes) that cause them to fail to secure endpoints and detect and block attacks. Furthermore, any defects, errors or vulnerabilities in third-party technology or solutions we rely on could result in disruptions to our operations and adversely impact our business, financial condition and results of operations.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9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or third-party platforms,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if the customer failed to protect its own credentials,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88"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As a cybersecurity provider, we have been, and expect to continue to be, a target of cyberattacks. If our or our service providers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internal networks, systems, or data are or are perceived to have been compromised, our reputation may be damaged and our financial results may be negatively affected.</w:t>
      </w:r>
    </w:p>
    <w:p>
      <w:pPr>
        <w:spacing w:after="0" w:line="136" w:lineRule="exact"/>
        <w:rPr>
          <w:sz w:val="20"/>
          <w:szCs w:val="20"/>
          <w:color w:val="auto"/>
        </w:rPr>
      </w:pPr>
    </w:p>
    <w:p>
      <w:pPr>
        <w:jc w:val="both"/>
        <w:ind w:right="340" w:firstLine="324"/>
        <w:spacing w:after="0" w:line="258" w:lineRule="auto"/>
        <w:rPr>
          <w:sz w:val="20"/>
          <w:szCs w:val="20"/>
          <w:color w:val="auto"/>
        </w:rPr>
      </w:pPr>
      <w:r>
        <w:rPr>
          <w:rFonts w:ascii="Times New Roman" w:cs="Times New Roman" w:eastAsia="Times New Roman" w:hAnsi="Times New Roman"/>
          <w:sz w:val="18"/>
          <w:szCs w:val="18"/>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as geopolitical tensions increase. In addition, bad actors have attempted to leverage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July 19 Incident to facilitate malicious activity, including, for example, through sending phishing emails posing as CrowdStrike support. Such activity, whether or not successful, could result in additional harm to our business. We are also susceptible to inadvertent compromises of our systems and data, including those arising from process, coding, or human errors. Moreover, we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90"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6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factors, many of which are beyond our control, can affect the delivery, availability, and the performance of our Falcon platform:</w:t>
      </w:r>
    </w:p>
    <w:p>
      <w:pPr>
        <w:spacing w:after="0" w:line="225" w:lineRule="exact"/>
        <w:rPr>
          <w:sz w:val="20"/>
          <w:szCs w:val="20"/>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maintenance of the infrastructure of the internet;</w:t>
      </w:r>
    </w:p>
    <w:p>
      <w:pPr>
        <w:spacing w:after="0" w:line="225" w:lineRule="exact"/>
        <w:rPr>
          <w:rFonts w:ascii="Times New Roman" w:cs="Times New Roman" w:eastAsia="Times New Roman" w:hAnsi="Times New Roman"/>
          <w:sz w:val="18"/>
          <w:szCs w:val="18"/>
          <w:color w:val="auto"/>
        </w:rPr>
      </w:pPr>
    </w:p>
    <w:p>
      <w:pPr>
        <w:ind w:left="1140" w:right="440" w:hanging="322"/>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line="266"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75" w:lineRule="exact"/>
        <w:rPr>
          <w:rFonts w:ascii="Times New Roman" w:cs="Times New Roman" w:eastAsia="Times New Roman" w:hAnsi="Times New Roman"/>
          <w:sz w:val="18"/>
          <w:szCs w:val="18"/>
          <w:color w:val="auto"/>
        </w:rPr>
      </w:pPr>
    </w:p>
    <w:p>
      <w:pPr>
        <w:ind w:left="1140" w:right="720" w:hanging="322"/>
        <w:spacing w:after="0" w:line="282"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or electronic break-ins, acts of war or terrorism, human error or interference (including by disgruntled employees, former employees or contractors) and other catastrophic events;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including denial of service attacks, targeted at us, our data centers, or the infrastructure of the internet;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and update our cloud infrastructure to meet our data capacity requirements;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defects or performance problems in our software, including third-party software incorporated in our software;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deployment or configuration of our solutions;</w:t>
      </w:r>
    </w:p>
    <w:p>
      <w:pPr>
        <w:spacing w:after="0" w:line="225"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redundancy systems, in the event of a service disruption at one of our data centers, to provide failover to other data centers in our data center network;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disaster recovery and business continuity arrangements.</w:t>
      </w:r>
    </w:p>
    <w:p>
      <w:pPr>
        <w:spacing w:after="0" w:line="22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us or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key technical, sales and management personnel to grow our business, and the loss of one or more key employees could harm our business.</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personnel, our business could be harmed.</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There is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83"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In addition, job candidates and existing employees often consider the value of the equity awards they receive in connection with their employment. Therefore, volatility or lack of performance in our stock price could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In addition, the Plan could negatively affect our ability to recruit and retain skilled personnel. Any failure to successfully attract, integrate or retain qualified personnel to fulfill our current or future needs could adversely affect our business, results of operations and financial condition.</w:t>
      </w:r>
    </w:p>
    <w:p>
      <w:pPr>
        <w:spacing w:after="0" w:line="16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generally recognize revenue from customers ratably over the terms of their subscription, which is generally one to three years.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In addition, subscription commencement dates may be impacted by a number of factors, some of which we may exercise varying degrees of control over, including terms negotiated with our customers and our internal review, approval and provisioning processes. As a result, the impact of new subscriptions may not be immediately reflected in our results of operations. Moreover, the effect of downturns or upturns in new sales and potential changes in our rate of renewals, including as a result of the July 19 Incident, may not be fully reflected in our results of operations until future periods. In addition, customer commitment packages introduced following the July 19 Incident that extend subscription periods will lengthen the applicable term over which we recognize revenue, which has adversely affected, and is expected to continue to adversely affect, our results. We may also be unable to timely reduce our cost structure in line with a significant deterioration in sales or renewals that would adversely affect our results of operations and financial condition.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5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76" w:lineRule="exact"/>
        <w:rPr>
          <w:sz w:val="20"/>
          <w:szCs w:val="20"/>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and retain existing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seasonal buying patterns, and purchasing practices of customers;</w:t>
      </w:r>
    </w:p>
    <w:p>
      <w:pPr>
        <w:spacing w:after="0" w:line="225" w:lineRule="exact"/>
        <w:rPr>
          <w:rFonts w:ascii="Times New Roman" w:cs="Times New Roman" w:eastAsia="Times New Roman" w:hAnsi="Times New Roman"/>
          <w:sz w:val="18"/>
          <w:szCs w:val="18"/>
          <w:color w:val="auto"/>
        </w:rPr>
      </w:pPr>
    </w:p>
    <w:p>
      <w:pPr>
        <w:ind w:left="1140" w:right="260" w:hanging="322"/>
        <w:spacing w:after="0" w:line="28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difficulties confronting our customers, which may impact the number of modules or endpoint deployments they are willing or able to purchase;</w:t>
      </w:r>
    </w:p>
    <w:p>
      <w:pPr>
        <w:spacing w:after="0" w:line="161" w:lineRule="exact"/>
        <w:rPr>
          <w:rFonts w:ascii="Times New Roman" w:cs="Times New Roman" w:eastAsia="Times New Roman" w:hAnsi="Times New Roman"/>
          <w:sz w:val="18"/>
          <w:szCs w:val="18"/>
          <w:color w:val="auto"/>
        </w:rPr>
      </w:pPr>
    </w:p>
    <w:p>
      <w:pPr>
        <w:ind w:left="1140" w:right="700" w:hanging="322"/>
        <w:spacing w:after="0" w:line="28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affecting their ability to purchase or pay for our solutions, including in connection with our customer and end-user financing arrangements;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length of our sales cycles;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or channel partner requirements or market needs;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relationship with channel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cloud-based SaaS-delivered endpoint security solutions market;</w:t>
      </w:r>
    </w:p>
    <w:p>
      <w:pPr>
        <w:spacing w:after="0" w:line="225"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by us or our competitors or any other competitive developments, including consolidation among our customers or competitors;</w:t>
      </w:r>
    </w:p>
    <w:p>
      <w:pPr>
        <w:spacing w:after="0" w:line="161"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organizations to purchase security solutions from larger, more established security vendors or from their primary IT equipment vendors;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awareness of cybersecurity threats, particularly advanced cyberattacks, and the market adoption of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use of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from the July 19 Incident;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coverage or publicity;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domestically and internationally;</w:t>
      </w:r>
    </w:p>
    <w:p>
      <w:pPr>
        <w:spacing w:after="0" w:line="225" w:lineRule="exact"/>
        <w:rPr>
          <w:rFonts w:ascii="Times New Roman" w:cs="Times New Roman" w:eastAsia="Times New Roman" w:hAnsi="Times New Roman"/>
          <w:sz w:val="18"/>
          <w:szCs w:val="18"/>
          <w:color w:val="auto"/>
        </w:rPr>
      </w:pPr>
    </w:p>
    <w:p>
      <w:pPr>
        <w:ind w:left="1140" w:right="700" w:hanging="322"/>
        <w:spacing w:after="0" w:line="282" w:lineRule="auto"/>
        <w:tabs>
          <w:tab w:leader="none" w:pos="1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(including new hires), tightening of labor markets and capital expenditures related to the expansion of our business;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regulatory or other dispute-related settlement payments or outcomes;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expenses caused by fluctuations in foreign currency exchange rates;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or practices;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valuation allowances for our deferred tax assets;</w:t>
      </w:r>
    </w:p>
    <w:p>
      <w:pPr>
        <w:sectPr>
          <w:pgSz w:w="11900" w:h="16838" w:orient="portrait"/>
          <w:cols w:equalWidth="0" w:num="1">
            <w:col w:w="11200"/>
          </w:cols>
          <w:pgMar w:left="320" w:top="33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140" w:right="160" w:hanging="322"/>
        <w:spacing w:after="0" w:line="266" w:lineRule="auto"/>
        <w:tabs>
          <w:tab w:leader="none" w:pos="1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or volatile conditions in the global economy and financial markets, including as a result of weak or negative gross domestic product growth, uncertainty or disruptions in the capital and credit markets, changing interest rates, inflation, tariffs and trade restrictions, bank failures or adverse conditions impacting financial institutions, and supply-chain disruptions; and</w:t>
      </w:r>
    </w:p>
    <w:p>
      <w:pPr>
        <w:spacing w:after="0" w:line="17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events, geopolitical unrest or tension, acts of war and terrorism.</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processes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 For example, we are currently party to securities litigation brought in connection with the July 19 Incident on behalf of certain purchasers of our common stock.</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CrowdStrike and Falcon brands and our reputation as a provider of high-efficacy security solutions, our business and results of operations may be adversely affected.</w:t>
      </w:r>
    </w:p>
    <w:p>
      <w:pPr>
        <w:spacing w:after="0" w:line="15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believe that maintaining and enhancing our CrowdStrike and Falcon brands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brands depends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has in the past adversely affected, and may in the future adversely affect, our reputation and brand. For example, the July 19 Incident, which received significant media attention and negative publicity, harmed our reputation and brand.</w:t>
      </w:r>
    </w:p>
    <w:p>
      <w:pPr>
        <w:spacing w:after="0" w:line="19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derived approximately 30%, 32%, 32% and 33% of our total revenue from our international customers for fiscal 2023, fiscal 2024, fiscal 2025 and the nine months ended October 31, 2025,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83" w:lineRule="exact"/>
        <w:rPr>
          <w:sz w:val="20"/>
          <w:szCs w:val="20"/>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in negotiating contracts with standard terms, enforcing contracts and managing collections, and longer collection periods;</w:t>
      </w:r>
    </w:p>
    <w:p>
      <w:pPr>
        <w:spacing w:after="0" w:line="224" w:lineRule="exact"/>
        <w:rPr>
          <w:rFonts w:ascii="Arial" w:cs="Arial" w:eastAsia="Arial" w:hAnsi="Arial"/>
          <w:sz w:val="18"/>
          <w:szCs w:val="18"/>
          <w:color w:val="auto"/>
        </w:rPr>
      </w:pPr>
    </w:p>
    <w:p>
      <w:pPr>
        <w:ind w:left="1140" w:right="160" w:hanging="322"/>
        <w:spacing w:after="0" w:line="282"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costs incurred in establishing and maintaining office space and equipment for our international operations;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and geographic dispersion;</w:t>
      </w:r>
    </w:p>
    <w:p>
      <w:pPr>
        <w:spacing w:after="0" w:line="225" w:lineRule="exact"/>
        <w:rPr>
          <w:rFonts w:ascii="Times New Roman" w:cs="Times New Roman" w:eastAsia="Times New Roman" w:hAnsi="Times New Roman"/>
          <w:sz w:val="18"/>
          <w:szCs w:val="18"/>
          <w:color w:val="auto"/>
        </w:rPr>
      </w:pPr>
    </w:p>
    <w:p>
      <w:pPr>
        <w:ind w:left="1140" w:right="460" w:hanging="322"/>
        <w:spacing w:after="0" w:line="282"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unexpected changes, or threat of changes, in regulatory practices, tariffs, and tax laws and treaties or the application thereof;</w:t>
      </w:r>
    </w:p>
    <w:p>
      <w:pPr>
        <w:spacing w:after="0" w:line="225" w:lineRule="exact"/>
        <w:rPr>
          <w:rFonts w:ascii="Times New Roman" w:cs="Times New Roman" w:eastAsia="Times New Roman" w:hAnsi="Times New Roman"/>
          <w:sz w:val="18"/>
          <w:szCs w:val="18"/>
          <w:color w:val="auto"/>
        </w:rPr>
      </w:pPr>
    </w:p>
    <w:p>
      <w:pPr>
        <w:ind w:left="1140" w:right="120" w:hanging="322"/>
        <w:spacing w:after="0" w:line="266"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75" w:lineRule="exact"/>
        <w:rPr>
          <w:rFonts w:ascii="Times New Roman" w:cs="Times New Roman" w:eastAsia="Times New Roman" w:hAnsi="Times New Roman"/>
          <w:sz w:val="18"/>
          <w:szCs w:val="18"/>
          <w:color w:val="auto"/>
        </w:rPr>
      </w:pPr>
    </w:p>
    <w:p>
      <w:pPr>
        <w:ind w:left="1140" w:right="320" w:hanging="322"/>
        <w:spacing w:after="0" w:line="281" w:lineRule="auto"/>
        <w:tabs>
          <w:tab w:leader="none" w:pos="113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62"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general economic and political conditions in these foreign markets;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foreign exchange controls or tax regulations that might prevent us from repatriating cash earned outside the United States;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political and economic instability in some countries;</w:t>
      </w:r>
    </w:p>
    <w:p>
      <w:pPr>
        <w:spacing w:after="0" w:line="224" w:lineRule="exact"/>
        <w:rPr>
          <w:rFonts w:ascii="Arial" w:cs="Arial" w:eastAsia="Arial" w:hAnsi="Arial"/>
          <w:sz w:val="18"/>
          <w:szCs w:val="18"/>
          <w:color w:val="auto"/>
        </w:rPr>
      </w:pPr>
    </w:p>
    <w:p>
      <w:pPr>
        <w:ind w:left="1140" w:hanging="322"/>
        <w:spacing w:after="0" w:line="281" w:lineRule="auto"/>
        <w:tabs>
          <w:tab w:leader="none" w:pos="113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tax laws of the United States or the foreign jurisdictions in which we operate;</w:t>
      </w:r>
    </w:p>
    <w:p>
      <w:pPr>
        <w:spacing w:after="0" w:line="162" w:lineRule="exact"/>
        <w:rPr>
          <w:rFonts w:ascii="Arial" w:cs="Arial" w:eastAsia="Arial" w:hAnsi="Arial"/>
          <w:sz w:val="18"/>
          <w:szCs w:val="18"/>
          <w:color w:val="auto"/>
        </w:rPr>
      </w:pPr>
    </w:p>
    <w:p>
      <w:pPr>
        <w:ind w:left="1140" w:right="380" w:hanging="322"/>
        <w:spacing w:after="0" w:line="266" w:lineRule="auto"/>
        <w:tabs>
          <w:tab w:leader="none" w:pos="11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for the localization of our services, including translation into foreign languages and adaptation for local practices and regulatory requirements (including, but not limited to data localization requirements, data sovereignty requirements and other digital restrictions, such as those emerging in the EU);</w:t>
      </w:r>
    </w:p>
    <w:p>
      <w:pPr>
        <w:spacing w:after="0" w:line="175" w:lineRule="exact"/>
        <w:rPr>
          <w:rFonts w:ascii="Times New Roman" w:cs="Times New Roman" w:eastAsia="Times New Roman" w:hAnsi="Times New Roman"/>
          <w:sz w:val="18"/>
          <w:szCs w:val="18"/>
          <w:color w:val="auto"/>
        </w:rPr>
      </w:pPr>
    </w:p>
    <w:p>
      <w:pPr>
        <w:ind w:left="1140" w:right="460" w:hanging="322"/>
        <w:spacing w:after="0" w:line="281" w:lineRule="auto"/>
        <w:tabs>
          <w:tab w:leader="none" w:pos="113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requirements to comply with foreign privacy, data protection, and information security laws and regulations and the risks and costs of noncompliance;</w:t>
      </w:r>
    </w:p>
    <w:p>
      <w:pPr>
        <w:spacing w:after="0" w:line="162" w:lineRule="exact"/>
        <w:rPr>
          <w:rFonts w:ascii="Arial" w:cs="Arial" w:eastAsia="Arial" w:hAnsi="Arial"/>
          <w:sz w:val="18"/>
          <w:szCs w:val="18"/>
          <w:color w:val="auto"/>
        </w:rPr>
      </w:pPr>
    </w:p>
    <w:p>
      <w:pPr>
        <w:ind w:left="1140" w:right="720" w:hanging="322"/>
        <w:spacing w:after="0" w:line="281" w:lineRule="auto"/>
        <w:tabs>
          <w:tab w:leader="none" w:pos="113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in identifying, attracting and retaining local qualified personnel, and the costs and expenses associated with such activities;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greater difficulty identifying qualified channel partners and maintaining successful relationships with such partners;</w:t>
      </w:r>
    </w:p>
    <w:p>
      <w:pPr>
        <w:spacing w:after="0" w:line="224"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differing employment practices and labor relations issues; and</w:t>
      </w:r>
    </w:p>
    <w:p>
      <w:pPr>
        <w:spacing w:after="0" w:line="224" w:lineRule="exact"/>
        <w:rPr>
          <w:rFonts w:ascii="Arial" w:cs="Arial" w:eastAsia="Arial" w:hAnsi="Arial"/>
          <w:sz w:val="18"/>
          <w:szCs w:val="18"/>
          <w:color w:val="auto"/>
        </w:rPr>
      </w:pPr>
    </w:p>
    <w:p>
      <w:pPr>
        <w:ind w:left="1140" w:right="260" w:hanging="322"/>
        <w:spacing w:after="0" w:line="282" w:lineRule="auto"/>
        <w:tabs>
          <w:tab w:leader="none" w:pos="11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offices and increased travel, infrastructure, and legal compliance costs associated with multiple international locations.</w:t>
      </w:r>
    </w:p>
    <w:p>
      <w:pPr>
        <w:spacing w:after="0" w:line="16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to such government entities include, but are not limited to, the following risks:</w:t>
      </w:r>
    </w:p>
    <w:p>
      <w:pPr>
        <w:spacing w:after="0" w:line="266" w:lineRule="exact"/>
        <w:rPr>
          <w:sz w:val="20"/>
          <w:szCs w:val="20"/>
          <w:color w:val="auto"/>
        </w:rPr>
      </w:pPr>
    </w:p>
    <w:p>
      <w:pPr>
        <w:ind w:left="1140" w:right="280" w:hanging="322"/>
        <w:spacing w:after="0" w:line="234" w:lineRule="auto"/>
        <w:tabs>
          <w:tab w:leader="none" w:pos="113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240" w:lineRule="exact"/>
        <w:rPr>
          <w:rFonts w:ascii="Arial" w:cs="Arial" w:eastAsia="Arial" w:hAnsi="Arial"/>
          <w:sz w:val="22"/>
          <w:szCs w:val="22"/>
          <w:color w:val="auto"/>
        </w:rPr>
      </w:pPr>
    </w:p>
    <w:p>
      <w:pPr>
        <w:ind w:left="1140" w:right="560" w:hanging="322"/>
        <w:spacing w:after="0" w:line="234" w:lineRule="auto"/>
        <w:tabs>
          <w:tab w:leader="none" w:pos="113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240" w:lineRule="exact"/>
        <w:rPr>
          <w:rFonts w:ascii="Arial" w:cs="Arial" w:eastAsia="Arial" w:hAnsi="Arial"/>
          <w:sz w:val="22"/>
          <w:szCs w:val="22"/>
          <w:color w:val="auto"/>
        </w:rPr>
      </w:pPr>
    </w:p>
    <w:p>
      <w:pPr>
        <w:jc w:val="both"/>
        <w:ind w:left="1140" w:right="80" w:hanging="322"/>
        <w:spacing w:after="0" w:line="257" w:lineRule="auto"/>
        <w:tabs>
          <w:tab w:leader="none" w:pos="11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government certification, software supply chain, and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w:t>
      </w:r>
    </w:p>
    <w:p>
      <w:pPr>
        <w:spacing w:after="0" w:line="2" w:lineRule="exact"/>
        <w:rPr>
          <w:rFonts w:ascii="Arial" w:cs="Arial" w:eastAsia="Arial" w:hAnsi="Arial"/>
          <w:sz w:val="21"/>
          <w:szCs w:val="21"/>
          <w:color w:val="auto"/>
        </w:rPr>
      </w:pPr>
    </w:p>
    <w:p>
      <w:pPr>
        <w:ind w:left="1140"/>
        <w:spacing w:after="0" w:line="260" w:lineRule="auto"/>
        <w:rPr>
          <w:rFonts w:ascii="Arial" w:cs="Arial" w:eastAsia="Arial" w:hAnsi="Arial"/>
          <w:sz w:val="21"/>
          <w:szCs w:val="21"/>
          <w:color w:val="auto"/>
        </w:rPr>
      </w:pPr>
      <w:r>
        <w:rPr>
          <w:rFonts w:ascii="Times New Roman" w:cs="Times New Roman" w:eastAsia="Times New Roman" w:hAnsi="Times New Roman"/>
          <w:sz w:val="18"/>
          <w:szCs w:val="18"/>
          <w:color w:val="auto"/>
        </w:rPr>
        <w:t>Federal Risk and Authorization Management Program, or FedRAMP, such certification is costly to maintain and if we lose our certification, it would restrict our ability to sell to government customers;</w:t>
      </w:r>
    </w:p>
    <w:p>
      <w:pPr>
        <w:spacing w:after="0" w:line="221" w:lineRule="exact"/>
        <w:rPr>
          <w:rFonts w:ascii="Arial" w:cs="Arial" w:eastAsia="Arial" w:hAnsi="Arial"/>
          <w:sz w:val="21"/>
          <w:szCs w:val="21"/>
          <w:color w:val="auto"/>
        </w:rPr>
      </w:pPr>
    </w:p>
    <w:p>
      <w:pPr>
        <w:ind w:left="1140" w:right="300" w:hanging="322"/>
        <w:spacing w:after="0" w:line="234" w:lineRule="auto"/>
        <w:tabs>
          <w:tab w:leader="none" w:pos="113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product requirements are often technically complex and assessors may require us to make costly changes to our products to meet such requirements without any assurance that such changes will generate a sale or improve the efficacy of our products;</w:t>
      </w:r>
    </w:p>
    <w:p>
      <w:pPr>
        <w:spacing w:after="0" w:line="240" w:lineRule="exact"/>
        <w:rPr>
          <w:rFonts w:ascii="Arial" w:cs="Arial" w:eastAsia="Arial" w:hAnsi="Arial"/>
          <w:sz w:val="22"/>
          <w:szCs w:val="22"/>
          <w:color w:val="auto"/>
        </w:rPr>
      </w:pPr>
    </w:p>
    <w:p>
      <w:pPr>
        <w:ind w:left="1140" w:right="80" w:hanging="322"/>
        <w:spacing w:after="0" w:line="243" w:lineRule="auto"/>
        <w:tabs>
          <w:tab w:leader="none" w:pos="113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40" w:right="120" w:hanging="322"/>
        <w:spacing w:after="0" w:line="234" w:lineRule="auto"/>
        <w:tabs>
          <w:tab w:leader="none" w:pos="113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 attitudes towards us as a company, our platform or the capabilities that we offer as a viable software solution may change, and reduce interest in our products and services as acceptable solutions;</w:t>
      </w:r>
    </w:p>
    <w:p>
      <w:pPr>
        <w:spacing w:after="0" w:line="240" w:lineRule="exact"/>
        <w:rPr>
          <w:rFonts w:ascii="Arial" w:cs="Arial" w:eastAsia="Arial" w:hAnsi="Arial"/>
          <w:sz w:val="22"/>
          <w:szCs w:val="22"/>
          <w:color w:val="auto"/>
        </w:rPr>
      </w:pPr>
    </w:p>
    <w:p>
      <w:pPr>
        <w:ind w:left="1140" w:right="160" w:hanging="322"/>
        <w:spacing w:after="0" w:line="234" w:lineRule="auto"/>
        <w:tabs>
          <w:tab w:leader="none" w:pos="113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240" w:lineRule="exact"/>
        <w:rPr>
          <w:rFonts w:ascii="Arial" w:cs="Arial" w:eastAsia="Arial" w:hAnsi="Arial"/>
          <w:sz w:val="22"/>
          <w:szCs w:val="22"/>
          <w:color w:val="auto"/>
        </w:rPr>
      </w:pPr>
    </w:p>
    <w:p>
      <w:pPr>
        <w:ind w:left="1140" w:right="380" w:hanging="322"/>
        <w:spacing w:after="0" w:line="246" w:lineRule="auto"/>
        <w:tabs>
          <w:tab w:leader="none" w:pos="113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215" w:lineRule="exact"/>
        <w:rPr>
          <w:rFonts w:ascii="Arial" w:cs="Arial" w:eastAsia="Arial" w:hAnsi="Arial"/>
          <w:sz w:val="22"/>
          <w:szCs w:val="22"/>
          <w:color w:val="auto"/>
        </w:rPr>
      </w:pPr>
    </w:p>
    <w:p>
      <w:pPr>
        <w:ind w:left="1140" w:hanging="322"/>
        <w:spacing w:after="0"/>
        <w:tabs>
          <w:tab w:leader="none" w:pos="114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even if we are awarded a sale, the terms of such contracts may be unusually burdensome;</w:t>
      </w:r>
    </w:p>
    <w:p>
      <w:pPr>
        <w:spacing w:after="0" w:line="238" w:lineRule="exact"/>
        <w:rPr>
          <w:rFonts w:ascii="Arial" w:cs="Arial" w:eastAsia="Arial" w:hAnsi="Arial"/>
          <w:sz w:val="22"/>
          <w:szCs w:val="22"/>
          <w:color w:val="auto"/>
        </w:rPr>
      </w:pPr>
    </w:p>
    <w:p>
      <w:pPr>
        <w:ind w:left="1140" w:right="20" w:hanging="322"/>
        <w:spacing w:after="0" w:line="239" w:lineRule="auto"/>
        <w:tabs>
          <w:tab w:leader="none" w:pos="113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240" w:lineRule="exact"/>
        <w:rPr>
          <w:rFonts w:ascii="Arial" w:cs="Arial" w:eastAsia="Arial" w:hAnsi="Arial"/>
          <w:sz w:val="22"/>
          <w:szCs w:val="22"/>
          <w:color w:val="auto"/>
        </w:rPr>
      </w:pPr>
    </w:p>
    <w:p>
      <w:pPr>
        <w:jc w:val="both"/>
        <w:ind w:left="1140" w:right="300" w:hanging="322"/>
        <w:spacing w:after="0" w:line="239" w:lineRule="auto"/>
        <w:tabs>
          <w:tab w:leader="none" w:pos="113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20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timely and cost-effectively scale and adapt our existing technology to meet our customers’ performance and other requirements.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including those involving AI,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as our business grows, we must continue to improve and expand our information technology infrastructure. It takes a significant amount of time to plan, develop and test improvements to our technologies and infrastructure, and we may not be able to accurately forecast demand or predict the results we will realize from such improvements. We rely on external ecosystems, such as operating systems, to operate and make our products and services available to customers. If we are unable to adapt to product or policy changes in such ecosystems, or if we do not effectively operate with such ecosystems, demand for and availability of our products or services could decline. To the extent that we do not effectively scale our operations and infrastructure to meet the needs of our business,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9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customer satisfaction depends in part on the quality of our customer support.</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of our larger organizational customers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expect that the combination of our existing cash and cash equivalents, cash flows from operations, and our revolving facility will be sufficient to meet our anticipated cash needs for working capital and capital expenditures for at least the next 12 months. Retaining or expanding our current levels of personnel and product and service offerings may require additional funds to respond to business challenges, including the need to develop new products or services and enhancements to our Falcon platform, improve our operating infrastructure, or acquire complementary businesses and technologies. Our failure to raise additional capital or generate the significant capital necessary to expand our operations and invest in new products or services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common stock could decline. If we engage in additional debt financing, the holders of such debt would have priority over the holders of our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59" w:lineRule="exact"/>
        <w:rPr>
          <w:sz w:val="20"/>
          <w:szCs w:val="20"/>
          <w:color w:val="auto"/>
        </w:rPr>
      </w:pPr>
    </w:p>
    <w:p>
      <w:pPr>
        <w:ind w:right="200" w:firstLine="324"/>
        <w:spacing w:after="0" w:line="274" w:lineRule="auto"/>
        <w:rPr>
          <w:sz w:val="20"/>
          <w:szCs w:val="20"/>
          <w:color w:val="auto"/>
        </w:rPr>
      </w:pPr>
      <w:r>
        <w:rPr>
          <w:rFonts w:ascii="Times New Roman" w:cs="Times New Roman" w:eastAsia="Times New Roman" w:hAnsi="Times New Roman"/>
          <w:sz w:val="17"/>
          <w:szCs w:val="17"/>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Such risks may become more pronounced as we continue to scale our business. The technology industry has experienced widespread component shortages and delivery delays, including as a result of geopolitical tensions (including actual or threatened changes in tariffs and trade restrictions), public health crises and natural disasters. We may also experience component shortages and pricing increases from certain of our suppliers as a result of increased demand for such components. While we have taken steps to mitigate our supply chain risk, supply chain disruptions and delays could nevertheless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adversely impact our operations by, among other things, causing us to delay opening new data centers, delay increasing capacity or replacing defective equipment at existing data centers, and experience increased operating costs.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risks of certain of our customers and end-users, which could adversely impact our business, financial condition or results of operations.</w:t>
      </w:r>
    </w:p>
    <w:p>
      <w:pPr>
        <w:spacing w:after="0" w:line="159"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We provide financing arrangements for certain of our customers and end-users to purchase our products and services. Such financing activities expose us to the credit risks of our customers and end-users and these risks may be more pronounced if our customers and end-users are negatively impacted by a global economic downturn or periods of economic uncertainty. There can be no assurance that our efforts to monitor and mitigate these credit risks will be effective. If we are unable to adequately control these risks, our business, financial condition or results of operations could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Legal, and Regulatory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in part on our ability to protect and enforce our intellectual property rights.</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9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9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92"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spacing w:after="0" w:line="189"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and our inability to maintain those licenses could harm our business.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90"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comply with stringent, complex and evolving laws, rules, regulations and standards in many jurisdictions, as well as contractual obligations, relating to data privacy and 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and in the future will likely consider, proposals from time to time for comprehensive federal data privacy and security legislation, to which we may become subject if passed.</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Moreover, laws in all 50 U.S. states require businesses to provide notice under certain circumstances to consumers whose personal information has been disclosed as a result of a data breach.</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and its equivalent in the U.K. (“U.K. GDPR”), which impose stringent obligations regarding the collection, control, use, sharing, disclosure and other processing of personal data and create mandatory breach notification requirements under certain circumstances. While the GDPR and U.K. GDPR remain substantially similar for the time being, the U.K. government has adopted reforms to its data protection legal framework in its Data Use and Access Act 2025, which became law on June 19, 2025 (phasing in between June 2025 and June 2026) and will introduce significant changes from the GDPR. This may lead to additional compliance costs and could increase overall risk exposure as businesses may no longer be able to take a unified approach across the European Economic Area (“EEA”) and the U.K., and such businesses may need to amend their processes and procedures to align with the new framework. Implementing mechanisms to endeavor to ensure compliance with the GDPR and the U.K. GDPR may be onerous and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Legal developments in the EEA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and the U.K.’s international Data Transfer Agreement (or the U.K.’s international data transfer addendum that can be used with the SCCs), the efficacy and longevity of these mechanisms remains uncertain. On July 10, 2023, the European Commission adopted an adequacy decision concluding that the U.S. ensures an adequate level of protection for personal data transferred from the EU to the U.S. under the recently adopted EU-U.S. Data Privacy Framework (followed on October 12, 2023 with the adoption of an adequacy decision in the U.K. for the U.K.-U.S. Data Bridge); however, such new adequacy decision has been challenged in EU courts, and is likely to face additional challenges. Moreover, although the U.K. currently has an adequacy decision from the European Commission, such that SCCs are not required for the transfer of personal data from the EEA to the U.K., that decision will sunset in December 2025 unless extended (as it was prior to the previous June 2025 deadline) and it may be revoked in the future by the European Commission if the U.K. data protection regime is reformed in ways that deviate substantially from the GDPR. The EU has also enacted legislation that would regulate non-personal data and establish new cybersecurity standards, and other countries, including the U.K., may similarly do so in the future. In particular, the EU’s Digital Services Act and the EU’s Data Act both entered into force in 2024 and impose certain content moderation, notice and transparency obligations on digital platforms and intermediaries and certain data and cloud service interoperability and switching obligations to enable users to switch between cloud service providers (as well as certain requirements concerning cross-border international transfers of non-personal data outside the EEA), respectively. Additionally, the EU’s Network and Information Security Directive II, adopted in 2023, regulates resilience and incident response capabilities of entities operating in a number of sectors, including the digital</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infrastructure sector and provides for EU member states to have issued implementing legislation by October 2024. Further, the EU’s Digital Operational Resiliency Act became effective in January 2025 and imposes certain requirements on entities in the financial sector and their third-party cloud service providers related to managing and mitigating information and communication technology risk. If we are unable to transfer data, including personal data, between and among countries and regions in which we operate, or are otherwise required to modify our practices, including our data privacy and security controls and procedures,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 jurisdictions in which we operate, such procedures and controls may not be effective in ensuring compliance or preventing unauthorized transfers of personal data.</w:t>
      </w:r>
    </w:p>
    <w:p>
      <w:pPr>
        <w:spacing w:after="0" w:line="192"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18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In many jurisdictions, enforcement actions and consequences for non-compliance with data privacy and security laws, rules, regulations, standards, certifications, contractual requirements or other obligations are rising. Data subjects may also have a private right of action, as well as support from consumer privacy advocates or organizations, to lodge complaints with supervisory authorities, seek judicial remedies and obtain compensation for damages resulting from violations of applicable data privacy and security laws, rules and regulations. In addition, privacy advocates and industry groups have proposed, and may propose in the future, self-regulatory standards that may legally or contractually apply to us or be alleged to apply to us. Any failure or perceived failure by us or any third parties with which we do business to comply with applicable privacy policies, data privacy or security laws, rules, regulations, standards, certifications or contractual obligations, or any compromise of security that results in unauthorized access to, or unauthorized loss, destruction, use, modification, acquisition, disclosure, release, transfer or other processing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There also has been increased regulatory scrutiny from the SEC with respect to adequately disclosing risks concerning cybersecurity and data privacy. Such scrutiny from the SEC increases the risk of investigations into the cybersecurity practices, and related disclosures, of companies within its jurisdiction.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data privacy and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may also lead to new laws and regulations, or new applications of existing laws and regulations, that target topics such as AI, critical infrastructure software resiliency and concentration risk. Noncompliance by us, our employees, representatives, contractors, channel partners, agents, intermediaries, or other third parties with applicable regulations or requirements could subject us to:</w:t>
      </w:r>
    </w:p>
    <w:p>
      <w:pPr>
        <w:spacing w:after="0" w:line="187" w:lineRule="exact"/>
        <w:rPr>
          <w:sz w:val="20"/>
          <w:szCs w:val="20"/>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Falcon platform;</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 to do business in the jurisdictions in which we operate; or</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or services, substantial product inventory write-offs, reputational damage, penalties, and other sanctions, any of which could harm our business, reputation, and results of operations.</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products, services and business activities, including our collection of information about cyber threats,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The U.S. export control laws and U.S. economic sanctions laws include prohibitions on the sale or supply of certain products and services to U.S. embargoed or sanctioned countries, governments, persons and entities and also require authorization for the export of encryption items. In addition, various countries regulate the import of certain encryption technology, including through import and licensing requirements, and have enacted laws that could limit our ability to distribute our products or service or could limit our customers’ ability to implement our service in those countries. Changes in our products or services or changes in these laws and regulations may create delays in the introduction of our products or services into international markets, prevent our customers with international operations from deploying our products or services globally or, in some cases, prevent the export or import of our products or services to certain countries, governments or persons altogether. Any decreased use of our products or services or limitation on our ability to export to or sell our products or services in international markets would likely adversely affect our business, financial condition, and operating results. Obtaining the necessary authorizations, including any required license, for a particular transaction may be time-consuming, is not guaranteed, and may result in the delay or loss of sales opportunities. If we fail to comply with these laws and regulations, we and certain of our employees could be subject to civil or criminal penalties, including the possible loss of export privileges and monetary penalties. Although we take precautions to prevent our products or services from being provided in violation of such laws, our products or services may have been in the past, and could in the future be, provided in violation of such laws, despite the precautions we take. This could result in negative consequences to us, including government investigations, penalties and harm to our reputation.</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5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U.K. Bribery Act 2010 and other anti-corruption, anti-bribery, anti-money laundering and similar laws in the United States and other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we use channel partners, agents and other third-parties to sell our products or conduct business on our behalf. We or such third parties may have direct or indirect interactions with officials and employees of government agencies or state-owned or affiliated entities and under certain circumstances we could be held liable for the corrupt or other illegal activities of such partners, and our employees, representatives, contractors, partners, and agents, even if we do not explicitly authorize such activities. We have implemented an anti-corruption compliance program but cannot ensure that all our employees and agents, as well as those companies to which we outsource certain of our business operations, will not take actions in violation of our policies and applicable law, for which we may be ultimately held responsible.</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Noncompliance with the FCPA, other applicable anti-corruption, anti-bribery, or anti-money laundering laws could subject us to investigations, whistleblower complaints, sanctions, settlements, prosecution, and other enforcement actions within the U.S. and internationally. Any violation of these laws could result in disgorgement of profits, significant fines, damages, other civil and criminal penalties or injunctions, adverse media coverage, loss of export privileges, severe criminal or civil sanctions, suspension or debarment from U.S. government contracts and other consequences, any of which could have a material adverse effect on our reputation, business, results of operations, and financial condition.</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88" w:lineRule="exact"/>
        <w:rPr>
          <w:sz w:val="20"/>
          <w:szCs w:val="20"/>
          <w:color w:val="auto"/>
        </w:rPr>
      </w:pPr>
    </w:p>
    <w:p>
      <w:pPr>
        <w:ind w:left="1140" w:hanging="322"/>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time-consuming and costly litigation;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time and attention from developing our business;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pay monetary damages or enter into royalty and licensing agreements that we would not normally find acceptable;</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delays in the deployment of our Falcon platform or service offerings to our customers;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stop offering certain services or features of our Falcon platform;</w:t>
      </w:r>
    </w:p>
    <w:p>
      <w:pPr>
        <w:spacing w:after="0" w:line="225" w:lineRule="exact"/>
        <w:rPr>
          <w:rFonts w:ascii="Times New Roman" w:cs="Times New Roman" w:eastAsia="Times New Roman" w:hAnsi="Times New Roman"/>
          <w:sz w:val="18"/>
          <w:szCs w:val="18"/>
          <w:color w:val="auto"/>
        </w:rPr>
      </w:pPr>
    </w:p>
    <w:p>
      <w:pPr>
        <w:ind w:left="1140" w:right="140" w:hanging="322"/>
        <w:spacing w:after="0" w:line="282" w:lineRule="auto"/>
        <w:tabs>
          <w:tab w:leader="none" w:pos="11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redesign certain components of our Falcon platform using alternative non-infringing or non-open source technology, which could require significant effort and expense;</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disclose our software source code and the detailed program commands for our software;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satisfy indemnification obligations to our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utilize AI, which could expose us to liability or adversely affect our business.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incorporate novel uses of AI technologies, including generative AI, into our products and operations, such as our Falcon platform. AI is complex and rapidly evolving, and we face significant competition from other companies who may incorporate AI into their products more quickly or more successfully than us, as well as an evolving regulatory landscape. The introduction of AI, and particularly generative AI, a relatively new and emerging technology in the early stages of commercial use, into new or existing products, and our operations, may result in new or enhanced governmental or regulatory scrutiny, litigation, confidentiality, ethical concerns, or other complications that could adversely affect our business, reputation, or financial results. For example, generative AI has been known to produce false or “hallucinatory” interferences or outputs, and certain generative AI uses machine learning and predictive analytics, which may be flawed, insufficient, of poor quality, reflect unwanted forms of bias, or contain other errors or inadequacies, any of which may not be easily detectable. Our customers or others may rely on or use this flawed content to their detriment, which may expose us to brand or reputational harm, competitive harm, and/or legal liability. In addition, the use of AI by other companies has resulted in, and may in the future result in, data breaches and cybersecurity incidents that implicate the personal information of AI users. Further, the use of AI presents emerging ethical, social, legal and other issues, and if we enable or offer solutions that draw scrutiny or controversy due to perceived or actual risks or impacts on customers or on society as a whole, we may experience brand or reputational harm, competitive harm, delays in customer purchasing decisions and/or legal liability. Our continued incorporation of AI, including generative AI, into our products and operations requires us to expend significant resources. If such investments do not deliver anticipated benefits or are not otherwise successful, our business and results of operations may be harmed.</w:t>
      </w:r>
    </w:p>
    <w:p>
      <w:pPr>
        <w:spacing w:after="0" w:line="19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technologies underlying AI and its uses are subject to a variety of laws and regulations, including intellectual property, privacy, data protection cybersecurity, consumer protection, competition, and equal opportunity laws and regulations, and are expected to be subject to new laws and regulations or new applications of existing laws and regulations. AI is the subject of ongoing review by various U.S. governmental and regulatory agencies, and various U.S. states and other foreign jurisdictions are applying, or are considering applying, their cybersecurity and data protection laws to AI or are considering general legal frameworks for AI. For example, in the EU, the first set of provisions under the EU’s AI Act became effective in February 2025, with additional provisions becoming effective on later dates. The AI Act establishes, among other things, a risk-based governance framework for regulating AI systems in the EU by categorizing AI systems, based on the risks associated with such AI systems’ intended purposes, as creating unacceptable or high risks, with all other AI systems being considered low risk. This regulatory framework is expected to have a material impact on the way AI is regulated in the EU and beyond. As further indication of a trend in increased regulatory and legislative oversight of the use and development of AI, in 2024, California enacted a range of laws regulating the use and development of AI, which generally relate to transparency, privacy and fairness, among other concerns. Other states, including Colorado and Utah, have also enacted AI-related laws, and several more have proposed enacting such laws.</w:t>
      </w:r>
    </w:p>
    <w:p>
      <w:pPr>
        <w:spacing w:after="0" w:line="19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a fast-evolving and complicated technology subject to significant government attention, AI-related legislation and regulation may be developed and apply to AI in unexpected ways. We may not be able to anticipate how to respond to or comply with these rapidly evolving frameworks, and we may need to expend resources to adjust our offerings in certain jurisdictions if the legal frameworks are inconsistent across jurisdictions. The cost to comply with such frameworks could be significant and may increase our operating expenses. Additionally, if we do not have sufficient rights to use the data or other material or content on which our AI technologies rely, we may incur liability through the violation of applicable laws or regulations, third-party intellectual property, privacy or other rights, or contracts to which we are a party. Further, any content or other output created by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use of AI-powered tools may not be subject to copyright protection, which may adversely affect our ability to enforce our intellectual property rights. Because AI technology itself is highly complex and rapidly developing, it is not possible to predict all of the legal, operational or technological risks that may arise relating to the use of AI.</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To the extent we are unable to meet our stated service level commitments or to the extent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to the extent we suffer performance issues or downtime that exceeds the service level commitments under our agreements with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and may in the future become, involved in litigation that may adversely affect us.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securities litigation, compliance with laws and regulatory requirements and other matters, and we may become subject to additional types of claims, suits, investigations and proceedings as our business develops or in connection with the July 19 Incident.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condensed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9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may be subject to liability claims for damages related to errors or defects in our solutions, and we are currently subject to claims, and may in the future become subject to additional claims, arising out of the July 19 Incident.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may not cover all of our indemnification obligations and they may not fully or effectively protect us from claims as a result of federal, state, or local laws or ordinances, or unfavorable judicial decisions in the United States or other countries. The sale and support of our products also entail the risk of product liability claims.</w:t>
      </w:r>
    </w:p>
    <w:p>
      <w:pPr>
        <w:spacing w:after="0" w:line="18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received, and may continue to receive, claims in connection with the July 19 Incident.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8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maintain insurance to mitigate potential losses arising from certain claims associated with the use of our products, but our insurance coverage may not adequately cover all claims asserted against us, including our liability related to the July 19 Incident.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regardless of our operating performance, and you could lose all or part of your investment.</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The market price of our common stock depends on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market price of our common stock include the following:</w:t>
      </w:r>
    </w:p>
    <w:p>
      <w:pPr>
        <w:spacing w:after="0" w:line="180" w:lineRule="exact"/>
        <w:rPr>
          <w:sz w:val="20"/>
          <w:szCs w:val="20"/>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1140" w:hanging="322"/>
        <w:spacing w:after="0" w:line="282"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 or new or terminated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or financial analyst or investor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1140" w:right="680" w:hanging="322"/>
        <w:spacing w:after="0" w:line="282" w:lineRule="auto"/>
        <w:tabs>
          <w:tab w:leader="none" w:pos="11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40" w:hanging="322"/>
        <w:spacing w:after="0" w:line="282" w:lineRule="auto"/>
        <w:tabs>
          <w:tab w:leader="none" w:pos="1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rights or our solutions, or third-party proprietary rights;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changes in our management or our board of directors, particularly with respect to Mr. Kurtz;</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new or different information relating to the impact of the July 19 Incident;</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or frequency of stock repurchases;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We are currently party to securities litigation asserted against us arising out of the July 19 Incident. Any securities litigation could result in substantial costs and divert our management’s attention and resources from our business. This could have an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repurchase program may not result in benefits to stockholder value.</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June 2025, we announced that our board of directors authorized a program under which we are authorized to repurchase up to $1.0 billion of our outstanding shares of common stock (the “Share Repurchase Program”). Such repurchases may be made from time to time using a variety of methods, including open market purchases, privately negotiated transactions and trading plans intended to qualify under Rule 10b5-1 under the Exchange Act. The Share Repurchase Program does not have a fixed expiration date and may be suspended or discontinued at any time. We are not obligated to use the Share Repurchase Program to acquire any specific amount of common stock. We intend to use the Share Repurchase Program opportunistically depending on market prices and other factors, and there can be no assurance that we will repurchase any shares of stock under the Share Repurchase Program. Any failure to repurchase stock after we have announced our intention to do so may negatively impact our reputation and investor confidence in us and may negatively impact our stock price.</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timing and amount of any repurchases, if any, will be subject to liquidity, market and economic conditions, restrictions under our credit agreement, compliance with applicable legal requirements, and other relevant factors. If we do repurchase shares of our common stock under the Share Repurchase Program, such repurchases will reduce the amount of cash we have available to fund working capital, repayment of debt, capital expenditures, strategic acquisitions or business opportunities, and other general corporate purposes. The Share Repurchase Program may not enhance long-term stockholder value because the market price of our common stock may decline below the levels at which we repurchased shares and short-term stock price fluctuations could reduce the effectiveness of this program.</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markets, or the perception that they might occur, could reduce the price that our common stock might otherwise attain and may dilute your voting power and your ownership interest in us.</w:t>
      </w:r>
    </w:p>
    <w:p>
      <w:pPr>
        <w:spacing w:after="0" w:line="15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particularly sales by our directors, executive officers and significant stockholders, or the perception that these sales could occur, could adversely affect the market price of our common stock. As of November 25, 2025, we had 252,098,440 shares of common stock outstanding.</w:t>
      </w:r>
    </w:p>
    <w:p>
      <w:pPr>
        <w:spacing w:after="0" w:line="176"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may also issue our shares of common stock or securities convertible into shares of our common stock from time to time in connection with a financing, acquisition, investments or otherwise. Any such issuance could result in substantial dilution to our existing stockholders and cause the market price of our common stock to decline.</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industry or financial analysts do not publish research or reports about our business, or if they issue inaccurate or unfavorable research regarding our common stock, our stock price and trading volume could decline.</w:t>
      </w:r>
    </w:p>
    <w:p>
      <w:pPr>
        <w:spacing w:after="0" w:line="15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price of our common stock.</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common stock after price appreciation, which may never occur, as the only way to realize any future gains on their investments.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common stock.</w:t>
      </w:r>
    </w:p>
    <w:p>
      <w:pPr>
        <w:spacing w:after="0" w:line="17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76" w:lineRule="exact"/>
        <w:rPr>
          <w:sz w:val="20"/>
          <w:szCs w:val="20"/>
          <w:color w:val="auto"/>
        </w:rPr>
      </w:pPr>
    </w:p>
    <w:p>
      <w:pPr>
        <w:ind w:left="1140" w:right="60" w:hanging="322"/>
        <w:spacing w:after="0" w:line="282"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1140" w:right="60" w:hanging="322"/>
        <w:spacing w:after="0" w:line="282"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61" w:lineRule="exact"/>
        <w:rPr>
          <w:rFonts w:ascii="Times New Roman" w:cs="Times New Roman" w:eastAsia="Times New Roman" w:hAnsi="Times New Roman"/>
          <w:sz w:val="18"/>
          <w:szCs w:val="18"/>
          <w:color w:val="auto"/>
        </w:rPr>
      </w:pPr>
    </w:p>
    <w:p>
      <w:pPr>
        <w:ind w:left="1140" w:right="380" w:hanging="322"/>
        <w:spacing w:after="0" w:line="282"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ind w:left="1140" w:right="240" w:hanging="322"/>
        <w:spacing w:after="0" w:line="282" w:lineRule="auto"/>
        <w:tabs>
          <w:tab w:leader="none" w:pos="1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right="280" w:hanging="322"/>
        <w:spacing w:after="0" w:line="266" w:lineRule="auto"/>
        <w:tabs>
          <w:tab w:leader="none" w:pos="11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1140" w:right="400" w:hanging="322"/>
        <w:spacing w:after="0" w:line="282" w:lineRule="auto"/>
        <w:tabs>
          <w:tab w:leader="none" w:pos="11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require the approval of two-thirds of the then-outstanding voting power of our capital stock; and</w:t>
      </w:r>
    </w:p>
    <w:p>
      <w:pPr>
        <w:spacing w:after="0" w:line="161" w:lineRule="exact"/>
        <w:rPr>
          <w:rFonts w:ascii="Times New Roman" w:cs="Times New Roman" w:eastAsia="Times New Roman" w:hAnsi="Times New Roman"/>
          <w:sz w:val="18"/>
          <w:szCs w:val="18"/>
          <w:color w:val="auto"/>
        </w:rPr>
      </w:pPr>
    </w:p>
    <w:p>
      <w:pPr>
        <w:ind w:left="1140" w:right="140" w:hanging="322"/>
        <w:spacing w:after="0" w:line="266" w:lineRule="auto"/>
        <w:tabs>
          <w:tab w:leader="none" w:pos="11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provisions may prohibit large stockholders, in particular those owning 15% or more of our outstanding voting stock, from merging or combining with us for a certain period of time.</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is the exclusive forum for:</w:t>
      </w:r>
    </w:p>
    <w:p>
      <w:pPr>
        <w:spacing w:after="0" w:line="225" w:lineRule="exact"/>
        <w:rPr>
          <w:sz w:val="20"/>
          <w:szCs w:val="20"/>
          <w:color w:val="auto"/>
        </w:rPr>
      </w:pPr>
    </w:p>
    <w:p>
      <w:pPr>
        <w:ind w:left="1140" w:hanging="322"/>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225" w:lineRule="exact"/>
        <w:rPr>
          <w:rFonts w:ascii="Times New Roman" w:cs="Times New Roman" w:eastAsia="Times New Roman" w:hAnsi="Times New Roman"/>
          <w:sz w:val="18"/>
          <w:szCs w:val="18"/>
          <w:color w:val="auto"/>
        </w:rPr>
      </w:pPr>
    </w:p>
    <w:p>
      <w:pPr>
        <w:ind w:left="1140" w:right="560" w:hanging="322"/>
        <w:spacing w:after="0" w:line="282" w:lineRule="auto"/>
        <w:tabs>
          <w:tab w:leader="none" w:pos="11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161" w:lineRule="exact"/>
        <w:rPr>
          <w:rFonts w:ascii="Times New Roman" w:cs="Times New Roman" w:eastAsia="Times New Roman" w:hAnsi="Times New Roman"/>
          <w:sz w:val="18"/>
          <w:szCs w:val="18"/>
          <w:color w:val="auto"/>
        </w:rPr>
      </w:pPr>
    </w:p>
    <w:p>
      <w:pPr>
        <w:ind w:left="1140" w:right="40" w:hanging="322"/>
        <w:spacing w:after="0" w:line="282" w:lineRule="auto"/>
        <w:tabs>
          <w:tab w:leader="none" w:pos="11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amended and restated certificate of incorporation or our amended and restated bylaws;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0" w:lineRule="exact"/>
        <w:rPr>
          <w:sz w:val="20"/>
          <w:szCs w:val="20"/>
          <w:color w:val="auto"/>
        </w:rPr>
      </w:pPr>
    </w:p>
    <w:p>
      <w:pPr>
        <w:jc w:val="both"/>
        <w:ind w:right="260" w:firstLine="324"/>
        <w:spacing w:after="0" w:line="282"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As of October 31, 2025,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76" w:lineRule="exact"/>
        <w:rPr>
          <w:sz w:val="20"/>
          <w:szCs w:val="20"/>
          <w:color w:val="auto"/>
        </w:rPr>
      </w:pPr>
    </w:p>
    <w:p>
      <w:pPr>
        <w:ind w:left="1140" w:right="680" w:hanging="322"/>
        <w:spacing w:after="0" w:line="282" w:lineRule="auto"/>
        <w:tabs>
          <w:tab w:leader="none" w:pos="1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spacing w:after="0" w:line="161" w:lineRule="exact"/>
        <w:rPr>
          <w:rFonts w:ascii="Times New Roman" w:cs="Times New Roman" w:eastAsia="Times New Roman" w:hAnsi="Times New Roman"/>
          <w:sz w:val="18"/>
          <w:szCs w:val="18"/>
          <w:color w:val="auto"/>
        </w:rPr>
      </w:pPr>
    </w:p>
    <w:p>
      <w:pPr>
        <w:ind w:left="1140" w:right="280" w:hanging="322"/>
        <w:spacing w:after="0" w:line="282" w:lineRule="auto"/>
        <w:tabs>
          <w:tab w:leader="none" w:pos="1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competitive conditions;</w:t>
      </w:r>
    </w:p>
    <w:p>
      <w:pPr>
        <w:spacing w:after="0" w:line="225" w:lineRule="exact"/>
        <w:rPr>
          <w:rFonts w:ascii="Times New Roman" w:cs="Times New Roman" w:eastAsia="Times New Roman" w:hAnsi="Times New Roman"/>
          <w:sz w:val="18"/>
          <w:szCs w:val="18"/>
          <w:color w:val="auto"/>
        </w:rPr>
      </w:pPr>
    </w:p>
    <w:p>
      <w:pPr>
        <w:ind w:left="1140" w:right="340" w:hanging="322"/>
        <w:spacing w:after="0" w:line="282" w:lineRule="auto"/>
        <w:tabs>
          <w:tab w:leader="none" w:pos="11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certain of our borrowings, including borrowings under our revolving facility, are at variable rates of interest; and</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including the Senior Notes, and may be forced to take other actions to satisfy our obligations under our indebtedness, which may not be successful.</w:t>
      </w:r>
    </w:p>
    <w:p>
      <w:pPr>
        <w:spacing w:after="0" w:line="15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Senior Notes.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8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76" w:lineRule="exact"/>
        <w:rPr>
          <w:sz w:val="20"/>
          <w:szCs w:val="20"/>
          <w:color w:val="auto"/>
        </w:rPr>
      </w:pPr>
    </w:p>
    <w:p>
      <w:pPr>
        <w:ind w:left="1140" w:hanging="322"/>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ectPr>
          <w:pgSz w:w="11900" w:h="16838" w:orient="portrait"/>
          <w:cols w:equalWidth="0" w:num="1">
            <w:col w:w="11180"/>
          </w:cols>
          <w:pgMar w:left="320" w:top="33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hanging="322"/>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with, or sell all or substantially all of our assets to, another person.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covenants in the indenture and supplemental indenture that govern the Senior Notes are subject to exceptions and qualifications.</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76" w:lineRule="exact"/>
        <w:rPr>
          <w:sz w:val="20"/>
          <w:szCs w:val="20"/>
          <w:color w:val="auto"/>
        </w:rPr>
      </w:pPr>
    </w:p>
    <w:p>
      <w:pPr>
        <w:ind w:left="1140" w:hanging="32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our operations;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needed capital expenditures;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acquisitions or investments or enter into joint ventures;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withstand a future downturn in our business, the industry or the economy in general;</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activities, including future opportunities, that may be in our best interest; and</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or react to market conditions or otherwise execute our business strategies.</w:t>
      </w:r>
    </w:p>
    <w:p>
      <w:pPr>
        <w:spacing w:after="0" w:line="22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These restrictions may affect our ability to expand our business, which could have a material adverse effect on our business, financial condition and results of operations.</w:t>
      </w:r>
    </w:p>
    <w:p>
      <w:pPr>
        <w:spacing w:after="0" w:line="16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revolving facility and the indenture that governs our Senior Notes contain cross-default provisions that could result in the acceleration of all of our indebtedness.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condensed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88"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condensed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spacing w:after="0" w:line="18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have in the past made,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risks we may face in connection with acquisitions include:</w:t>
      </w:r>
    </w:p>
    <w:p>
      <w:pPr>
        <w:spacing w:after="0" w:line="225" w:lineRule="exact"/>
        <w:rPr>
          <w:sz w:val="20"/>
          <w:szCs w:val="20"/>
          <w:color w:val="auto"/>
        </w:rPr>
      </w:pPr>
    </w:p>
    <w:p>
      <w:pPr>
        <w:ind w:left="1140" w:hanging="322"/>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and sales and marketing functions;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administrative systems, employee, product and service offerings;</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5"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25" w:lineRule="exact"/>
        <w:rPr>
          <w:rFonts w:ascii="Times New Roman" w:cs="Times New Roman" w:eastAsia="Times New Roman" w:hAnsi="Times New Roman"/>
          <w:sz w:val="18"/>
          <w:szCs w:val="18"/>
          <w:color w:val="auto"/>
        </w:rPr>
      </w:pPr>
    </w:p>
    <w:p>
      <w:pPr>
        <w:ind w:left="1140" w:right="140" w:hanging="322"/>
        <w:spacing w:after="0" w:line="282" w:lineRule="auto"/>
        <w:tabs>
          <w:tab w:leader="none" w:pos="11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regulatory or compliance requirements;</w:t>
      </w:r>
    </w:p>
    <w:p>
      <w:pPr>
        <w:spacing w:after="0" w:line="225" w:lineRule="exact"/>
        <w:rPr>
          <w:rFonts w:ascii="Times New Roman" w:cs="Times New Roman" w:eastAsia="Times New Roman" w:hAnsi="Times New Roman"/>
          <w:sz w:val="18"/>
          <w:szCs w:val="18"/>
          <w:color w:val="auto"/>
        </w:rPr>
      </w:pPr>
    </w:p>
    <w:p>
      <w:pPr>
        <w:ind w:left="1140" w:right="580" w:hanging="322"/>
        <w:spacing w:after="0" w:line="282" w:lineRule="auto"/>
        <w:tabs>
          <w:tab w:leader="none" w:pos="11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revenue recognition or other financial or control deficiencies of the acquired company that we do not adequately address and that cause our reported results to be incorrect;</w:t>
      </w:r>
    </w:p>
    <w:p>
      <w:pPr>
        <w:spacing w:after="0" w:line="161" w:lineRule="exact"/>
        <w:rPr>
          <w:rFonts w:ascii="Times New Roman" w:cs="Times New Roman" w:eastAsia="Times New Roman" w:hAnsi="Times New Roman"/>
          <w:sz w:val="18"/>
          <w:szCs w:val="18"/>
          <w:color w:val="auto"/>
        </w:rPr>
      </w:pPr>
    </w:p>
    <w:p>
      <w:pPr>
        <w:ind w:left="1140" w:right="400" w:hanging="322"/>
        <w:spacing w:after="0" w:line="282" w:lineRule="auto"/>
        <w:tabs>
          <w:tab w:leader="none" w:pos="11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61" w:lineRule="exact"/>
        <w:rPr>
          <w:rFonts w:ascii="Times New Roman" w:cs="Times New Roman" w:eastAsia="Times New Roman" w:hAnsi="Times New Roman"/>
          <w:sz w:val="18"/>
          <w:szCs w:val="18"/>
          <w:color w:val="auto"/>
        </w:rPr>
      </w:pPr>
    </w:p>
    <w:p>
      <w:pPr>
        <w:ind w:left="1140" w:right="620" w:hanging="322"/>
        <w:spacing w:after="0" w:line="282" w:lineRule="auto"/>
        <w:tabs>
          <w:tab w:leader="none" w:pos="11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5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accruals, which could have an adverse effect on our results of operations or cash flows in the period or periods for which a determination is made.</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July 4, 2025, tax reform legislation included in the One Big Beautiful Bill Act (the “OBBBA”) was enacted in the United States. The tax effects of the OBBBA have been accounted for in the second quarter of the fiscal year 2026. The OBBBA includes significant corporate tax reforms, including (i) the permanent reinstatement of deducting domestic research and development expenditures as incurred beginning in fiscal 2026 (under prior law such expenditures were capitalized and amortized over five years); (ii) the option to claim 100% accelerated depreciation deductions on qualified property; and</w:t>
      </w:r>
    </w:p>
    <w:p>
      <w:pPr>
        <w:spacing w:after="0" w:line="3" w:lineRule="exact"/>
        <w:rPr>
          <w:sz w:val="20"/>
          <w:szCs w:val="20"/>
          <w:color w:val="auto"/>
        </w:rPr>
      </w:pPr>
    </w:p>
    <w:p>
      <w:pPr>
        <w:ind w:right="260" w:firstLine="8"/>
        <w:spacing w:after="0" w:line="260"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tax provisions modifying global intangible low-taxed income (GILTI), foreign-derived intangible income (FDII), and base erosion and anti-abuse tax (BEAT).</w:t>
      </w:r>
    </w:p>
    <w:p>
      <w:pPr>
        <w:spacing w:after="0" w:line="181"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2024 and, with respect to certain components of the plan, to 2025. Under Pillar Two, the Inclusive Framework has agreed on a global minimum corporate tax rate of 15% for companies with revenue above €750 million, calculated on a jurisdictional basis. The European Union and other countries (including those in which we operate) have enacted or committed to enact Pillar Two into their domestic laws, which may adversely impact our provision for income taxes, existing tax incentives, net income and cash flows. On February 1, 2023, the U.S. Financial Accounting Standards Board (“FASB”)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On January 20, 2025, the Trump Administration issued an executive order declaring the Inclusive Framework has no force or effect in the U.S. absent congressional action, and directing the U.S. Department of Treasury to: (i) investigate whether any non-U.S. countries are not in compliance with any U.S. tax treaty or have implemented or are likely to implement tax rules that are extraterritorial or disproportionately affect U.S. companies, which may include actions or taxes imposed under Pillar One or Pillar Two, and (ii) develop options for “protective measures” in response to any such noncompliance or tax rules. On June 28, 2025, the United States and the rest of G7 countries announced an agreement that would, in principle, exclude U.S. parented groups from certain taxes under Pillar Two and address certain risks of base erosion and profit shifting. However, we cannot predict whether or when such agreement will be brought into force, and whether the United States will adopt any other protective measures, including with respect to any taxes imposed under Pillar One, or whether or how any non-U.S. countries may change their tax laws, including with respect to Pillar One or Pillar Two, in response to the executive order, the</w:t>
      </w:r>
    </w:p>
    <w:p>
      <w:pPr>
        <w:spacing w:after="0" w:line="14"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agreement in principle described above, or otherwise. In addition, the Inclusive Framework envisages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31, 2025, we had aggregate U.S federal and California net operating loss carryforwards of $1.4 billion and $307.9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may be available to offset future taxable income for income tax purposes. The federal net operating losses are carried forward indefinitely,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net operating loss carryforwards begin to expire in fiscal 2034 through fiscal 2045. As of January 31, 2025, net operating loss carryforwards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states totaled $716.0 million, which begin to expire in fiscal 2026 through fiscal 2045. As of January 31, 2025, net operating loss carryforwards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U.K. totaled $78.0 million, which are carried forward indefinitely, and net operating loss carryforwards totaled immaterial amounts in certain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As of January 31, 2025, we had U.S federal and California research and development (“R&amp;D”) credit carryforwards of $165.1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$39.6 million, respectively. The federal R&amp;D credit carryforwards begin to expire in fiscal 2037 though fiscal 2045. The California R&amp;D credits are carried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indefinitely. Realization of these net operating loss and R&amp;D credit carryforwards depends on future income, and there is a risk that our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carryforwards could expire unused and be unavailable to offset future income tax liabilities, which could adversely affect our results of operations.</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R&amp;D credits, to offset its post-change income or taxes may be limited. We may experience ownership changes in the future as a result of shifts in our stock ownership. As a result, if we earn net taxable income, our ability to use our pre-change net operating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carryforwards to offset U.S. federal taxable income may be subject to limitations, which could potentially result in increased future tax liability to us.</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7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59" w:lineRule="exact"/>
        <w:rPr>
          <w:sz w:val="20"/>
          <w:szCs w:val="20"/>
          <w:color w:val="auto"/>
        </w:rPr>
      </w:pPr>
    </w:p>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common stock.</w:t>
      </w:r>
    </w:p>
    <w:p>
      <w:pPr>
        <w:spacing w:after="0" w:line="19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18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equity method. This volatility could be material to our results in any given quarter and may cause our stock price to decline.</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regarding our efforts and performance relating to environmental, social and governance factors have imposed and may impose additional costs on us and expose us to risks.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Regulators, certain investors, and other stakeholders have focused on and set, and in the future may continue to focus on, set and revise, expectations relating to environmental, social and governance (“ESG”) matters, both in the United States and internationally. We have undertaken and expect to continue to undertake certain ESG-related initiatives, goals and commitments, which we have communicated on our website, in our SEC filings and elsewhere. These initiatives, goals, or commitments could be difficult to achieve and have in the past been, and may in the future be, costly to implement. We could fail to achieve, or be perceived to fail to achieve, our ESG-related initiatives, goals, or commitments. In addition, we could be criticized for the timing, scope or nature of these initiatives, goals, or commitments, or for any revisions to them. Stakeholders could also challenge the accuracy, adequacy, or completeness of our ESG-related disclosures. Our actual or perceived failure to achieve some or all of our ESG-related initiatives, goals, or commitments or maintain ESG practices that meet evolving stakeholder expectations or regulatory requirements could harm our reputation, adversely impact our ability to attract and retain employees or customers and expose us to increased scrutiny from ESG-focused investors, regulatory authorities and others, or subject us to liability. Damage to our reputation or reduced demand for our products may adversely impact our business, financial condition, or results of operations.</w:t>
      </w:r>
    </w:p>
    <w:p>
      <w:pPr>
        <w:spacing w:after="0" w:line="18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catastrophic events, including, but not limited to, natural events such as earthquakes, fire, floods, and the outbreak of diseases, as well as man-made problems such as power disruptions, computer viruses or data security breaches.</w:t>
      </w:r>
    </w:p>
    <w:p>
      <w:pPr>
        <w:spacing w:after="0" w:line="15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public health crises,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may be further enhanced in frequency or effectiveness through threat actors’ use of AI,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All of the aforementioned risks may be further increased if the disaster recovery plans for us and our suppliers prove to be inadequate. To the extent that any of the above should result in delays or cancellations of customer orders, delays in the manufacture, deployment or shipment of our products, or delays in the rendering of our services, our business, financial condition and results of operations would be adversely affected.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Sales of Unregistered Equity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12, 2025, we issued approximately $11.1 million of shares of our Class A common stock, subject to service-based vesting conditions, to a stockholder of Onum in connection with our acquisition of Onum. We also agreed to issue $26.9 million of shares of our Class A common stock, subject to service-based vesting conditions, to certain other stockholders of Onum in connection with our acquisition of Onum. The transactions were exempt from registration under Section 4(a)(2) of the Securities Act.</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Pangea on September 26, 2025, we agreed to issue approximately $46.5 million of shares of our Class A common stock, subject to service-based vesting conditions, to certain stockholders of Pangea. The transaction was exempt from registration under Section 4(a)(2) of the Securities Act.</w:t>
      </w:r>
    </w:p>
    <w:p>
      <w:pPr>
        <w:spacing w:after="0" w:line="172" w:lineRule="exact"/>
        <w:rPr>
          <w:sz w:val="20"/>
          <w:szCs w:val="20"/>
          <w:color w:val="auto"/>
        </w:rPr>
      </w:pPr>
    </w:p>
    <w:p>
      <w:pPr>
        <w:ind w:left="340" w:right="8040" w:hanging="332"/>
        <w:spacing w:after="0" w:line="500" w:lineRule="auto"/>
        <w:tabs>
          <w:tab w:leader="none" w:pos="33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Not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14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00" w:type="dxa"/>
            <w:vAlign w:val="bottom"/>
            <w:vMerge w:val="continue"/>
          </w:tcPr>
          <w:p>
            <w:pPr>
              <w:spacing w:after="0"/>
              <w:rPr>
                <w:sz w:val="11"/>
                <w:szCs w:val="11"/>
                <w:color w:val="auto"/>
              </w:rPr>
            </w:pPr>
          </w:p>
        </w:tc>
        <w:tc>
          <w:tcPr>
            <w:tcW w:w="36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8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jc w:val="center"/>
              <w:ind w:right="428"/>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1260" w:type="dxa"/>
            <w:vAlign w:val="bottom"/>
          </w:tcPr>
          <w:p>
            <w:pPr>
              <w:jc w:val="center"/>
              <w:ind w:left="228"/>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0"/>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90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6350</wp:posOffset>
            </wp:positionV>
            <wp:extent cx="38144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tbl>
      <w:tblPr>
        <w:tblLayout w:type="fixed"/>
        <w:tblInd w:w="0" w:type="dxa"/>
        <w:tblCellMar>
          <w:top w:w="0" w:type="dxa"/>
          <w:left w:w="0" w:type="dxa"/>
          <w:bottom w:w="0" w:type="dxa"/>
          <w:right w:w="0" w:type="dxa"/>
        </w:tblCellMar>
      </w:tblPr>
      <w:tr>
        <w:trPr>
          <w:trHeight w:val="192"/>
        </w:trPr>
        <w:tc>
          <w:tcPr>
            <w:tcW w:w="580" w:type="dxa"/>
            <w:vAlign w:val="bottom"/>
            <w:tcBorders>
              <w:top w:val="single" w:sz="8" w:color="auto"/>
            </w:tcBorders>
            <w:gridSpan w:val="4"/>
          </w:tcPr>
          <w:p>
            <w:pPr>
              <w:jc w:val="center"/>
              <w:ind w:left="270"/>
              <w:spacing w:after="0" w:line="193" w:lineRule="exact"/>
              <w:rPr>
                <w:rFonts w:ascii="Times New Roman" w:cs="Times New Roman" w:eastAsia="Times New Roman" w:hAnsi="Times New Roman"/>
                <w:sz w:val="18"/>
                <w:szCs w:val="18"/>
                <w:color w:val="0000FF"/>
                <w:w w:val="97"/>
              </w:rPr>
            </w:pPr>
            <w:hyperlink r:id="rId10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gridSpan w:val="13"/>
          </w:tcPr>
          <w:p>
            <w:pPr>
              <w:spacing w:after="0" w:line="193"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and Restated Certificate of Incorporation of</w:t>
              </w:r>
            </w:hyperlink>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the Registrant, as currently in effect.</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80" w:type="dxa"/>
            <w:vAlign w:val="bottom"/>
            <w:gridSpan w:val="4"/>
          </w:tcPr>
          <w:p>
            <w:pPr>
              <w:jc w:val="center"/>
              <w:ind w:left="270"/>
              <w:spacing w:after="0"/>
              <w:rPr>
                <w:rFonts w:ascii="Times New Roman" w:cs="Times New Roman" w:eastAsia="Times New Roman" w:hAnsi="Times New Roman"/>
                <w:sz w:val="18"/>
                <w:szCs w:val="18"/>
                <w:color w:val="0000FF"/>
                <w:w w:val="97"/>
              </w:rPr>
            </w:pPr>
            <w:hyperlink r:id="rId10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80" w:type="dxa"/>
            <w:vAlign w:val="bottom"/>
            <w:gridSpan w:val="13"/>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Amended and Restated Bylaws of the Registrant, as</w:t>
              </w:r>
            </w:hyperlink>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06">
              <w:r>
                <w:rPr>
                  <w:rFonts w:ascii="Times New Roman" w:cs="Times New Roman" w:eastAsia="Times New Roman" w:hAnsi="Times New Roman"/>
                  <w:sz w:val="18"/>
                  <w:szCs w:val="18"/>
                  <w:color w:val="0000FF"/>
                  <w:w w:val="97"/>
                </w:rPr>
                <w:t>currently in effect.</w:t>
              </w:r>
            </w:hyperlink>
          </w:p>
        </w:tc>
        <w:tc>
          <w:tcPr>
            <w:tcW w:w="2400" w:type="dxa"/>
            <w:vAlign w:val="bottom"/>
            <w:tcBorders>
              <w:top w:val="single" w:sz="8" w:color="0000FF"/>
            </w:tcBorders>
            <w:gridSpan w:val="5"/>
          </w:tcPr>
          <w:p>
            <w:pPr>
              <w:spacing w:after="0"/>
              <w:rPr>
                <w:sz w:val="13"/>
                <w:szCs w:val="13"/>
                <w:color w:val="auto"/>
              </w:rPr>
            </w:pPr>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360" w:type="dxa"/>
            <w:vAlign w:val="bottom"/>
            <w:gridSpan w:val="3"/>
          </w:tcPr>
          <w:p>
            <w:pPr>
              <w:spacing w:after="0"/>
              <w:rPr>
                <w:sz w:val="19"/>
                <w:szCs w:val="19"/>
                <w:color w:val="auto"/>
              </w:rPr>
            </w:pPr>
          </w:p>
        </w:tc>
        <w:tc>
          <w:tcPr>
            <w:tcW w:w="220" w:type="dxa"/>
            <w:vAlign w:val="bottom"/>
          </w:tcPr>
          <w:p>
            <w:pPr>
              <w:jc w:val="center"/>
              <w:spacing w:after="0"/>
              <w:rPr>
                <w:rFonts w:ascii="Times New Roman" w:cs="Times New Roman" w:eastAsia="Times New Roman" w:hAnsi="Times New Roman"/>
                <w:sz w:val="18"/>
                <w:szCs w:val="18"/>
                <w:color w:val="0000FF"/>
                <w:w w:val="97"/>
              </w:rPr>
            </w:pPr>
            <w:hyperlink r:id="rId10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80" w:type="dxa"/>
            <w:vAlign w:val="bottom"/>
            <w:gridSpan w:val="13"/>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Certificate of Retirement of Class B common stock.</w:t>
              </w:r>
            </w:hyperlink>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640" w:type="dxa"/>
            <w:vAlign w:val="bottom"/>
            <w:gridSpan w:val="5"/>
          </w:tcPr>
          <w:p>
            <w:pPr>
              <w:jc w:val="center"/>
              <w:ind w:left="230"/>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22.</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80" w:type="dxa"/>
            <w:vAlign w:val="bottom"/>
            <w:gridSpan w:val="13"/>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List of Subsidiary Guarantors</w:t>
              </w:r>
            </w:hyperlink>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4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w:t>
            </w:r>
          </w:p>
        </w:tc>
      </w:tr>
      <w:tr>
        <w:trPr>
          <w:trHeight w:val="155"/>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4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to Exchange Act Rules 13a14(a) and 15d14(a), as</w:t>
            </w:r>
          </w:p>
        </w:tc>
        <w:tc>
          <w:tcPr>
            <w:tcW w:w="40" w:type="dxa"/>
            <w:vAlign w:val="bottom"/>
          </w:tcPr>
          <w:p>
            <w:pPr>
              <w:spacing w:after="0"/>
              <w:rPr>
                <w:sz w:val="13"/>
                <w:szCs w:val="13"/>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6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52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Oxley</w:t>
            </w: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Act of 2002.</w:t>
            </w:r>
          </w:p>
        </w:tc>
        <w:tc>
          <w:tcPr>
            <w:tcW w:w="30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9"/>
        </w:trPr>
        <w:tc>
          <w:tcPr>
            <w:tcW w:w="64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w:t>
            </w: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8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to Exchange Act Rules 13a14(a) and 15d14(a), as</w:t>
            </w: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6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w:t>
            </w:r>
          </w:p>
        </w:tc>
        <w:tc>
          <w:tcPr>
            <w:tcW w:w="52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Oxley</w:t>
            </w: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Act of 2002.</w:t>
            </w:r>
          </w:p>
        </w:tc>
        <w:tc>
          <w:tcPr>
            <w:tcW w:w="306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9"/>
        </w:trPr>
        <w:tc>
          <w:tcPr>
            <w:tcW w:w="9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and</w:t>
            </w:r>
          </w:p>
        </w:tc>
      </w:tr>
      <w:tr>
        <w:trPr>
          <w:trHeight w:val="156"/>
        </w:trPr>
        <w:tc>
          <w:tcPr>
            <w:tcW w:w="28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2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69"/>
        </w:trPr>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2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8"/>
              </w:rPr>
              <w:t>Section 1350, as adopted pursuant to Section 906</w:t>
            </w:r>
          </w:p>
        </w:tc>
        <w:tc>
          <w:tcPr>
            <w:tcW w:w="560" w:type="dxa"/>
            <w:vAlign w:val="bottom"/>
            <w:gridSpan w:val="8"/>
          </w:tcPr>
          <w:p>
            <w:pPr>
              <w:ind w:left="60"/>
              <w:spacing w:after="0" w:line="169" w:lineRule="exact"/>
              <w:rPr>
                <w:sz w:val="20"/>
                <w:szCs w:val="20"/>
                <w:color w:val="auto"/>
              </w:rPr>
            </w:pPr>
            <w:r>
              <w:rPr>
                <w:rFonts w:ascii="Times New Roman" w:cs="Times New Roman" w:eastAsia="Times New Roman" w:hAnsi="Times New Roman"/>
                <w:sz w:val="18"/>
                <w:szCs w:val="18"/>
                <w:color w:val="0000FF"/>
              </w:rPr>
              <w:t>of the</w:t>
            </w:r>
          </w:p>
        </w:tc>
      </w:tr>
      <w:tr>
        <w:trPr>
          <w:trHeight w:val="156"/>
        </w:trPr>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80" w:type="dxa"/>
            <w:vAlign w:val="bottom"/>
            <w:gridSpan w:val="2"/>
          </w:tcPr>
          <w:p>
            <w:pPr>
              <w:spacing w:after="0"/>
              <w:rPr>
                <w:sz w:val="13"/>
                <w:szCs w:val="13"/>
                <w:color w:val="auto"/>
              </w:rPr>
            </w:pPr>
          </w:p>
        </w:tc>
      </w:tr>
      <w:tr>
        <w:trPr>
          <w:trHeight w:val="20"/>
        </w:trPr>
        <w:tc>
          <w:tcPr>
            <w:tcW w:w="1040" w:type="dxa"/>
            <w:vAlign w:val="bottom"/>
            <w:gridSpan w:val="8"/>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r>
      <w:tr>
        <w:trPr>
          <w:trHeight w:val="245"/>
        </w:trPr>
        <w:tc>
          <w:tcPr>
            <w:tcW w:w="1040" w:type="dxa"/>
            <w:vAlign w:val="bottom"/>
            <w:gridSpan w:val="8"/>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40" w:type="dxa"/>
            <w:vAlign w:val="bottom"/>
          </w:tcPr>
          <w:p>
            <w:pPr>
              <w:spacing w:after="0"/>
              <w:rPr>
                <w:sz w:val="21"/>
                <w:szCs w:val="21"/>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29"/>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40" w:type="dxa"/>
            <w:vAlign w:val="bottom"/>
          </w:tcPr>
          <w:p>
            <w:pPr>
              <w:spacing w:after="0"/>
              <w:rPr>
                <w:sz w:val="19"/>
                <w:szCs w:val="19"/>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80"/>
        </w:trPr>
        <w:tc>
          <w:tcPr>
            <w:tcW w:w="1040" w:type="dxa"/>
            <w:vAlign w:val="bottom"/>
            <w:gridSpan w:val="8"/>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15"/>
                <w:szCs w:val="15"/>
                <w:color w:val="auto"/>
              </w:rPr>
            </w:pPr>
          </w:p>
        </w:tc>
        <w:tc>
          <w:tcPr>
            <w:tcW w:w="4080" w:type="dxa"/>
            <w:vAlign w:val="bottom"/>
            <w:gridSpan w:val="13"/>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34"/>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w:t>
            </w: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001-38933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June 14, 2019</w:t>
            </w:r>
          </w:p>
        </w:tc>
      </w:tr>
      <w:tr>
        <w:trPr>
          <w:trHeight w:val="418"/>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001-38933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November 27, 2024</w:t>
            </w:r>
          </w:p>
        </w:tc>
      </w:tr>
      <w:tr>
        <w:trPr>
          <w:trHeight w:val="319"/>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001-38933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December 13, 2024</w:t>
            </w:r>
          </w:p>
        </w:tc>
      </w:tr>
      <w:tr>
        <w:trPr>
          <w:trHeight w:val="23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001-38933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w:t>
            </w:r>
          </w:p>
        </w:tc>
        <w:tc>
          <w:tcPr>
            <w:tcW w:w="17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March 10, 2025</w:t>
            </w:r>
          </w:p>
        </w:tc>
      </w:tr>
    </w:tbl>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58"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X</w:t>
      </w:r>
    </w:p>
    <w:p>
      <w:pPr>
        <w:spacing w:after="0" w:line="203" w:lineRule="exact"/>
        <w:rPr>
          <w:sz w:val="20"/>
          <w:szCs w:val="20"/>
          <w:color w:val="auto"/>
        </w:rPr>
      </w:pPr>
    </w:p>
    <w:p>
      <w:pPr>
        <w:sectPr>
          <w:pgSz w:w="11900" w:h="16838" w:orient="portrait"/>
          <w:cols w:equalWidth="0" w:num="2">
            <w:col w:w="5160" w:space="360"/>
            <w:col w:w="5720"/>
          </w:cols>
          <w:pgMar w:left="320" w:top="337" w:right="339" w:bottom="1440" w:gutter="0" w:footer="0" w:header="0"/>
          <w:type w:val="continuous"/>
        </w:sect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696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940" w:type="dxa"/>
            <w:vAlign w:val="bottom"/>
          </w:tcPr>
          <w:p>
            <w:pPr>
              <w:ind w:left="2800"/>
              <w:spacing w:after="0" w:line="184" w:lineRule="exact"/>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940" w:type="dxa"/>
            <w:vAlign w:val="bottom"/>
          </w:tcPr>
          <w:p>
            <w:pPr>
              <w:spacing w:after="0"/>
              <w:rPr>
                <w:sz w:val="20"/>
                <w:szCs w:val="20"/>
                <w:color w:val="auto"/>
              </w:rPr>
            </w:pPr>
          </w:p>
        </w:tc>
      </w:tr>
      <w:tr>
        <w:trPr>
          <w:trHeight w:val="184"/>
        </w:trPr>
        <w:tc>
          <w:tcPr>
            <w:tcW w:w="8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696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940" w:type="dxa"/>
            <w:vAlign w:val="bottom"/>
          </w:tcPr>
          <w:p>
            <w:pPr>
              <w:ind w:left="2800"/>
              <w:spacing w:after="0" w:line="184" w:lineRule="exact"/>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2940" w:type="dxa"/>
            <w:vAlign w:val="bottom"/>
          </w:tcPr>
          <w:p>
            <w:pPr>
              <w:spacing w:after="0"/>
              <w:rPr>
                <w:sz w:val="20"/>
                <w:szCs w:val="20"/>
                <w:color w:val="auto"/>
              </w:rPr>
            </w:pPr>
          </w:p>
        </w:tc>
      </w:tr>
      <w:tr>
        <w:trPr>
          <w:trHeight w:val="184"/>
        </w:trPr>
        <w:tc>
          <w:tcPr>
            <w:tcW w:w="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696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940" w:type="dxa"/>
            <w:vAlign w:val="bottom"/>
          </w:tcPr>
          <w:p>
            <w:pPr>
              <w:ind w:left="2800"/>
              <w:spacing w:after="0" w:line="184" w:lineRule="exact"/>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Linkbase Document</w:t>
            </w:r>
          </w:p>
        </w:tc>
        <w:tc>
          <w:tcPr>
            <w:tcW w:w="2940" w:type="dxa"/>
            <w:vAlign w:val="bottom"/>
          </w:tcPr>
          <w:p>
            <w:pPr>
              <w:spacing w:after="0"/>
              <w:rPr>
                <w:sz w:val="20"/>
                <w:szCs w:val="20"/>
                <w:color w:val="auto"/>
              </w:rPr>
            </w:pPr>
          </w:p>
        </w:tc>
      </w:tr>
    </w:tbl>
    <w:p>
      <w:pPr>
        <w:spacing w:after="0" w:line="4" w:lineRule="exact"/>
        <w:rPr>
          <w:sz w:val="20"/>
          <w:szCs w:val="20"/>
          <w:color w:val="auto"/>
        </w:rPr>
      </w:pPr>
    </w:p>
    <w:p>
      <w:pPr>
        <w:ind w:left="1060" w:right="6440" w:hanging="721"/>
        <w:spacing w:after="0" w:line="231" w:lineRule="auto"/>
        <w:tabs>
          <w:tab w:leader="none" w:pos="10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Instance XBRL document</w:t>
      </w:r>
    </w:p>
    <w:p>
      <w:pPr>
        <w:spacing w:after="0" w:line="171" w:lineRule="exact"/>
        <w:rPr>
          <w:rFonts w:ascii="Times New Roman" w:cs="Times New Roman" w:eastAsia="Times New Roman" w:hAnsi="Times New Roman"/>
          <w:sz w:val="18"/>
          <w:szCs w:val="18"/>
          <w:color w:val="auto"/>
        </w:rPr>
      </w:pPr>
    </w:p>
    <w:p>
      <w:pPr>
        <w:ind w:left="1100" w:hanging="1047"/>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agreement.</w:t>
      </w:r>
    </w:p>
    <w:p>
      <w:pPr>
        <w:spacing w:after="0" w:line="77" w:lineRule="exact"/>
        <w:rPr>
          <w:sz w:val="20"/>
          <w:szCs w:val="20"/>
          <w:color w:val="auto"/>
        </w:rPr>
      </w:pPr>
    </w:p>
    <w:p>
      <w:pPr>
        <w:ind w:left="1100" w:right="160" w:hanging="1047"/>
        <w:spacing w:after="0" w:line="224"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day of December 2, 2025.</w:t>
      </w:r>
    </w:p>
    <w:p>
      <w:pPr>
        <w:spacing w:after="0" w:line="1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81" w:lineRule="exact"/>
        <w:rPr>
          <w:sz w:val="20"/>
          <w:szCs w:val="20"/>
          <w:color w:val="auto"/>
        </w:rPr>
      </w:pPr>
    </w:p>
    <w:p>
      <w:pPr>
        <w:ind w:left="546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Burt W. Podbere</w:t>
      </w:r>
    </w:p>
    <w:p>
      <w:pPr>
        <w:spacing w:after="0" w:line="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300" w:lineRule="exact"/>
        <w:rPr>
          <w:sz w:val="20"/>
          <w:szCs w:val="20"/>
          <w:color w:val="auto"/>
        </w:rPr>
      </w:pPr>
    </w:p>
    <w:p>
      <w:pPr>
        <w:ind w:left="546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 Anurag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Anurag Saha</w:t>
      </w:r>
    </w:p>
    <w:p>
      <w:pPr>
        <w:spacing w:after="0" w:line="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660"/>
          </w:cols>
          <w:pgMar w:left="320" w:top="337" w:right="9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Kurtz, certify that:</w:t>
      </w:r>
    </w:p>
    <w:p>
      <w:pPr>
        <w:spacing w:after="0" w:line="225"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CrowdStrike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0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Date: December 2,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CROWDSTRIKE HOLDINGS, INC.</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Kurtz</w:t>
            </w: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Kurtz</w:t>
            </w:r>
          </w:p>
        </w:tc>
      </w:tr>
      <w:tr>
        <w:trPr>
          <w:trHeight w:val="180"/>
        </w:trPr>
        <w:tc>
          <w:tcPr>
            <w:tcW w:w="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840" w:type="dxa"/>
            <w:vAlign w:val="bottom"/>
          </w:tcPr>
          <w:p>
            <w:pPr>
              <w:spacing w:after="0"/>
              <w:rPr>
                <w:sz w:val="20"/>
                <w:szCs w:val="20"/>
                <w:color w:val="auto"/>
              </w:rPr>
            </w:pP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Burt W. Podbere, certify that:</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CrowdStrike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92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Date: December 2,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CROWDSTRIKE HOLDINGS, INC.</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114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October 31, 2025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2, 2025</w:t>
      </w:r>
    </w:p>
    <w:p>
      <w:pPr>
        <w:spacing w:after="0" w:line="27"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Kurtz</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Kurtz</w:t>
            </w:r>
          </w:p>
        </w:tc>
      </w:tr>
      <w:tr>
        <w:trPr>
          <w:trHeight w:val="180"/>
        </w:trPr>
        <w:tc>
          <w:tcPr>
            <w:tcW w:w="7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7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0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October 31, 2025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2, 2025</w:t>
      </w:r>
    </w:p>
    <w:p>
      <w:pPr>
        <w:spacing w:after="0" w:line="27"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180"/>
        </w:trPr>
        <w:tc>
          <w:tcPr>
            <w:tcW w:w="740" w:type="dxa"/>
            <w:vAlign w:val="bottom"/>
          </w:tcPr>
          <w:p>
            <w:pPr>
              <w:spacing w:after="0"/>
              <w:rPr>
                <w:sz w:val="15"/>
                <w:szCs w:val="15"/>
                <w:color w:val="auto"/>
              </w:rPr>
            </w:pPr>
          </w:p>
        </w:tc>
        <w:tc>
          <w:tcPr>
            <w:tcW w:w="3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4"/>
    </w:lvl>
  </w:abstractNum>
  <w:abstractNum w:abstractNumId="10">
    <w:nsid w:val="1E7FF521"/>
    <w:multiLevelType w:val="hybridMultilevel"/>
    <w:lvl w:ilvl="0">
      <w:lvlJc w:val="left"/>
      <w:lvlText w:val="(%1)"/>
      <w:numFmt w:val="lowerLetter"/>
      <w:start w:val="3"/>
    </w:lvl>
  </w:abstractNum>
  <w:abstractNum w:abstractNumId="11">
    <w:nsid w:val="7C3DBD3D"/>
    <w:multiLevelType w:val="hybridMultilevel"/>
    <w:lvl w:ilvl="0">
      <w:lvlJc w:val="left"/>
      <w:lvlText w:val="%1."/>
      <w:numFmt w:val="decimal"/>
      <w:start w:val="8"/>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lowerRoman"/>
      <w:start w:val="2"/>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Roman"/>
      <w:start w:val="3"/>
    </w:lvl>
  </w:abstractNum>
  <w:abstractNum w:abstractNumId="45">
    <w:nsid w:val="7644A45C"/>
    <w:multiLevelType w:val="hybridMultilevel"/>
    <w:lvl w:ilvl="0">
      <w:lvlJc w:val="left"/>
      <w:lvlText w:val="(%1)"/>
      <w:numFmt w:val="lowerLetter"/>
      <w:start w:val="2"/>
    </w:lvl>
  </w:abstractNum>
  <w:abstractNum w:abstractNumId="46">
    <w:nsid w:val="32FFF902"/>
    <w:multiLevelType w:val="hybridMultilevel"/>
    <w:lvl w:ilvl="0">
      <w:lvlJc w:val="left"/>
      <w:lvlText w:val="†"/>
      <w:numFmt w:val="bullet"/>
      <w:start w:val="1"/>
    </w:lvl>
    <w:lvl w:ilvl="1">
      <w:lvlJc w:val="left"/>
      <w:lvlText w:val="%2"/>
      <w:numFmt w:val="decimal"/>
      <w:start w:val="104"/>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05" Type="http://schemas.openxmlformats.org/officeDocument/2006/relationships/hyperlink" Target="https://www.sec.gov/Archives/edgar/data/1535527/000110465919035685/a19-11597_1ex3d1.htm" TargetMode="External"/><Relationship Id="rId106" Type="http://schemas.openxmlformats.org/officeDocument/2006/relationships/hyperlink" Target="https://www.sec.gov/Archives/edgar/data/1535527/000153552724000026/crowdstrikeholdingsincam.htm" TargetMode="External"/><Relationship Id="rId107" Type="http://schemas.openxmlformats.org/officeDocument/2006/relationships/hyperlink" Target="https://www.sec.gov/Archives/edgar/data/1535527/000110465924128515/tm2430723d1_ex3-1.htm" TargetMode="External"/><Relationship Id="rId108" Type="http://schemas.openxmlformats.org/officeDocument/2006/relationships/hyperlink" Target="https://www.sec.gov/Archives/edgar/data/1535527/000153552725000009/ex-221listofsubsidiarygu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2025-12-03T05:22:46Z</dcterms:created>
  <dcterms:modified xsi:type="dcterms:W3CDTF">2025-12-03T05:22:46Z</dcterms:modified>
</cp:coreProperties>
</file>