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419100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439420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1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30" w:lineRule="exact"/>
        <w:rPr>
          <w:sz w:val="24"/>
          <w:szCs w:val="24"/>
          <w:color w:val="auto"/>
        </w:rPr>
      </w:pPr>
    </w:p>
    <w:p>
      <w:pPr>
        <w:ind w:left="340" w:hanging="224"/>
        <w:spacing w:after="0"/>
        <w:tabs>
          <w:tab w:leader="none" w:pos="340"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color w:val="auto"/>
        </w:rPr>
        <w:t>ANNUAL REPORT PURSUANT TO SECTION 13 OR 15(d) OF THE SECURITIES EXCHANGE ACT OF 1934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For the fiscal year ended January 31, 2024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45" w:lineRule="exact"/>
        <w:rPr>
          <w:sz w:val="24"/>
          <w:szCs w:val="24"/>
          <w:color w:val="auto"/>
        </w:rPr>
      </w:pPr>
    </w:p>
    <w:p>
      <w:pPr>
        <w:ind w:left="340" w:hanging="224"/>
        <w:spacing w:after="0"/>
        <w:tabs>
          <w:tab w:leader="none" w:pos="340" w:val="left"/>
        </w:tabs>
        <w:numPr>
          <w:ilvl w:val="0"/>
          <w:numId w:val="2"/>
        </w:numPr>
        <w:rPr>
          <w:rFonts w:ascii="Arial" w:cs="Arial" w:eastAsia="Arial" w:hAnsi="Arial"/>
          <w:sz w:val="11"/>
          <w:szCs w:val="11"/>
          <w:color w:val="auto"/>
        </w:rPr>
      </w:pPr>
      <w:r>
        <w:rPr>
          <w:rFonts w:ascii="Times New Roman" w:cs="Times New Roman" w:eastAsia="Times New Roman" w:hAnsi="Times New Roman"/>
          <w:sz w:val="11"/>
          <w:szCs w:val="11"/>
          <w:color w:val="auto"/>
        </w:rPr>
        <w:t>TRANSITION REPORT PURSUANT TO SECTION 13 OR 15(d) OF THE SECURITIES EXCHANGE ACT OF 1934</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147"/>
        </w:trPr>
        <w:tc>
          <w:tcPr>
            <w:tcW w:w="1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0" w:type="dxa"/>
            <w:vAlign w:val="bottom"/>
            <w:gridSpan w:val="4"/>
          </w:tcPr>
          <w:p>
            <w:pPr>
              <w:jc w:val="center"/>
              <w:ind w:right="900"/>
              <w:spacing w:after="0"/>
              <w:rPr>
                <w:sz w:val="20"/>
                <w:szCs w:val="20"/>
                <w:color w:val="auto"/>
              </w:rPr>
            </w:pPr>
            <w:r>
              <w:rPr>
                <w:rFonts w:ascii="Times New Roman" w:cs="Times New Roman" w:eastAsia="Times New Roman" w:hAnsi="Times New Roman"/>
                <w:sz w:val="11"/>
                <w:szCs w:val="11"/>
                <w:color w:val="auto"/>
              </w:rPr>
              <w:t>For the transition period from to</w:t>
            </w: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6"/>
        </w:trPr>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0" w:type="dxa"/>
            <w:vAlign w:val="bottom"/>
            <w:gridSpan w:val="4"/>
          </w:tcPr>
          <w:p>
            <w:pPr>
              <w:jc w:val="center"/>
              <w:ind w:right="920"/>
              <w:spacing w:after="0"/>
              <w:rPr>
                <w:sz w:val="20"/>
                <w:szCs w:val="20"/>
                <w:color w:val="auto"/>
              </w:rPr>
            </w:pPr>
            <w:r>
              <w:rPr>
                <w:rFonts w:ascii="Times New Roman" w:cs="Times New Roman" w:eastAsia="Times New Roman" w:hAnsi="Times New Roman"/>
                <w:sz w:val="11"/>
                <w:szCs w:val="11"/>
                <w:b w:val="1"/>
                <w:bCs w:val="1"/>
                <w:color w:val="auto"/>
              </w:rPr>
              <w:t>Commission File Number: 001-38933</w:t>
            </w:r>
          </w:p>
        </w:tc>
        <w:tc>
          <w:tcPr>
            <w:tcW w:w="2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10"/>
        </w:trPr>
        <w:tc>
          <w:tcPr>
            <w:tcW w:w="1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100" w:type="dxa"/>
            <w:vAlign w:val="bottom"/>
            <w:gridSpan w:val="5"/>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tc>
        <w:tc>
          <w:tcPr>
            <w:tcW w:w="202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50"/>
        </w:trPr>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0" w:type="dxa"/>
            <w:vAlign w:val="bottom"/>
            <w:gridSpan w:val="4"/>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w w:val="98"/>
              </w:rPr>
              <w:t>CROWDSTRIKE HOLDINGS, INC.</w:t>
            </w:r>
          </w:p>
        </w:tc>
        <w:tc>
          <w:tcPr>
            <w:tcW w:w="2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4"/>
        </w:trPr>
        <w:tc>
          <w:tcPr>
            <w:tcW w:w="1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0" w:type="dxa"/>
            <w:vAlign w:val="bottom"/>
            <w:gridSpan w:val="4"/>
          </w:tcPr>
          <w:p>
            <w:pPr>
              <w:jc w:val="center"/>
              <w:ind w:right="9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10"/>
        </w:trPr>
        <w:tc>
          <w:tcPr>
            <w:tcW w:w="1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100" w:type="dxa"/>
            <w:vAlign w:val="bottom"/>
            <w:gridSpan w:val="5"/>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tc>
        <w:tc>
          <w:tcPr>
            <w:tcW w:w="202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69"/>
        </w:trPr>
        <w:tc>
          <w:tcPr>
            <w:tcW w:w="1200" w:type="dxa"/>
            <w:vAlign w:val="bottom"/>
          </w:tcPr>
          <w:p>
            <w:pPr>
              <w:spacing w:after="0"/>
              <w:rPr>
                <w:sz w:val="14"/>
                <w:szCs w:val="14"/>
                <w:color w:val="auto"/>
              </w:rPr>
            </w:pPr>
          </w:p>
        </w:tc>
        <w:tc>
          <w:tcPr>
            <w:tcW w:w="2100" w:type="dxa"/>
            <w:vAlign w:val="bottom"/>
            <w:gridSpan w:val="2"/>
          </w:tcPr>
          <w:p>
            <w:pPr>
              <w:jc w:val="center"/>
              <w:ind w:right="124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ind w:left="703"/>
              <w:spacing w:after="0"/>
              <w:rPr>
                <w:sz w:val="20"/>
                <w:szCs w:val="20"/>
                <w:color w:val="auto"/>
              </w:rPr>
            </w:pPr>
            <w:r>
              <w:rPr>
                <w:rFonts w:ascii="Times New Roman" w:cs="Times New Roman" w:eastAsia="Times New Roman" w:hAnsi="Times New Roman"/>
                <w:sz w:val="11"/>
                <w:szCs w:val="11"/>
                <w:b w:val="1"/>
                <w:bCs w:val="1"/>
                <w:color w:val="auto"/>
              </w:rPr>
              <w:t>45-3788918</w:t>
            </w:r>
          </w:p>
        </w:tc>
        <w:tc>
          <w:tcPr>
            <w:tcW w:w="880" w:type="dxa"/>
            <w:vAlign w:val="bottom"/>
          </w:tcPr>
          <w:p>
            <w:pPr>
              <w:spacing w:after="0"/>
              <w:rPr>
                <w:sz w:val="14"/>
                <w:szCs w:val="14"/>
                <w:color w:val="auto"/>
              </w:rPr>
            </w:pPr>
          </w:p>
        </w:tc>
      </w:tr>
      <w:tr>
        <w:trPr>
          <w:trHeight w:val="125"/>
        </w:trPr>
        <w:tc>
          <w:tcPr>
            <w:tcW w:w="3300" w:type="dxa"/>
            <w:vAlign w:val="bottom"/>
            <w:gridSpan w:val="3"/>
          </w:tcPr>
          <w:p>
            <w:pPr>
              <w:jc w:val="center"/>
              <w:ind w:right="60"/>
              <w:spacing w:after="0" w:line="125"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90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330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Identification Number)</w:t>
            </w:r>
          </w:p>
        </w:tc>
      </w:tr>
      <w:tr>
        <w:trPr>
          <w:trHeight w:val="237"/>
        </w:trPr>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0" w:type="dxa"/>
            <w:vAlign w:val="bottom"/>
            <w:gridSpan w:val="4"/>
          </w:tcPr>
          <w:p>
            <w:pPr>
              <w:jc w:val="center"/>
              <w:ind w:right="900"/>
              <w:spacing w:after="0"/>
              <w:rPr>
                <w:sz w:val="20"/>
                <w:szCs w:val="20"/>
                <w:color w:val="auto"/>
              </w:rPr>
            </w:pPr>
            <w:r>
              <w:rPr>
                <w:rFonts w:ascii="Times New Roman" w:cs="Times New Roman" w:eastAsia="Times New Roman" w:hAnsi="Times New Roman"/>
                <w:sz w:val="11"/>
                <w:szCs w:val="11"/>
                <w:b w:val="1"/>
                <w:bCs w:val="1"/>
                <w:color w:val="auto"/>
              </w:rPr>
              <w:t>206 E. 9th Street, Suite 1400, Austin, Texas 78701</w:t>
            </w: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49"/>
        </w:trPr>
        <w:tc>
          <w:tcPr>
            <w:tcW w:w="1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0" w:type="dxa"/>
            <w:vAlign w:val="bottom"/>
            <w:gridSpan w:val="4"/>
          </w:tcPr>
          <w:p>
            <w:pPr>
              <w:jc w:val="center"/>
              <w:ind w:right="92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4"/>
        </w:trPr>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0" w:type="dxa"/>
            <w:vAlign w:val="bottom"/>
            <w:gridSpan w:val="4"/>
          </w:tcPr>
          <w:p>
            <w:pPr>
              <w:jc w:val="center"/>
              <w:ind w:right="900"/>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(888) 512-8906</w:t>
            </w:r>
          </w:p>
        </w:tc>
        <w:tc>
          <w:tcPr>
            <w:tcW w:w="2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6"/>
        </w:trPr>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0" w:type="dxa"/>
            <w:vAlign w:val="bottom"/>
            <w:gridSpan w:val="4"/>
          </w:tcPr>
          <w:p>
            <w:pPr>
              <w:jc w:val="center"/>
              <w:ind w:right="9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0"/>
        </w:trPr>
        <w:tc>
          <w:tcPr>
            <w:tcW w:w="1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07"/>
        </w:trPr>
        <w:tc>
          <w:tcPr>
            <w:tcW w:w="1200" w:type="dxa"/>
            <w:vAlign w:val="bottom"/>
            <w:tcBorders>
              <w:left w:val="single" w:sz="8" w:color="auto"/>
            </w:tcBorders>
          </w:tcPr>
          <w:p>
            <w:pPr>
              <w:spacing w:after="0"/>
              <w:rPr>
                <w:sz w:val="9"/>
                <w:szCs w:val="9"/>
                <w:color w:val="auto"/>
              </w:rPr>
            </w:pPr>
          </w:p>
        </w:tc>
        <w:tc>
          <w:tcPr>
            <w:tcW w:w="2100" w:type="dxa"/>
            <w:vAlign w:val="bottom"/>
            <w:gridSpan w:val="2"/>
          </w:tcPr>
          <w:p>
            <w:pPr>
              <w:jc w:val="center"/>
              <w:ind w:right="700"/>
              <w:spacing w:after="0" w:line="107" w:lineRule="exact"/>
              <w:rPr>
                <w:sz w:val="20"/>
                <w:szCs w:val="20"/>
                <w:color w:val="auto"/>
              </w:rPr>
            </w:pPr>
            <w:r>
              <w:rPr>
                <w:rFonts w:ascii="Times New Roman" w:cs="Times New Roman" w:eastAsia="Times New Roman" w:hAnsi="Times New Roman"/>
                <w:sz w:val="11"/>
                <w:szCs w:val="11"/>
                <w:color w:val="auto"/>
              </w:rPr>
              <w:t>Title of each class of securities</w:t>
            </w:r>
          </w:p>
        </w:tc>
        <w:tc>
          <w:tcPr>
            <w:tcW w:w="500" w:type="dxa"/>
            <w:vAlign w:val="bottom"/>
            <w:tcBorders>
              <w:right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2300" w:type="dxa"/>
            <w:vAlign w:val="bottom"/>
            <w:tcBorders>
              <w:right w:val="single" w:sz="8" w:color="auto"/>
            </w:tcBorders>
            <w:gridSpan w:val="2"/>
          </w:tcPr>
          <w:p>
            <w:pPr>
              <w:jc w:val="center"/>
              <w:ind w:right="1460"/>
              <w:spacing w:after="0" w:line="107" w:lineRule="exact"/>
              <w:rPr>
                <w:sz w:val="20"/>
                <w:szCs w:val="20"/>
                <w:color w:val="auto"/>
              </w:rPr>
            </w:pPr>
            <w:r>
              <w:rPr>
                <w:rFonts w:ascii="Times New Roman" w:cs="Times New Roman" w:eastAsia="Times New Roman" w:hAnsi="Times New Roman"/>
                <w:sz w:val="11"/>
                <w:szCs w:val="11"/>
                <w:color w:val="auto"/>
              </w:rPr>
              <w:t>Trading symbol(s)</w:t>
            </w:r>
          </w:p>
        </w:tc>
        <w:tc>
          <w:tcPr>
            <w:tcW w:w="860" w:type="dxa"/>
            <w:vAlign w:val="bottom"/>
          </w:tcPr>
          <w:p>
            <w:pPr>
              <w:spacing w:after="0"/>
              <w:rPr>
                <w:sz w:val="9"/>
                <w:szCs w:val="9"/>
                <w:color w:val="auto"/>
              </w:rPr>
            </w:pPr>
          </w:p>
        </w:tc>
        <w:tc>
          <w:tcPr>
            <w:tcW w:w="2900" w:type="dxa"/>
            <w:vAlign w:val="bottom"/>
            <w:tcBorders>
              <w:right w:val="single" w:sz="8" w:color="auto"/>
            </w:tcBorders>
            <w:gridSpan w:val="2"/>
          </w:tcPr>
          <w:p>
            <w:pPr>
              <w:jc w:val="center"/>
              <w:ind w:right="880"/>
              <w:spacing w:after="0" w:line="107" w:lineRule="exact"/>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2"/>
        </w:trPr>
        <w:tc>
          <w:tcPr>
            <w:tcW w:w="1200" w:type="dxa"/>
            <w:vAlign w:val="bottom"/>
            <w:tcBorders>
              <w:left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137"/>
        </w:trPr>
        <w:tc>
          <w:tcPr>
            <w:tcW w:w="3300" w:type="dxa"/>
            <w:vAlign w:val="bottom"/>
            <w:tcBorders>
              <w:left w:val="single" w:sz="8" w:color="auto"/>
            </w:tcBorders>
            <w:gridSpan w:val="3"/>
          </w:tcPr>
          <w:p>
            <w:pPr>
              <w:jc w:val="center"/>
              <w:ind w:left="423"/>
              <w:spacing w:after="0"/>
              <w:rPr>
                <w:sz w:val="20"/>
                <w:szCs w:val="20"/>
                <w:color w:val="auto"/>
              </w:rPr>
            </w:pPr>
            <w:r>
              <w:rPr>
                <w:rFonts w:ascii="Times New Roman" w:cs="Times New Roman" w:eastAsia="Times New Roman" w:hAnsi="Times New Roman"/>
                <w:sz w:val="11"/>
                <w:szCs w:val="11"/>
                <w:color w:val="auto"/>
              </w:rPr>
              <w:t>Class A common stock, par value $0.0005 per share</w:t>
            </w:r>
          </w:p>
        </w:tc>
        <w:tc>
          <w:tcPr>
            <w:tcW w:w="500" w:type="dxa"/>
            <w:vAlign w:val="bottom"/>
            <w:tcBorders>
              <w:right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300" w:type="dxa"/>
            <w:vAlign w:val="bottom"/>
            <w:tcBorders>
              <w:right w:val="single" w:sz="8" w:color="auto"/>
            </w:tcBorders>
            <w:gridSpan w:val="2"/>
          </w:tcPr>
          <w:p>
            <w:pPr>
              <w:jc w:val="center"/>
              <w:ind w:right="1480"/>
              <w:spacing w:after="0"/>
              <w:rPr>
                <w:sz w:val="20"/>
                <w:szCs w:val="20"/>
                <w:color w:val="auto"/>
              </w:rPr>
            </w:pPr>
            <w:r>
              <w:rPr>
                <w:rFonts w:ascii="Times New Roman" w:cs="Times New Roman" w:eastAsia="Times New Roman" w:hAnsi="Times New Roman"/>
                <w:sz w:val="11"/>
                <w:szCs w:val="11"/>
                <w:color w:val="auto"/>
              </w:rPr>
              <w:t>CRWD</w:t>
            </w:r>
          </w:p>
        </w:tc>
        <w:tc>
          <w:tcPr>
            <w:tcW w:w="860" w:type="dxa"/>
            <w:vAlign w:val="bottom"/>
          </w:tcPr>
          <w:p>
            <w:pPr>
              <w:spacing w:after="0"/>
              <w:rPr>
                <w:sz w:val="11"/>
                <w:szCs w:val="11"/>
                <w:color w:val="auto"/>
              </w:rPr>
            </w:pPr>
          </w:p>
        </w:tc>
        <w:tc>
          <w:tcPr>
            <w:tcW w:w="290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1"/>
                <w:szCs w:val="11"/>
                <w:color w:val="auto"/>
              </w:rPr>
              <w:t>The Nasdaq Stock Market LLC</w:t>
            </w:r>
          </w:p>
        </w:tc>
      </w:tr>
      <w:tr>
        <w:trPr>
          <w:trHeight w:val="162"/>
        </w:trPr>
        <w:tc>
          <w:tcPr>
            <w:tcW w:w="1200" w:type="dxa"/>
            <w:vAlign w:val="bottom"/>
            <w:tcBorders>
              <w:left w:val="single" w:sz="8" w:color="auto"/>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90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1"/>
                <w:szCs w:val="11"/>
                <w:color w:val="auto"/>
              </w:rPr>
              <w:t>(Nasdaq Global Select Market)</w:t>
            </w:r>
          </w:p>
        </w:tc>
      </w:tr>
      <w:tr>
        <w:trPr>
          <w:trHeight w:val="184"/>
        </w:trPr>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0" w:type="dxa"/>
            <w:vAlign w:val="bottom"/>
            <w:gridSpan w:val="4"/>
          </w:tcPr>
          <w:p>
            <w:pPr>
              <w:jc w:val="center"/>
              <w:ind w:right="920"/>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w:t>
            </w:r>
          </w:p>
        </w:tc>
        <w:tc>
          <w:tcPr>
            <w:tcW w:w="2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44"/>
        </w:trPr>
        <w:tc>
          <w:tcPr>
            <w:tcW w:w="1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gridSpan w:val="3"/>
          </w:tcPr>
          <w:p>
            <w:pPr>
              <w:jc w:val="center"/>
              <w:ind w:right="2360"/>
              <w:spacing w:after="0"/>
              <w:rPr>
                <w:sz w:val="20"/>
                <w:szCs w:val="20"/>
                <w:color w:val="auto"/>
              </w:rPr>
            </w:pPr>
            <w:r>
              <w:rPr>
                <w:rFonts w:ascii="Times New Roman" w:cs="Times New Roman" w:eastAsia="Times New Roman" w:hAnsi="Times New Roman"/>
                <w:sz w:val="11"/>
                <w:szCs w:val="11"/>
                <w:color w:val="auto"/>
              </w:rPr>
              <w:t>None.</w:t>
            </w: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86"/>
        </w:trPr>
        <w:tc>
          <w:tcPr>
            <w:tcW w:w="1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100" w:type="dxa"/>
            <w:vAlign w:val="bottom"/>
            <w:gridSpan w:val="5"/>
          </w:tcPr>
          <w:p>
            <w:pPr>
              <w:jc w:val="center"/>
              <w:ind w:right="420"/>
              <w:spacing w:after="0" w:line="86" w:lineRule="exact"/>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tc>
        <w:tc>
          <w:tcPr>
            <w:tcW w:w="202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79"/>
        </w:trPr>
        <w:tc>
          <w:tcPr>
            <w:tcW w:w="8400" w:type="dxa"/>
            <w:vAlign w:val="bottom"/>
            <w:gridSpan w:val="8"/>
          </w:tcPr>
          <w:p>
            <w:pPr>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of 1933, as amended.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tc>
        <w:tc>
          <w:tcPr>
            <w:tcW w:w="2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1"/>
        </w:trPr>
        <w:tc>
          <w:tcPr>
            <w:tcW w:w="8400" w:type="dxa"/>
            <w:vAlign w:val="bottom"/>
            <w:gridSpan w:val="8"/>
          </w:tcPr>
          <w:p>
            <w:pPr>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tc>
        <w:tc>
          <w:tcPr>
            <w:tcW w:w="202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ind w:right="200"/>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16" w:lineRule="exact"/>
        <w:rPr>
          <w:sz w:val="24"/>
          <w:szCs w:val="24"/>
          <w:color w:val="auto"/>
        </w:rPr>
      </w:pPr>
    </w:p>
    <w:p>
      <w:pPr>
        <w:ind w:right="180"/>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16"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120" w:type="dxa"/>
        <w:tblCellMar>
          <w:top w:w="0" w:type="dxa"/>
          <w:left w:w="0" w:type="dxa"/>
          <w:bottom w:w="0" w:type="dxa"/>
          <w:right w:w="0" w:type="dxa"/>
        </w:tblCellMar>
      </w:tblPr>
      <w:tr>
        <w:trPr>
          <w:trHeight w:val="170"/>
        </w:trPr>
        <w:tc>
          <w:tcPr>
            <w:tcW w:w="2140" w:type="dxa"/>
            <w:vAlign w:val="bottom"/>
          </w:tcPr>
          <w:p>
            <w:pPr>
              <w:jc w:val="center"/>
              <w:ind w:right="1003"/>
              <w:spacing w:after="0"/>
              <w:rPr>
                <w:sz w:val="20"/>
                <w:szCs w:val="20"/>
                <w:color w:val="auto"/>
              </w:rPr>
            </w:pPr>
            <w:r>
              <w:rPr>
                <w:rFonts w:ascii="Times New Roman" w:cs="Times New Roman" w:eastAsia="Times New Roman" w:hAnsi="Times New Roman"/>
                <w:sz w:val="11"/>
                <w:szCs w:val="11"/>
                <w:color w:val="auto"/>
              </w:rPr>
              <w:t>Large Accelerated Filer</w:t>
            </w:r>
          </w:p>
        </w:tc>
        <w:tc>
          <w:tcPr>
            <w:tcW w:w="2260" w:type="dxa"/>
            <w:vAlign w:val="bottom"/>
          </w:tcPr>
          <w:p>
            <w:pPr>
              <w:ind w:left="108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330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Accelerated Filer</w:t>
            </w:r>
          </w:p>
        </w:tc>
        <w:tc>
          <w:tcPr>
            <w:tcW w:w="1080" w:type="dxa"/>
            <w:vAlign w:val="bottom"/>
          </w:tcPr>
          <w:p>
            <w:pPr>
              <w:ind w:left="980"/>
              <w:spacing w:after="0" w:line="148" w:lineRule="exact"/>
              <w:rPr>
                <w:sz w:val="20"/>
                <w:szCs w:val="20"/>
                <w:color w:val="auto"/>
              </w:rPr>
            </w:pPr>
            <w:r>
              <w:rPr>
                <w:rFonts w:ascii="Arial Unicode MS" w:cs="Arial Unicode MS" w:eastAsia="Arial Unicode MS" w:hAnsi="Arial Unicode MS"/>
                <w:sz w:val="11"/>
                <w:szCs w:val="11"/>
                <w:color w:val="auto"/>
                <w:w w:val="98"/>
              </w:rPr>
              <w:t>☐</w:t>
            </w:r>
          </w:p>
        </w:tc>
      </w:tr>
      <w:tr>
        <w:trPr>
          <w:trHeight w:val="170"/>
        </w:trPr>
        <w:tc>
          <w:tcPr>
            <w:tcW w:w="2140" w:type="dxa"/>
            <w:vAlign w:val="bottom"/>
          </w:tcPr>
          <w:p>
            <w:pPr>
              <w:jc w:val="center"/>
              <w:ind w:right="983"/>
              <w:spacing w:after="0"/>
              <w:rPr>
                <w:sz w:val="20"/>
                <w:szCs w:val="20"/>
                <w:color w:val="auto"/>
              </w:rPr>
            </w:pPr>
            <w:r>
              <w:rPr>
                <w:rFonts w:ascii="Times New Roman" w:cs="Times New Roman" w:eastAsia="Times New Roman" w:hAnsi="Times New Roman"/>
                <w:sz w:val="11"/>
                <w:szCs w:val="11"/>
                <w:color w:val="auto"/>
              </w:rPr>
              <w:t>Non-accelerated Filer</w:t>
            </w:r>
          </w:p>
        </w:tc>
        <w:tc>
          <w:tcPr>
            <w:tcW w:w="2260" w:type="dxa"/>
            <w:vAlign w:val="bottom"/>
          </w:tcPr>
          <w:p>
            <w:pPr>
              <w:ind w:left="108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33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80" w:type="dxa"/>
            <w:vAlign w:val="bottom"/>
          </w:tcPr>
          <w:p>
            <w:pPr>
              <w:ind w:left="980"/>
              <w:spacing w:after="0" w:line="148" w:lineRule="exact"/>
              <w:rPr>
                <w:sz w:val="20"/>
                <w:szCs w:val="20"/>
                <w:color w:val="auto"/>
              </w:rPr>
            </w:pPr>
            <w:r>
              <w:rPr>
                <w:rFonts w:ascii="Arial Unicode MS" w:cs="Arial Unicode MS" w:eastAsia="Arial Unicode MS" w:hAnsi="Arial Unicode MS"/>
                <w:sz w:val="11"/>
                <w:szCs w:val="11"/>
                <w:color w:val="auto"/>
                <w:w w:val="98"/>
              </w:rPr>
              <w:t>☐</w:t>
            </w:r>
          </w:p>
        </w:tc>
      </w:tr>
      <w:tr>
        <w:trPr>
          <w:trHeight w:val="191"/>
        </w:trPr>
        <w:tc>
          <w:tcPr>
            <w:tcW w:w="2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3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Emerging growth company</w:t>
            </w:r>
          </w:p>
        </w:tc>
        <w:tc>
          <w:tcPr>
            <w:tcW w:w="1080" w:type="dxa"/>
            <w:vAlign w:val="bottom"/>
          </w:tcPr>
          <w:p>
            <w:pPr>
              <w:ind w:left="980"/>
              <w:spacing w:after="0" w:line="148" w:lineRule="exact"/>
              <w:rPr>
                <w:sz w:val="20"/>
                <w:szCs w:val="20"/>
                <w:color w:val="auto"/>
              </w:rPr>
            </w:pPr>
            <w:r>
              <w:rPr>
                <w:rFonts w:ascii="Arial Unicode MS" w:cs="Arial Unicode MS" w:eastAsia="Arial Unicode MS" w:hAnsi="Arial Unicode MS"/>
                <w:sz w:val="11"/>
                <w:szCs w:val="11"/>
                <w:color w:val="auto"/>
                <w:w w:val="98"/>
              </w:rPr>
              <w:t>☐</w:t>
            </w:r>
          </w:p>
        </w:tc>
      </w:tr>
    </w:tbl>
    <w:p>
      <w:pPr>
        <w:spacing w:after="0" w:line="79" w:lineRule="exact"/>
        <w:rPr>
          <w:sz w:val="24"/>
          <w:szCs w:val="24"/>
          <w:color w:val="auto"/>
        </w:rPr>
      </w:pPr>
    </w:p>
    <w:p>
      <w:pPr>
        <w:ind w:right="100"/>
        <w:spacing w:after="0" w:line="15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1"/>
          <w:szCs w:val="11"/>
          <w:color w:val="auto"/>
        </w:rPr>
        <w:t>☐</w:t>
      </w:r>
    </w:p>
    <w:p>
      <w:pPr>
        <w:spacing w:after="0" w:line="16" w:lineRule="exact"/>
        <w:rPr>
          <w:sz w:val="24"/>
          <w:szCs w:val="24"/>
          <w:color w:val="auto"/>
        </w:rPr>
      </w:pPr>
    </w:p>
    <w:p>
      <w:pPr>
        <w:ind w:right="440"/>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1"/>
          <w:szCs w:val="11"/>
          <w:color w:val="auto"/>
        </w:rPr>
        <w:t>☑</w:t>
      </w:r>
    </w:p>
    <w:p>
      <w:pPr>
        <w:spacing w:after="0" w:line="148"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1"/>
          <w:szCs w:val="11"/>
          <w:color w:val="auto"/>
        </w:rPr>
        <w:t>☐</w:t>
      </w:r>
    </w:p>
    <w:p>
      <w:pPr>
        <w:spacing w:after="0" w:line="22" w:lineRule="exact"/>
        <w:rPr>
          <w:sz w:val="24"/>
          <w:szCs w:val="24"/>
          <w:color w:val="auto"/>
        </w:rPr>
      </w:pPr>
    </w:p>
    <w:p>
      <w:pPr>
        <w:ind w:right="140"/>
        <w:spacing w:after="0" w:line="160" w:lineRule="exact"/>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1"/>
          <w:szCs w:val="11"/>
          <w:color w:val="auto"/>
        </w:rPr>
        <w:t>ﬃ</w:t>
      </w:r>
      <w:r>
        <w:rPr>
          <w:rFonts w:ascii="Times New Roman" w:cs="Times New Roman" w:eastAsia="Times New Roman" w:hAnsi="Times New Roman"/>
          <w:sz w:val="11"/>
          <w:szCs w:val="11"/>
          <w:color w:val="auto"/>
        </w:rPr>
        <w:t xml:space="preserve">cers during the relevant recovery period pursuant to §240.10D-1(b). </w:t>
      </w:r>
      <w:r>
        <w:rPr>
          <w:rFonts w:ascii="Arial Unicode MS" w:cs="Arial Unicode MS" w:eastAsia="Arial Unicode MS" w:hAnsi="Arial Unicode MS"/>
          <w:sz w:val="11"/>
          <w:szCs w:val="11"/>
          <w:color w:val="auto"/>
        </w:rPr>
        <w:t>☐</w:t>
      </w:r>
    </w:p>
    <w:p>
      <w:pPr>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49"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1"/>
          <w:szCs w:val="11"/>
          <w:color w:val="auto"/>
        </w:rPr>
        <w:t>The aggregate market value of the common stock held by non-affiliates of the registrant, based on the closing price of a share of the registrant’s common stock on July 31, 2023 (the last business day of the registrant’s most recently completed second fiscal quarter) as reported by the Nasdaq Global Select Market on such date was approximately $38.6 billion.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February 29, 2024, the number of shares of the registrant’s Class A common stock outstanding was 229,383,465, and the number of shares of the registrant’s Class B common stock outstanding was 12,485,193.</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p>
      <w:pPr>
        <w:spacing w:after="0" w:line="15" w:lineRule="exact"/>
        <w:rPr>
          <w:sz w:val="24"/>
          <w:szCs w:val="24"/>
          <w:color w:val="auto"/>
        </w:rPr>
      </w:pPr>
    </w:p>
    <w:p>
      <w:pPr>
        <w:ind w:right="300"/>
        <w:spacing w:after="0" w:line="290"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its 2024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333375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21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726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3"/>
        </w:trPr>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1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CROWDSTRIKE HOLDINGS, INC.</w:t>
            </w: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00" w:type="dxa"/>
            <w:vAlign w:val="bottom"/>
            <w:gridSpan w:val="11"/>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gridSpan w:val="8"/>
            <w:vMerge w:val="restart"/>
          </w:tcPr>
          <w:p>
            <w:pPr>
              <w:jc w:val="center"/>
              <w:ind w:right="1480"/>
              <w:spacing w:after="0"/>
              <w:rPr>
                <w:sz w:val="20"/>
                <w:szCs w:val="20"/>
                <w:color w:val="auto"/>
              </w:rPr>
            </w:pPr>
            <w:r>
              <w:rPr>
                <w:rFonts w:ascii="Times New Roman" w:cs="Times New Roman" w:eastAsia="Times New Roman" w:hAnsi="Times New Roman"/>
                <w:sz w:val="14"/>
                <w:szCs w:val="14"/>
                <w:color w:val="0000FF"/>
                <w:w w:val="97"/>
              </w:rPr>
              <w:t>Part I</w:t>
            </w:r>
          </w:p>
        </w:tc>
        <w:tc>
          <w:tcPr>
            <w:tcW w:w="4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gridSpan w:val="8"/>
            <w:vMerge w:val="continue"/>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4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Business</w:t>
            </w:r>
          </w:p>
        </w:tc>
        <w:tc>
          <w:tcPr>
            <w:tcW w:w="300" w:type="dxa"/>
            <w:vAlign w:val="bottom"/>
            <w:tcBorders>
              <w:top w:val="single" w:sz="8" w:color="0000FF"/>
            </w:tcBorders>
          </w:tcPr>
          <w:p>
            <w:pPr>
              <w:spacing w:after="0"/>
              <w:rPr>
                <w:sz w:val="13"/>
                <w:szCs w:val="13"/>
                <w:color w:val="auto"/>
              </w:rPr>
            </w:pPr>
          </w:p>
        </w:tc>
        <w:tc>
          <w:tcPr>
            <w:tcW w:w="1500" w:type="dxa"/>
            <w:vAlign w:val="bottom"/>
            <w:gridSpan w:val="6"/>
          </w:tcPr>
          <w:p>
            <w:pPr>
              <w:spacing w:after="0"/>
              <w:rPr>
                <w:sz w:val="13"/>
                <w:szCs w:val="13"/>
                <w:color w:val="auto"/>
              </w:rPr>
            </w:pPr>
          </w:p>
        </w:tc>
        <w:tc>
          <w:tcPr>
            <w:tcW w:w="4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88"/>
              </w:rPr>
              <w:t>Item 1A.</w:t>
            </w:r>
          </w:p>
        </w:tc>
        <w:tc>
          <w:tcPr>
            <w:tcW w:w="420" w:type="dxa"/>
            <w:vAlign w:val="bottom"/>
          </w:tcPr>
          <w:p>
            <w:pPr>
              <w:spacing w:after="0"/>
              <w:rPr>
                <w:sz w:val="13"/>
                <w:szCs w:val="13"/>
                <w:color w:val="auto"/>
              </w:rPr>
            </w:pP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5620" w:type="dxa"/>
            <w:vAlign w:val="bottom"/>
            <w:gridSpan w:val="24"/>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1B.</w:t>
            </w:r>
          </w:p>
        </w:tc>
        <w:tc>
          <w:tcPr>
            <w:tcW w:w="420" w:type="dxa"/>
            <w:vAlign w:val="bottom"/>
          </w:tcPr>
          <w:p>
            <w:pPr>
              <w:spacing w:after="0"/>
              <w:rPr>
                <w:sz w:val="13"/>
                <w:szCs w:val="13"/>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89"/>
              </w:rPr>
              <w:t>Item 1C.</w:t>
            </w:r>
          </w:p>
        </w:tc>
        <w:tc>
          <w:tcPr>
            <w:tcW w:w="420" w:type="dxa"/>
            <w:vAlign w:val="bottom"/>
          </w:tcPr>
          <w:p>
            <w:pPr>
              <w:spacing w:after="0"/>
              <w:rPr>
                <w:sz w:val="13"/>
                <w:szCs w:val="13"/>
                <w:color w:val="auto"/>
              </w:rPr>
            </w:pPr>
          </w:p>
        </w:tc>
        <w:tc>
          <w:tcPr>
            <w:tcW w:w="8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800" w:type="dxa"/>
            <w:vAlign w:val="bottom"/>
            <w:tcBorders>
              <w:top w:val="single" w:sz="8" w:color="0000FF"/>
            </w:tcBorders>
            <w:gridSpan w:val="6"/>
          </w:tcPr>
          <w:p>
            <w:pPr>
              <w:spacing w:after="0"/>
              <w:rPr>
                <w:sz w:val="13"/>
                <w:szCs w:val="13"/>
                <w:color w:val="auto"/>
              </w:rPr>
            </w:pPr>
          </w:p>
        </w:tc>
        <w:tc>
          <w:tcPr>
            <w:tcW w:w="4740" w:type="dxa"/>
            <w:vAlign w:val="bottom"/>
            <w:gridSpan w:val="17"/>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5740" w:type="dxa"/>
            <w:vAlign w:val="bottom"/>
            <w:gridSpan w:val="25"/>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280" w:type="dxa"/>
            <w:vAlign w:val="bottom"/>
            <w:gridSpan w:val="21"/>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4.</w:t>
            </w:r>
          </w:p>
        </w:tc>
        <w:tc>
          <w:tcPr>
            <w:tcW w:w="420" w:type="dxa"/>
            <w:vAlign w:val="bottom"/>
          </w:tcPr>
          <w:p>
            <w:pPr>
              <w:spacing w:after="0"/>
              <w:rPr>
                <w:sz w:val="13"/>
                <w:szCs w:val="13"/>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rPr>
              <w:t>Part II</w:t>
            </w:r>
          </w:p>
        </w:tc>
        <w:tc>
          <w:tcPr>
            <w:tcW w:w="1460" w:type="dxa"/>
            <w:vAlign w:val="bottom"/>
            <w:gridSpan w:val="5"/>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5.</w:t>
            </w:r>
          </w:p>
        </w:tc>
        <w:tc>
          <w:tcPr>
            <w:tcW w:w="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38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[Reserved]</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7.</w:t>
            </w:r>
          </w:p>
        </w:tc>
        <w:tc>
          <w:tcPr>
            <w:tcW w:w="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50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260" w:type="dxa"/>
            <w:vAlign w:val="bottom"/>
            <w:gridSpan w:val="3"/>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Item 7A.</w:t>
            </w:r>
          </w:p>
        </w:tc>
        <w:tc>
          <w:tcPr>
            <w:tcW w:w="420" w:type="dxa"/>
            <w:vAlign w:val="bottom"/>
          </w:tcPr>
          <w:p>
            <w:pPr>
              <w:spacing w:after="0"/>
              <w:rPr>
                <w:sz w:val="13"/>
                <w:szCs w:val="13"/>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8.</w:t>
            </w: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760" w:type="dxa"/>
            <w:vAlign w:val="bottom"/>
            <w:tcBorders>
              <w:top w:val="single" w:sz="8" w:color="0000FF"/>
            </w:tcBorders>
            <w:gridSpan w:val="2"/>
          </w:tcPr>
          <w:p>
            <w:pPr>
              <w:spacing w:after="0"/>
              <w:rPr>
                <w:sz w:val="13"/>
                <w:szCs w:val="13"/>
                <w:color w:val="auto"/>
              </w:rPr>
            </w:pPr>
          </w:p>
        </w:tc>
        <w:tc>
          <w:tcPr>
            <w:tcW w:w="2960" w:type="dxa"/>
            <w:vAlign w:val="bottom"/>
            <w:gridSpan w:val="12"/>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9.</w:t>
            </w:r>
          </w:p>
        </w:tc>
        <w:tc>
          <w:tcPr>
            <w:tcW w:w="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510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240" w:type="dxa"/>
            <w:vAlign w:val="bottom"/>
            <w:gridSpan w:val="2"/>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Item 9A.</w:t>
            </w:r>
          </w:p>
        </w:tc>
        <w:tc>
          <w:tcPr>
            <w:tcW w:w="420" w:type="dxa"/>
            <w:vAlign w:val="bottom"/>
          </w:tcPr>
          <w:p>
            <w:pPr>
              <w:spacing w:after="0"/>
              <w:rPr>
                <w:sz w:val="13"/>
                <w:szCs w:val="13"/>
                <w:color w:val="auto"/>
              </w:rPr>
            </w:pPr>
          </w:p>
        </w:tc>
        <w:tc>
          <w:tcPr>
            <w:tcW w:w="14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4940" w:type="dxa"/>
            <w:vAlign w:val="bottom"/>
            <w:gridSpan w:val="19"/>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9B.</w:t>
            </w:r>
          </w:p>
        </w:tc>
        <w:tc>
          <w:tcPr>
            <w:tcW w:w="420" w:type="dxa"/>
            <w:vAlign w:val="bottom"/>
          </w:tcPr>
          <w:p>
            <w:pPr>
              <w:spacing w:after="0"/>
              <w:rPr>
                <w:sz w:val="13"/>
                <w:szCs w:val="13"/>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360" w:type="dxa"/>
            <w:vAlign w:val="bottom"/>
            <w:gridSpan w:val="3"/>
          </w:tcPr>
          <w:p>
            <w:pPr>
              <w:spacing w:after="0"/>
              <w:rPr>
                <w:sz w:val="13"/>
                <w:szCs w:val="13"/>
                <w:color w:val="auto"/>
              </w:rPr>
            </w:pPr>
          </w:p>
        </w:tc>
        <w:tc>
          <w:tcPr>
            <w:tcW w:w="4940" w:type="dxa"/>
            <w:vAlign w:val="bottom"/>
            <w:gridSpan w:val="19"/>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9C.</w:t>
            </w:r>
          </w:p>
        </w:tc>
        <w:tc>
          <w:tcPr>
            <w:tcW w:w="420" w:type="dxa"/>
            <w:vAlign w:val="bottom"/>
          </w:tcPr>
          <w:p>
            <w:pPr>
              <w:spacing w:after="0"/>
              <w:rPr>
                <w:sz w:val="13"/>
                <w:szCs w:val="13"/>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4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4"/>
                <w:szCs w:val="14"/>
                <w:color w:val="0000FF"/>
                <w:w w:val="99"/>
              </w:rPr>
              <w:t>Part III</w:t>
            </w:r>
          </w:p>
        </w:tc>
        <w:tc>
          <w:tcPr>
            <w:tcW w:w="1440" w:type="dxa"/>
            <w:vAlign w:val="bottom"/>
            <w:gridSpan w:val="4"/>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4"/>
              </w:rPr>
              <w:t>Item 10.</w:t>
            </w:r>
          </w:p>
        </w:tc>
        <w:tc>
          <w:tcPr>
            <w:tcW w:w="420" w:type="dxa"/>
            <w:vAlign w:val="bottom"/>
          </w:tcPr>
          <w:p>
            <w:pPr>
              <w:spacing w:after="0"/>
              <w:rPr>
                <w:sz w:val="13"/>
                <w:szCs w:val="13"/>
                <w:color w:val="auto"/>
              </w:rPr>
            </w:pPr>
          </w:p>
        </w:tc>
        <w:tc>
          <w:tcPr>
            <w:tcW w:w="32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3120" w:type="dxa"/>
            <w:vAlign w:val="bottom"/>
            <w:gridSpan w:val="13"/>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Item 11.</w:t>
            </w:r>
          </w:p>
        </w:tc>
        <w:tc>
          <w:tcPr>
            <w:tcW w:w="420" w:type="dxa"/>
            <w:vAlign w:val="bottom"/>
          </w:tcPr>
          <w:p>
            <w:pPr>
              <w:spacing w:after="0"/>
              <w:rPr>
                <w:sz w:val="13"/>
                <w:szCs w:val="13"/>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Item 12.</w:t>
            </w:r>
          </w:p>
        </w:tc>
        <w:tc>
          <w:tcPr>
            <w:tcW w:w="420" w:type="dxa"/>
            <w:vAlign w:val="bottom"/>
          </w:tcPr>
          <w:p>
            <w:pPr>
              <w:spacing w:after="0"/>
              <w:rPr>
                <w:sz w:val="13"/>
                <w:szCs w:val="13"/>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4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Item 13.</w:t>
            </w:r>
          </w:p>
        </w:tc>
        <w:tc>
          <w:tcPr>
            <w:tcW w:w="420" w:type="dxa"/>
            <w:vAlign w:val="bottom"/>
          </w:tcPr>
          <w:p>
            <w:pPr>
              <w:spacing w:after="0"/>
              <w:rPr>
                <w:sz w:val="13"/>
                <w:szCs w:val="13"/>
                <w:color w:val="auto"/>
              </w:rPr>
            </w:pPr>
          </w:p>
        </w:tc>
        <w:tc>
          <w:tcPr>
            <w:tcW w:w="572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6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4"/>
              </w:rPr>
              <w:t>Item 14.</w:t>
            </w:r>
          </w:p>
        </w:tc>
        <w:tc>
          <w:tcPr>
            <w:tcW w:w="420" w:type="dxa"/>
            <w:vAlign w:val="bottom"/>
          </w:tcPr>
          <w:p>
            <w:pPr>
              <w:spacing w:after="0"/>
              <w:rPr>
                <w:sz w:val="13"/>
                <w:szCs w:val="13"/>
                <w:color w:val="auto"/>
              </w:rPr>
            </w:pPr>
          </w:p>
        </w:tc>
        <w:tc>
          <w:tcPr>
            <w:tcW w:w="42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2100" w:type="dxa"/>
            <w:vAlign w:val="bottom"/>
            <w:gridSpan w:val="10"/>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tcBorders>
              <w:top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4"/>
                <w:szCs w:val="14"/>
                <w:color w:val="0000FF"/>
              </w:rPr>
              <w:t>Part IV</w:t>
            </w:r>
          </w:p>
        </w:tc>
        <w:tc>
          <w:tcPr>
            <w:tcW w:w="1440" w:type="dxa"/>
            <w:vAlign w:val="bottom"/>
            <w:gridSpan w:val="4"/>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Item 15.</w:t>
            </w:r>
          </w:p>
        </w:tc>
        <w:tc>
          <w:tcPr>
            <w:tcW w:w="420" w:type="dxa"/>
            <w:vAlign w:val="bottom"/>
          </w:tcPr>
          <w:p>
            <w:pPr>
              <w:spacing w:after="0"/>
              <w:rPr>
                <w:sz w:val="13"/>
                <w:szCs w:val="13"/>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4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3860" w:type="dxa"/>
            <w:vAlign w:val="bottom"/>
            <w:gridSpan w:val="15"/>
          </w:tcPr>
          <w:p>
            <w:pPr>
              <w:spacing w:after="0" w:line="20" w:lineRule="exact"/>
              <w:rPr>
                <w:sz w:val="1"/>
                <w:szCs w:val="1"/>
                <w:color w:val="auto"/>
              </w:rPr>
            </w:pPr>
          </w:p>
        </w:tc>
        <w:tc>
          <w:tcPr>
            <w:tcW w:w="3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4"/>
              </w:rPr>
              <w:t>Item 16.</w:t>
            </w:r>
          </w:p>
        </w:tc>
        <w:tc>
          <w:tcPr>
            <w:tcW w:w="420" w:type="dxa"/>
            <w:vAlign w:val="bottom"/>
          </w:tcPr>
          <w:p>
            <w:pPr>
              <w:spacing w:after="0"/>
              <w:rPr>
                <w:sz w:val="13"/>
                <w:szCs w:val="13"/>
                <w:color w:val="auto"/>
              </w:rPr>
            </w:pPr>
          </w:p>
        </w:tc>
        <w:tc>
          <w:tcPr>
            <w:tcW w:w="1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Form 10-K Summary</w:t>
            </w:r>
          </w:p>
        </w:tc>
        <w:tc>
          <w:tcPr>
            <w:tcW w:w="1260" w:type="dxa"/>
            <w:vAlign w:val="bottom"/>
            <w:gridSpan w:val="5"/>
          </w:tcPr>
          <w:p>
            <w:pPr>
              <w:spacing w:after="0"/>
              <w:rPr>
                <w:sz w:val="13"/>
                <w:szCs w:val="13"/>
                <w:color w:val="auto"/>
              </w:rPr>
            </w:pPr>
          </w:p>
        </w:tc>
        <w:tc>
          <w:tcPr>
            <w:tcW w:w="3860" w:type="dxa"/>
            <w:vAlign w:val="bottom"/>
            <w:gridSpan w:val="15"/>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Signatures</w:t>
            </w:r>
          </w:p>
        </w:tc>
        <w:tc>
          <w:tcPr>
            <w:tcW w:w="5740" w:type="dxa"/>
            <w:vAlign w:val="bottom"/>
            <w:gridSpan w:val="25"/>
          </w:tcPr>
          <w:p>
            <w:pPr>
              <w:spacing w:after="0"/>
              <w:rPr>
                <w:sz w:val="13"/>
                <w:szCs w:val="13"/>
                <w:color w:val="auto"/>
              </w:rPr>
            </w:pPr>
          </w:p>
        </w:tc>
        <w:tc>
          <w:tcPr>
            <w:tcW w:w="38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w w:val="99"/>
              </w:rPr>
              <w:t>Power of Attorney</w:t>
            </w:r>
          </w:p>
        </w:tc>
        <w:tc>
          <w:tcPr>
            <w:tcW w:w="5280" w:type="dxa"/>
            <w:vAlign w:val="bottom"/>
            <w:gridSpan w:val="21"/>
          </w:tcPr>
          <w:p>
            <w:pPr>
              <w:spacing w:after="0"/>
              <w:rPr>
                <w:sz w:val="13"/>
                <w:szCs w:val="13"/>
                <w:color w:val="auto"/>
              </w:rPr>
            </w:pPr>
          </w:p>
        </w:tc>
        <w:tc>
          <w:tcPr>
            <w:tcW w:w="4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120</w:t>
            </w:r>
          </w:p>
        </w:tc>
        <w:tc>
          <w:tcPr>
            <w:tcW w:w="0" w:type="dxa"/>
            <w:vAlign w:val="bottom"/>
          </w:tcPr>
          <w:p>
            <w:pPr>
              <w:spacing w:after="0"/>
              <w:rPr>
                <w:sz w:val="1"/>
                <w:szCs w:val="1"/>
                <w:color w:val="auto"/>
              </w:rPr>
            </w:pPr>
          </w:p>
        </w:tc>
      </w:tr>
      <w:tr>
        <w:trPr>
          <w:trHeight w:val="88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Borders>
              <w:top w:val="single" w:sz="8" w:color="0000FF"/>
            </w:tcBorders>
            <w:gridSpan w:val="7"/>
          </w:tcPr>
          <w:p>
            <w:pPr>
              <w:spacing w:after="0"/>
              <w:rPr>
                <w:sz w:val="24"/>
                <w:szCs w:val="24"/>
                <w:color w:val="auto"/>
              </w:rPr>
            </w:pPr>
          </w:p>
        </w:tc>
        <w:tc>
          <w:tcPr>
            <w:tcW w:w="3780" w:type="dxa"/>
            <w:vAlign w:val="bottom"/>
            <w:gridSpan w:val="15"/>
          </w:tcPr>
          <w:p>
            <w:pPr>
              <w:jc w:val="center"/>
              <w:ind w:left="3469"/>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the Securities Act of 1933, as amended (the “Securities Act”), the Securities Exchange Act of 1934, as amended (the “Exchange Act”), and the Private Securities Litigation Reform Act of 1995. All statements contained in this Annual Report on Form 10-K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forward-looking statements include, but are not limited to, statements concerning the following:</w:t>
      </w:r>
    </w:p>
    <w:p>
      <w:pPr>
        <w:spacing w:after="0" w:line="179" w:lineRule="exact"/>
        <w:rPr>
          <w:sz w:val="20"/>
          <w:szCs w:val="20"/>
          <w:color w:val="auto"/>
        </w:rPr>
      </w:pPr>
    </w:p>
    <w:p>
      <w:pPr>
        <w:ind w:left="760" w:right="12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cloud platform;</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in our markets and our ability to compete effectively;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security and availability of our cloud platform;</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expand our customer base, including by attracting new customers;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solutions, or enhancements to our existing solutions, and bring them to market in a timely manner;</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growth rates and challenges in our business and in the markets in which we operate;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plan and our ability to effectively manage our growth and associated investments;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beliefs and objectives for future operations;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third parties, including channel partners and technology alliance partners;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intellectual property rights;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defend litigation brought against us;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expand in our existing markets and into new markets;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of cash and cash equivalents to meet cash needs for at least the next 12 months;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developments relating to our valuation allowances for our deferred tax assets;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internationally;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laws and regulations that currently apply or become applicable to our business both in the United States and internationally;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maintain, and improve our internal control over financial reporting;</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factors, including inflation and instability in the global credit and financial markets;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close and integrate acquisitions to contribute to our growth objectives; and</w:t>
      </w: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60" w:hanging="246"/>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attraction and retention of qualified employees and key personnel.</w:t>
      </w:r>
    </w:p>
    <w:p>
      <w:pPr>
        <w:spacing w:after="0" w:line="17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These statements are based on our current plans, estimates and projections in light of information currently available to us. These forward-looking statements may be affected by risks, uncertainties and other factors discussed elsewhere in this Annual Report on Form 10-K,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Annual Report on Form 10-K speak only as of the date on which such statements are made, and we undertake no obligation to update them in light of new information or future events, except as required by law.</w:t>
      </w:r>
    </w:p>
    <w:p>
      <w:pPr>
        <w:spacing w:after="0" w:line="143"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rapid changes in adversary tactics. We took a fundamentally different approach to solve this problem with the AI-native CrowdStrike Falcon XDR platform – the first, true, cloud-native platform built with artificial intelligence (“AI”) at the core, capable of harnessing vast amounts of security and enterprise data to deliver highly modular solutions through a single lightweight agent.</w:t>
      </w:r>
    </w:p>
    <w:p>
      <w:pPr>
        <w:spacing w:after="0" w:line="140"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The CrowdStrike Falcon platform is designed to be the definitive platform for cybersecurity consolidation, purpose-built to stop breaches. The platform’s single, lightweight agent collects and integrates data from across the enterprise, including endpoints, cloud workloads, identities, and third-party sources. We use this to train our AI to detect and prevent threats and drive workflow automation to give security teams machine speed advantage to stop adversaries. By consolidating and replacing legacy point products and fragmented platforms across key areas of security and IT, the Falcon platform delivers a unified, modern approach that increases capability while reducing complexity and cost – all while stopping breaches.</w:t>
      </w:r>
    </w:p>
    <w:p>
      <w:pPr>
        <w:spacing w:after="0" w:line="14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CrowdStrike: The Architectural Purpose Behind the Platform</w:t>
      </w:r>
    </w:p>
    <w:p>
      <w:pPr>
        <w:spacing w:after="0" w:line="181"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Our Falcon platform was purpose-built in the cloud to harness the power of data and AI to deliver the next generation of automated protection and provide threat hunters with the intelligence required to stop sophisticated attacks, including malware-free and fileless attacks. This approach has made CrowdStrike an industry leader in protection across endpoints, cloud workloads, identity and data (capable of protecting workloads across on-premise, virtualized, and cloud-based environments running on a variety of endpoints such as desktops, laptops, servers, virtual machines, cloud workloads, cloud containers, mobile, and IoT devices) and enables us to rapidly scale this best in class protection across new and emerging areas of enterprise risk.</w:t>
      </w:r>
    </w:p>
    <w:p>
      <w:pPr>
        <w:spacing w:after="0" w:line="140" w:lineRule="exact"/>
        <w:rPr>
          <w:sz w:val="20"/>
          <w:szCs w:val="20"/>
          <w:color w:val="auto"/>
        </w:rPr>
      </w:pPr>
    </w:p>
    <w:p>
      <w:pPr>
        <w:jc w:val="both"/>
        <w:ind w:right="360" w:firstLine="255"/>
        <w:spacing w:after="0" w:line="270" w:lineRule="auto"/>
        <w:rPr>
          <w:sz w:val="20"/>
          <w:szCs w:val="20"/>
          <w:color w:val="auto"/>
        </w:rPr>
      </w:pPr>
      <w:r>
        <w:rPr>
          <w:rFonts w:ascii="Times New Roman" w:cs="Times New Roman" w:eastAsia="Times New Roman" w:hAnsi="Times New Roman"/>
          <w:sz w:val="14"/>
          <w:szCs w:val="14"/>
          <w:color w:val="auto"/>
        </w:rPr>
        <w:t>Today, we offer 27 cloud modules on our Falcon platform via a SaaS subscription-based model that spans multiple large markets, including corporate endpoint and cloud workload security, managed security services, security and vulnerability management, IT operations management, identity protection, next-generation SIEM and log management, threat intelligence services, data protection, Security Orchestration, Automation and Response (“SOAR”) and AI powered workflow automation, and securing generative AI workloads.</w:t>
      </w:r>
    </w:p>
    <w:p>
      <w:pPr>
        <w:spacing w:after="0" w:line="136"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Our Falcon platform is composed of tightly integrated, proprietary technologies that enable us to deliver superior protection and performance, while reducing complexity for our customers. Our Falcon platform consists of our easily deployed, intelligent lightweight agent, and our groundbreaking graph technology.</w:t>
      </w:r>
    </w:p>
    <w:p>
      <w:pPr>
        <w:spacing w:after="0" w:line="124"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Our single, lightweight-agent approach has changed how organizations experience cybersecurity, delivering protection without impacting the user, resources or productivity. With the lightweight agent installed on each endpoint and cloud workload, our Falcon platform automates detection and prevention capabilities in real time across our entire global customer base. This also enables our Falcon platform to intelligently ingest data once and stream high fidelity data back into the Security Cloud to be re-used for multiple use cases, continuously improve our Falcon platform’s AI algorithms and make its real-time decision-making faster and smarter to keep customers ahead of changing adversary tactics.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Our graph technology correlates and contextualizes the vast data of our Security Cloud so we can collect data once and reuse it repeatedly to deliver solutions that solve our customers’ biggest problems. The highly advanced graph technologies underpinning the Falcon platform include:</w:t>
      </w:r>
    </w:p>
    <w:p>
      <w:pPr>
        <w:spacing w:after="0" w:line="124" w:lineRule="exact"/>
        <w:rPr>
          <w:sz w:val="20"/>
          <w:szCs w:val="20"/>
          <w:color w:val="auto"/>
        </w:rPr>
      </w:pPr>
    </w:p>
    <w:p>
      <w:pPr>
        <w:ind w:left="760" w:right="140" w:hanging="246"/>
        <w:spacing w:after="0" w:line="270" w:lineRule="auto"/>
        <w:tabs>
          <w:tab w:leader="none" w:pos="7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Threat Graph, which uses a combination of AI and behavioral pattern-matching techniques to correlate and analyze trillions of cybersecurity events, enriched with threat intelligence, and third-party data to identify and link threat activity together to automatically prevent threats in real time across CrowdStrike’s global customer base. This also provides customers with increased visibility of attacks for proactive threat hunting and timely detection and remediation of novel threats.</w:t>
      </w:r>
    </w:p>
    <w:p>
      <w:pPr>
        <w:spacing w:after="0" w:line="135" w:lineRule="exact"/>
        <w:rPr>
          <w:rFonts w:ascii="Times New Roman" w:cs="Times New Roman" w:eastAsia="Times New Roman" w:hAnsi="Times New Roman"/>
          <w:sz w:val="14"/>
          <w:szCs w:val="14"/>
          <w:color w:val="auto"/>
        </w:rPr>
      </w:pPr>
    </w:p>
    <w:p>
      <w:pPr>
        <w:ind w:left="760" w:right="20" w:hanging="246"/>
        <w:spacing w:after="0" w:line="270" w:lineRule="auto"/>
        <w:tabs>
          <w:tab w:leader="none" w:pos="7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 Graph, which analyzes and correlates data and threat intelligence to visualize the connections between adversaries and attacks to help customers prioritize investigations and gain a deep understanding of the threat landscape. The latest intel on adversaries, tactics, techniques, and procedures is delivered seamlessly within the CrowdStrike Falcon platform and is mapped to the MITRE ATT&amp;CK® framework.</w:t>
      </w:r>
    </w:p>
    <w:p>
      <w:pPr>
        <w:spacing w:after="0" w:line="135" w:lineRule="exact"/>
        <w:rPr>
          <w:rFonts w:ascii="Times New Roman" w:cs="Times New Roman" w:eastAsia="Times New Roman" w:hAnsi="Times New Roman"/>
          <w:sz w:val="14"/>
          <w:szCs w:val="14"/>
          <w:color w:val="auto"/>
        </w:rPr>
      </w:pPr>
    </w:p>
    <w:p>
      <w:pPr>
        <w:ind w:left="760" w:right="120" w:hanging="246"/>
        <w:spacing w:after="0" w:line="270" w:lineRule="auto"/>
        <w:tabs>
          <w:tab w:leader="none" w:pos="7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Asset Graph, which dynamically monitors and tracks the complex interactions among assets, providing a single holistic view of the risks those assets pose. Asset Graph provides graph visualizations of the relationships among all assets such as devices, users, accounts, applications, cloud workloads and operations technology (“OT”), along with the rich context necessary for proper security hygiene and proactive security posture management to reduce risk in their organizations — without impacting IT.</w:t>
      </w:r>
    </w:p>
    <w:p>
      <w:pPr>
        <w:spacing w:after="0" w:line="136"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The Falcon platform was purpose-built with the foresight that the future of cybersecurity would need to be cloud-native and AI-driven. While AI is revolutionizing many technology fields, including cybersecurity solutions, to be truly effective, algorithms that enable AI depend on the quality and volume of data that trains them and the selection of the right differentiating features from that data.</w:t>
      </w:r>
    </w:p>
    <w:p>
      <w:pPr>
        <w:spacing w:after="0" w:line="136"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This is why we believe our Security Cloud and our cloud-native architecture creates a fundamental differentiator from our competitors. The expansive amount of high fidelity data crowdsourced and captured in our Security Cloud enables the continuous training of our algorithms. We call this cloud-scale AI. Our technology is uniquely effective because we not only have a massive amount of high fidelity data to continuously train our AI models but also because we couple that data with deep human cybersecurity expertise, which supports our industry-leading efficacy and low false positives.</w:t>
      </w:r>
    </w:p>
    <w:p>
      <w:pPr>
        <w:spacing w:after="0" w:line="140"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By analyzing and correlating information across our massive, crowdsourced dataset, we are able to deploy our AI algorithms at cloud-scale and build a more intelligent, effective solution to detect threats and stop breaches that on-premise, cloud-hosted and hybrid products cannot match due to the inherent architectural limitations those products have with respect to data storage and analysis. The more data that is fed into our Falcon platform, the more intelligent the Security Cloud becomes, and the more our customers benefit, creating a powerful network effect that increases the overall value we provide.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Background: The Trends Driving a Need for a New Approach to Security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there are a number of important trends that drive the need for a new approach to security. These include:</w:t>
      </w:r>
    </w:p>
    <w:p>
      <w:pPr>
        <w:spacing w:after="0" w:line="177" w:lineRule="exact"/>
        <w:rPr>
          <w:sz w:val="20"/>
          <w:szCs w:val="20"/>
          <w:color w:val="auto"/>
        </w:rPr>
      </w:pPr>
    </w:p>
    <w:p>
      <w:pPr>
        <w:ind w:left="760" w:hanging="246"/>
        <w:spacing w:after="0" w:line="259" w:lineRule="auto"/>
        <w:tabs>
          <w:tab w:leader="none" w:pos="7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The Increasing Sophistication and Disruption of Cybersecurity Threats: </w:t>
      </w:r>
      <w:r>
        <w:rPr>
          <w:rFonts w:ascii="Times New Roman" w:cs="Times New Roman" w:eastAsia="Times New Roman" w:hAnsi="Times New Roman"/>
          <w:sz w:val="14"/>
          <w:szCs w:val="14"/>
          <w:color w:val="auto"/>
        </w:rPr>
        <w:t>Adversary sophistication continues to increase as militaries and intelligence services of well-funded nation-states, technically advanced criminal organizations and hackers advance their tactics. In addition, the commoditization of technologies like generative AI make it easier for low-skilled adversaries to move faster and launch more sophisticated attacks. This includes non-malware based attacks like social engineering that exploit user identities and credentials. These attacks are pervasive, targeting a broad range of industries including technology, transportation, healthcare, financial services, governments and political organizations, utility, retail, and public infrastructure. The number and scale of attacks continue to increase. The typical attack cycle starts with attackers attempting to penetrate endpoints to establish a beachhead. Once inside, adversaries steal and exploit legitimate credentials to escalate privileges, move laterally and progress and attack, often downloading malware or ransomware. At this stage in the threat lifecycle, the adversary is able to encrypt, destroy, or silently exfiltrate sensitive data.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hanging="246"/>
        <w:spacing w:after="0" w:line="265"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An Expanded Attack Surface Driven By Hybrid and Remote Workforces: </w:t>
      </w:r>
      <w:r>
        <w:rPr>
          <w:rFonts w:ascii="Times New Roman" w:cs="Times New Roman" w:eastAsia="Times New Roman" w:hAnsi="Times New Roman"/>
          <w:sz w:val="14"/>
          <w:szCs w:val="14"/>
          <w:color w:val="auto"/>
        </w:rPr>
        <w:t>Organizations everywhere are embracing digital transformation and are becoming more distributed as they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adopt the cloud, increase workforce mobility, and grow their number of connected devices. They are adding more workloads to a myriad of different endpoints beyond the traditional cybersecurity perimeter, exposing an increasingly broad attack surface to adversaries. This trend accelerated significantly with the need to support an increasingly remote workforce in 2020 due to the COVID-19 pandemic and we believe this trend continues today.</w:t>
      </w:r>
    </w:p>
    <w:p>
      <w:pPr>
        <w:spacing w:after="0" w:line="137" w:lineRule="exact"/>
        <w:rPr>
          <w:rFonts w:ascii="Times New Roman" w:cs="Times New Roman" w:eastAsia="Times New Roman" w:hAnsi="Times New Roman"/>
          <w:sz w:val="14"/>
          <w:szCs w:val="14"/>
          <w:color w:val="auto"/>
        </w:rPr>
      </w:pPr>
    </w:p>
    <w:p>
      <w:pPr>
        <w:ind w:left="760" w:hanging="246"/>
        <w:spacing w:after="0" w:line="271"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 Growing Cyber Skills Gap: </w:t>
      </w:r>
      <w:r>
        <w:rPr>
          <w:rFonts w:ascii="Times New Roman" w:cs="Times New Roman" w:eastAsia="Times New Roman" w:hAnsi="Times New Roman"/>
          <w:sz w:val="14"/>
          <w:szCs w:val="14"/>
          <w:color w:val="auto"/>
        </w:rPr>
        <w:t>Trained cybersecurity professionals are in high demand, and organizations continue to face a dire shortage of talent to fill much needed cybersecurity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positions. As a result, existing cybersecurity teams are often overwhelmed by the velocity of cyberattacks. Adversaries exploit this vacuum by continuing to accelerate their sophisticated attacks.</w:t>
      </w:r>
    </w:p>
    <w:p>
      <w:pPr>
        <w:spacing w:after="0" w:line="133" w:lineRule="exact"/>
        <w:rPr>
          <w:rFonts w:ascii="Times New Roman" w:cs="Times New Roman" w:eastAsia="Times New Roman" w:hAnsi="Times New Roman"/>
          <w:sz w:val="14"/>
          <w:szCs w:val="14"/>
          <w:color w:val="auto"/>
        </w:rPr>
      </w:pPr>
    </w:p>
    <w:p>
      <w:pPr>
        <w:ind w:left="760" w:right="120" w:hanging="246"/>
        <w:spacing w:after="0" w:line="271"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The Need to Reduce Complexity and Simplify Security Operations: </w:t>
      </w:r>
      <w:r>
        <w:rPr>
          <w:rFonts w:ascii="Times New Roman" w:cs="Times New Roman" w:eastAsia="Times New Roman" w:hAnsi="Times New Roman"/>
          <w:sz w:val="14"/>
          <w:szCs w:val="14"/>
          <w:color w:val="auto"/>
        </w:rPr>
        <w:t>Organizations are increasingly looking to reduce the complexity of their security and IT stack. Modern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requires fewer point products, fewer agents and technologies that consume fewer resources. Increasingly, organizations are looking to standardize on trusted platforms that deliver an immediate return on investment and lower total cost of ownership.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Market: Existing Security Solutions Are Limited and Exacerbate Ongoing Trends: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the aforementioned trends are exacerbated by the architectural limitations of legacy cybersecurity products and fragmented platforms, which are characterized by:</w:t>
      </w:r>
    </w:p>
    <w:p>
      <w:pPr>
        <w:spacing w:after="0" w:line="177" w:lineRule="exact"/>
        <w:rPr>
          <w:sz w:val="20"/>
          <w:szCs w:val="20"/>
          <w:color w:val="auto"/>
        </w:rPr>
      </w:pPr>
    </w:p>
    <w:p>
      <w:pPr>
        <w:ind w:left="760" w:right="60" w:hanging="246"/>
        <w:spacing w:after="0" w:line="271"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On-Premise Security and Bolt-On Cloud Products That Lead to Constrained and Impacted Users</w:t>
      </w:r>
      <w:r>
        <w:rPr>
          <w:rFonts w:ascii="Times New Roman" w:cs="Times New Roman" w:eastAsia="Times New Roman" w:hAnsi="Times New Roman"/>
          <w:sz w:val="14"/>
          <w:szCs w:val="14"/>
          <w:color w:val="auto"/>
        </w:rPr>
        <w:t>: On-premise products are siloed, lack integration, and have limited ability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collect, process, and analyze vast amounts of data—attributes that are required to be effective in today’s increasingly dynamic threat landscape. Meanwhile, these solutions often require more agents on the endpoint as new capabilities are patchworked together, which can have a dramatic negative impact on user performance.</w:t>
      </w:r>
    </w:p>
    <w:p>
      <w:pPr>
        <w:spacing w:after="0" w:line="135" w:lineRule="exact"/>
        <w:rPr>
          <w:rFonts w:ascii="Times New Roman" w:cs="Times New Roman" w:eastAsia="Times New Roman" w:hAnsi="Times New Roman"/>
          <w:sz w:val="14"/>
          <w:szCs w:val="14"/>
          <w:color w:val="auto"/>
        </w:rPr>
      </w:pPr>
    </w:p>
    <w:p>
      <w:pPr>
        <w:ind w:left="760" w:right="30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on-premise vendors have tried to solve this problem by simply extending on-premise products to the cloud. Since their products were not purpose built to run in the cloud, traditional on-premise issues such as complex deployments, data silos, lack of integrations, limited scalability, and high maintenance costs continue to manifest. We believe that any product that was originally designed for on-premise deployments and migrated to the cloud cannot by definition be a cloud native solution.</w:t>
      </w:r>
    </w:p>
    <w:p>
      <w:pPr>
        <w:spacing w:after="0" w:line="135" w:lineRule="exact"/>
        <w:rPr>
          <w:rFonts w:ascii="Times New Roman" w:cs="Times New Roman" w:eastAsia="Times New Roman" w:hAnsi="Times New Roman"/>
          <w:sz w:val="14"/>
          <w:szCs w:val="14"/>
          <w:color w:val="auto"/>
        </w:rPr>
      </w:pPr>
    </w:p>
    <w:p>
      <w:pPr>
        <w:ind w:left="760" w:right="64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other vendors attempt to solve this problem by acquiring disparate products and stitching them together into fragmented platforms. This can force customers to focus on implementing integrations, not security outcomes and stopping the breach. The resulting complexity can impede workflows and slow down response time.</w:t>
      </w:r>
    </w:p>
    <w:p>
      <w:pPr>
        <w:spacing w:after="0" w:line="122" w:lineRule="exact"/>
        <w:rPr>
          <w:rFonts w:ascii="Times New Roman" w:cs="Times New Roman" w:eastAsia="Times New Roman" w:hAnsi="Times New Roman"/>
          <w:sz w:val="14"/>
          <w:szCs w:val="14"/>
          <w:color w:val="auto"/>
        </w:rPr>
      </w:pPr>
    </w:p>
    <w:p>
      <w:pPr>
        <w:ind w:left="760" w:right="360" w:hanging="246"/>
        <w:spacing w:after="0" w:line="265"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Legacy Signature-Based Products That Are Not Effective Against Unknown Threats</w:t>
      </w:r>
      <w:r>
        <w:rPr>
          <w:rFonts w:ascii="Times New Roman" w:cs="Times New Roman" w:eastAsia="Times New Roman" w:hAnsi="Times New Roman"/>
          <w:sz w:val="14"/>
          <w:szCs w:val="14"/>
          <w:color w:val="auto"/>
        </w:rPr>
        <w:t>: Signature-based products are designed to detect attacks that are already cataloged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previously identified threats. As a result, such products are fundamentally unable to prevent unknown threats resulting from shifts in attacker tradecraft. An attacker may be able to bypass a signature-based defense with just a slight modification to an existing attack. Many significant breaches seen in the last two decades have involved the failure of a legacy signature-based antivirus product to detect a previously unknown or modified version of a previously known attack.</w:t>
      </w:r>
    </w:p>
    <w:p>
      <w:pPr>
        <w:spacing w:after="0" w:line="137" w:lineRule="exact"/>
        <w:rPr>
          <w:rFonts w:ascii="Times New Roman" w:cs="Times New Roman" w:eastAsia="Times New Roman" w:hAnsi="Times New Roman"/>
          <w:sz w:val="14"/>
          <w:szCs w:val="14"/>
          <w:color w:val="auto"/>
        </w:rPr>
      </w:pPr>
    </w:p>
    <w:p>
      <w:pPr>
        <w:ind w:left="760" w:right="120" w:hanging="246"/>
        <w:spacing w:after="0" w:line="262"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Malware-Focused Products That Miss Sophisticated Attacks: </w:t>
      </w:r>
      <w:r>
        <w:rPr>
          <w:rFonts w:ascii="Times New Roman" w:cs="Times New Roman" w:eastAsia="Times New Roman" w:hAnsi="Times New Roman"/>
          <w:sz w:val="14"/>
          <w:szCs w:val="14"/>
          <w:color w:val="auto"/>
        </w:rPr>
        <w:t>Traditionally, organizations have focused on protecting their networks and endpoints against malware-based attacks.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These attacks involve malware built for the specific purpose of performing malicious activities, stealing data, or destroying systems. Our 2024 Global Threat Report observed that over 70% of attacks comprise non-malware, hands-on-keyboard activity. Additionally, we found that eight out of 10 attacks involve compromised or stolen credentials, with these identity-based attacks easily able to bypass legacy approaches to protection. Therefore, a malware-centric defensive approach will leave the organization vulnerable to attacks that do not leverage malware.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right="180" w:hanging="246"/>
        <w:spacing w:after="0" w:line="271"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Application Whitelisting Products That Are Ineffective: </w:t>
      </w:r>
      <w:r>
        <w:rPr>
          <w:rFonts w:ascii="Times New Roman" w:cs="Times New Roman" w:eastAsia="Times New Roman" w:hAnsi="Times New Roman"/>
          <w:sz w:val="14"/>
          <w:szCs w:val="14"/>
          <w:color w:val="auto"/>
        </w:rPr>
        <w:t>Application whitelisting products resort to an “always allow” or “always block” policy on an endpoint to allow or prevent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processes from executing. Whitelisting relies in part on manually creating and maintaining a complex list of rules, burdening end users and IT organizations. This does not prevent fileless attacks from exploiting legitimate whitelisted applications, compromising the integrity of the whitelisting product.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CrowdStrike: Built for This Moment and the Future</w:t>
      </w:r>
    </w:p>
    <w:p>
      <w:pPr>
        <w:spacing w:after="0" w:line="181"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We believe that the cloud-native architecture of the Falcon platform and Security Cloud provides a sustainable advantage in addressing the needs of our customers as their businesses and the threat landscape continues to evolve.</w:t>
      </w:r>
    </w:p>
    <w:p>
      <w:pPr>
        <w:spacing w:after="0" w:line="124"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offer our customers compelling business value that includes ease of adoption, rapid time-to-value, superior efficacy rates in detecting threats and preventing breaches, and reduced total cost of ownership by consolidating legacy, siloed, and multi-agent security products in a single solution. We also allow thinly-stretched security organizations to automate previously manual tasks, freeing them to focus on their most important objectives. With the Falcon platform, organizations can transform how they combat threats, transforming from slow, manual, and reactionary to fast, automated, and predictive, while gaining visibility across the threat lifecycle.</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Key benefits of our approach and the CrowdStrike Falcon platform include:</w:t>
      </w:r>
    </w:p>
    <w:p>
      <w:pPr>
        <w:spacing w:after="0" w:line="177" w:lineRule="exact"/>
        <w:rPr>
          <w:sz w:val="20"/>
          <w:szCs w:val="20"/>
          <w:color w:val="auto"/>
        </w:rPr>
      </w:pPr>
    </w:p>
    <w:p>
      <w:pPr>
        <w:ind w:left="760" w:right="80" w:hanging="246"/>
        <w:spacing w:after="0" w:line="271"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The Power of the Crowd: </w:t>
      </w:r>
      <w:r>
        <w:rPr>
          <w:rFonts w:ascii="Times New Roman" w:cs="Times New Roman" w:eastAsia="Times New Roman" w:hAnsi="Times New Roman"/>
          <w:sz w:val="14"/>
          <w:szCs w:val="14"/>
          <w:color w:val="auto"/>
        </w:rPr>
        <w:t>Our crowdsourced data enables every customer to benefit from contributing to the Security Cloud. As more high fidelity data is fed into our Security Cloud,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AI models continue to train and improve, increasing the overall efficacy of the Falcon platform. This unique data layer is powered and turned into action by three complementary graph databases (Threat Graph, Asset Graph, and Intel Graph) to put threats, adversaries, and assets into the context needed to make the rapid, informed decisions that stop breaches.</w:t>
      </w:r>
    </w:p>
    <w:p>
      <w:pPr>
        <w:spacing w:after="0" w:line="133" w:lineRule="exact"/>
        <w:rPr>
          <w:rFonts w:ascii="Times New Roman" w:cs="Times New Roman" w:eastAsia="Times New Roman" w:hAnsi="Times New Roman"/>
          <w:sz w:val="14"/>
          <w:szCs w:val="14"/>
          <w:color w:val="auto"/>
        </w:rPr>
      </w:pPr>
    </w:p>
    <w:p>
      <w:pPr>
        <w:ind w:left="760" w:right="40" w:hanging="246"/>
        <w:spacing w:after="0" w:line="290"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High Efficacy, Low False Positives</w:t>
      </w:r>
      <w:r>
        <w:rPr>
          <w:rFonts w:ascii="Times New Roman" w:cs="Times New Roman" w:eastAsia="Times New Roman" w:hAnsi="Times New Roman"/>
          <w:sz w:val="14"/>
          <w:szCs w:val="14"/>
          <w:color w:val="auto"/>
        </w:rPr>
        <w:t>: The vast telemetry of the Security Cloud and the best practices employed in continually training our AI models results in industry-leading efficacy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rates and low false positives.</w:t>
      </w:r>
    </w:p>
    <w:p>
      <w:pPr>
        <w:spacing w:after="0" w:line="120" w:lineRule="exact"/>
        <w:rPr>
          <w:rFonts w:ascii="Times New Roman" w:cs="Times New Roman" w:eastAsia="Times New Roman" w:hAnsi="Times New Roman"/>
          <w:sz w:val="14"/>
          <w:szCs w:val="14"/>
          <w:color w:val="auto"/>
        </w:rPr>
      </w:pPr>
    </w:p>
    <w:p>
      <w:pPr>
        <w:ind w:left="760" w:right="180" w:hanging="246"/>
        <w:spacing w:after="0" w:line="262"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Consolidation of Siloed Products</w:t>
      </w:r>
      <w:r>
        <w:rPr>
          <w:rFonts w:ascii="Times New Roman" w:cs="Times New Roman" w:eastAsia="Times New Roman" w:hAnsi="Times New Roman"/>
          <w:sz w:val="14"/>
          <w:szCs w:val="14"/>
          <w:color w:val="auto"/>
        </w:rPr>
        <w:t>: Integrating and maintaining numerous security products creates blind spots that attackers can exploit, is costly to maintain and negatively impacts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user performance. Our cloud-native platform approach gives customers a unified approach to address their most critical areas of risk seamlessly. We empower customers to rapidly deploy and scale industry leading technologies across endpoint detection and response (“EDR”) and Extended Detection and Response (“XDR”), Identity Threat Protection, Threat Intelligence, Exposure Management, Cloud Security, Application Security Posture Management, Next-Generation SIEM and Modern Log Management, and IT Automation from a single platform.</w:t>
      </w:r>
    </w:p>
    <w:p>
      <w:pPr>
        <w:spacing w:after="0" w:line="139" w:lineRule="exact"/>
        <w:rPr>
          <w:rFonts w:ascii="Times New Roman" w:cs="Times New Roman" w:eastAsia="Times New Roman" w:hAnsi="Times New Roman"/>
          <w:sz w:val="14"/>
          <w:szCs w:val="14"/>
          <w:color w:val="auto"/>
        </w:rPr>
      </w:pPr>
    </w:p>
    <w:p>
      <w:pPr>
        <w:ind w:left="760" w:right="60" w:hanging="246"/>
        <w:spacing w:after="0" w:line="265"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Reducing Agent Bloat</w:t>
      </w:r>
      <w:r>
        <w:rPr>
          <w:rFonts w:ascii="Times New Roman" w:cs="Times New Roman" w:eastAsia="Times New Roman" w:hAnsi="Times New Roman"/>
          <w:sz w:val="14"/>
          <w:szCs w:val="14"/>
          <w:color w:val="auto"/>
        </w:rPr>
        <w:t>: Our single intelligent lightweight agent enables frictionless deployment of our platform at scale, enabling customers to rapidly adopt our technology across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type of workload running on a variety of endpoints. The agent is non-intrusive to the end user, requires no reboots and continues to protect the endpoint and track activity even when offline. Through our single lightweight agent approach, customers can adopt multiple platform modules to address their critical areas of risk without burdening the endpoint with multiple agents. Legacy approaches often require multiple agents as they layer on new capabilities. This can severely impact user performance and create barriers to security.</w:t>
      </w:r>
    </w:p>
    <w:p>
      <w:pPr>
        <w:spacing w:after="0" w:line="137" w:lineRule="exact"/>
        <w:rPr>
          <w:rFonts w:ascii="Times New Roman" w:cs="Times New Roman" w:eastAsia="Times New Roman" w:hAnsi="Times New Roman"/>
          <w:sz w:val="14"/>
          <w:szCs w:val="14"/>
          <w:color w:val="auto"/>
        </w:rPr>
      </w:pPr>
    </w:p>
    <w:p>
      <w:pPr>
        <w:ind w:left="760" w:right="40" w:hanging="246"/>
        <w:spacing w:after="0" w:line="271"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Rapid Time to Value</w:t>
      </w:r>
      <w:r>
        <w:rPr>
          <w:rFonts w:ascii="Times New Roman" w:cs="Times New Roman" w:eastAsia="Times New Roman" w:hAnsi="Times New Roman"/>
          <w:sz w:val="14"/>
          <w:szCs w:val="14"/>
          <w:color w:val="auto"/>
        </w:rPr>
        <w:t>: Our cloud-native platform was built to rapidly scale industry leading protection across the entire enterprise, eliminating lengthy implementation periods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professional services engagements that next-gen and legacy competitors may require. Our single agent, collect once and re-use many times approach enables us to activate new modules in real time.</w:t>
      </w:r>
    </w:p>
    <w:p>
      <w:pPr>
        <w:spacing w:after="0" w:line="133" w:lineRule="exact"/>
        <w:rPr>
          <w:rFonts w:ascii="Times New Roman" w:cs="Times New Roman" w:eastAsia="Times New Roman" w:hAnsi="Times New Roman"/>
          <w:sz w:val="14"/>
          <w:szCs w:val="14"/>
          <w:color w:val="auto"/>
        </w:rPr>
      </w:pPr>
    </w:p>
    <w:p>
      <w:pPr>
        <w:ind w:left="760" w:right="120" w:hanging="246"/>
        <w:spacing w:after="0" w:line="265"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Elite Security Teams as a Force Multiplier: </w:t>
      </w:r>
      <w:r>
        <w:rPr>
          <w:rFonts w:ascii="Times New Roman" w:cs="Times New Roman" w:eastAsia="Times New Roman" w:hAnsi="Times New Roman"/>
          <w:sz w:val="14"/>
          <w:szCs w:val="14"/>
          <w:color w:val="auto"/>
        </w:rPr>
        <w:t>As adversaries continue to employ sophisticated malwareless attacks that exploit user credentials and identities, automation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autonomous security are no longer sufficient on their own. Stopping today’s sophisticated attacks requires a combination of powerful automation and elite threat hunting. Falcon Complete provides a comprehensive monitoring, management, response, and remediation solution to our customers and is designed to bring enterprise level security to companies that may lack enterprise level resources.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760" w:right="260"/>
        <w:spacing w:after="0" w:line="264" w:lineRule="auto"/>
        <w:rPr>
          <w:sz w:val="20"/>
          <w:szCs w:val="20"/>
          <w:color w:val="auto"/>
        </w:rPr>
      </w:pPr>
      <w:r>
        <w:rPr>
          <w:rFonts w:ascii="Times New Roman" w:cs="Times New Roman" w:eastAsia="Times New Roman" w:hAnsi="Times New Roman"/>
          <w:sz w:val="14"/>
          <w:szCs w:val="14"/>
          <w:color w:val="auto"/>
        </w:rPr>
        <w:t>CrowdStrike Falcon OverWatch, part of CrowdStrike Counter Adversary Operations, combines world-class human intelligence from our elite security experts with the power of the Falcon platform. OverWatch is a force multiplier that extends the capabilities and improves the productivity of our customers’ security teams. Because our world-class team can see attacks across our entire customer base, their expertise is enhanced by their constant visibility into the threat landscape. Additionally, the insights of our OverWatch team can then be leveraged by the Falcon platform to further enhance its autonomous capabilities, creating a positive feedback loop for our customers.</w:t>
      </w:r>
    </w:p>
    <w:p>
      <w:pPr>
        <w:spacing w:after="0" w:line="138" w:lineRule="exact"/>
        <w:rPr>
          <w:sz w:val="20"/>
          <w:szCs w:val="20"/>
          <w:color w:val="auto"/>
        </w:rPr>
      </w:pPr>
    </w:p>
    <w:p>
      <w:pPr>
        <w:ind w:left="760" w:right="80" w:hanging="246"/>
        <w:spacing w:after="0" w:line="271"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Alleviating the Skills Shortage through Automation</w:t>
      </w:r>
      <w:r>
        <w:rPr>
          <w:rFonts w:ascii="Times New Roman" w:cs="Times New Roman" w:eastAsia="Times New Roman" w:hAnsi="Times New Roman"/>
          <w:sz w:val="14"/>
          <w:szCs w:val="14"/>
          <w:color w:val="auto"/>
        </w:rPr>
        <w:t>: CrowdStrike automates manual tasks to free security teams to focus on their most important job – stopping the breach.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Falcon Fusion capability automates workflows to reduce the need to switch between different security tools and tasks, while our Falcon Insight XDR module provides a unified solution that enables security teams to rapidly and efficiently identify, hunt, and eliminate threats across multiple security domains using first and third party datasets.</w:t>
      </w:r>
    </w:p>
    <w:p>
      <w:pPr>
        <w:spacing w:after="0" w:line="133" w:lineRule="exact"/>
        <w:rPr>
          <w:rFonts w:ascii="Times New Roman" w:cs="Times New Roman" w:eastAsia="Times New Roman" w:hAnsi="Times New Roman"/>
          <w:sz w:val="14"/>
          <w:szCs w:val="14"/>
          <w:color w:val="auto"/>
        </w:rPr>
      </w:pPr>
    </w:p>
    <w:p>
      <w:pPr>
        <w:ind w:left="760" w:right="200" w:hanging="246"/>
        <w:spacing w:after="0" w:line="271"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Lower Total Cost of Ownership</w:t>
      </w:r>
      <w:r>
        <w:rPr>
          <w:rFonts w:ascii="Times New Roman" w:cs="Times New Roman" w:eastAsia="Times New Roman" w:hAnsi="Times New Roman"/>
          <w:sz w:val="14"/>
          <w:szCs w:val="14"/>
          <w:color w:val="auto"/>
        </w:rPr>
        <w:t>: Our cloud-native platform eliminates our customers’ need for initial or ongoing purchases of hardware and does not require their personnel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configure, implement or integrate disparate point products. Additionally, our comprehensive platform reduces overall personnel costs associated with ongoing maintenance, as well as the need for software patches and upgrades for separate products.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Securing Identities and Data Across the Pillars of Modern Enterprise Security</w:t>
      </w:r>
    </w:p>
    <w:p>
      <w:pPr>
        <w:spacing w:after="0" w:line="18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As modern attacks and adversaries grow more sophisticated, CrowdStrike believes that stopping breaches in the modern era requires security that delivers unified visibility and protection across three critical areas: Endpoint and Cloud workloads, Identity Threat Protection and Data Protection.</w:t>
      </w:r>
    </w:p>
    <w:p>
      <w:pPr>
        <w:spacing w:after="0" w:line="124"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Approximately eighty percent of breaches today use stolen credentials and identities. Stopping these advanced attacks requires a holistic approach that delivers true end-to-end protection across workloads, identities, and data. CrowdStrike is able to natively enforce protection at the device layer, the identity layer, and the data layer, extending our bold vision for security by driving modern Defense in Depth to the enterprise.</w:t>
      </w:r>
    </w:p>
    <w:p>
      <w:pPr>
        <w:spacing w:after="0" w:line="13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By delivering these powerful capabilities through a unified platform with a single agent, CrowdStrike is able to connect the endpoint and workload to user identity, and the data that is being used and accessed. Customers can see the full health and state of endpoints and workloads, in context with the identity that is using and accessing them, aligned with where data is being created, who is using it, where it flows and how it is protected. CrowdStrike delivers this through a unified platform experience. This is how CrowdStrike believes security should and must be delivered today to combat advanced adversaries and stop breaches in the modern era. This means security solutions that are easy to deploy, easy to manage, and highly effective.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CrowdStrike Falcon Platform: Built to Innovate and Scale</w:t>
      </w:r>
    </w:p>
    <w:p>
      <w:pPr>
        <w:spacing w:after="0" w:line="181"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Our platform approach allows us to rapidly innovate, build, and deploy highly integrated modules that address critical customer problems and access additional market opportunities. Our Falcon platform is composed of two tightly integrated proprietary technologies: our lightweight agent and our Security Cloud. Our cloud-delivered modules integrate seamlessly within the Falcon platform to provide customers with a unified set of cloud-delivered technologies across EDR and XDR, Identity Threat Detection and Response Protection, Threat Intelligence, Exposure ManagementITSecOps and Risk, Cloud Security, Application Security Posture Management, IT Automation, as well as Next-Generation SIEM and Modern Log Management.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Falcon platform also encompasses recently acquired technologies where integration may be ongoing. We can rapidly and cost effectively develop and deliver additional cloud modules on our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Falcon platform without the need for additional agents, and are expanding options for our new customers to test modules on a trial basis as well as offering in-application trials for existing customers.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expanding set of open APIs and the Foundry app development platform will allow customers and partners to build their own capabilities on top of the Falcon platform.</w:t>
      </w:r>
    </w:p>
    <w:p>
      <w:pPr>
        <w:spacing w:after="0" w:line="164"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Unifying data from our modules and customers into a single cloud infrastructure gives us significant advantages in developing and delivering innovative AI capabilities to detect and prevent threats, as well as improving user productivity and efficiency through cutting-edge generative AI systems such as our Charlotte AI module.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CrowdStrike Falcon Platform: Our Cloud Delivered Modules</w:t>
      </w:r>
    </w:p>
    <w:p>
      <w:pPr>
        <w:spacing w:after="0" w:line="181" w:lineRule="exact"/>
        <w:rPr>
          <w:sz w:val="20"/>
          <w:szCs w:val="20"/>
          <w:color w:val="auto"/>
        </w:rPr>
      </w:pPr>
    </w:p>
    <w:p>
      <w:pPr>
        <w:ind w:right="680" w:firstLine="255"/>
        <w:spacing w:after="0" w:line="287" w:lineRule="auto"/>
        <w:rPr>
          <w:sz w:val="20"/>
          <w:szCs w:val="20"/>
          <w:color w:val="auto"/>
        </w:rPr>
      </w:pPr>
      <w:r>
        <w:rPr>
          <w:rFonts w:ascii="Times New Roman" w:cs="Times New Roman" w:eastAsia="Times New Roman" w:hAnsi="Times New Roman"/>
          <w:sz w:val="14"/>
          <w:szCs w:val="14"/>
          <w:color w:val="auto"/>
        </w:rPr>
        <w:t>Our cloud delivered modules integrate seamlessly with the Falcon platform and our single agent to provide functionality in the endpoint security, security and IT operations (including vulnerability management), and threat intelligence markets. Today, our modules include: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Cloud Security</w:t>
      </w:r>
    </w:p>
    <w:p>
      <w:pPr>
        <w:spacing w:after="0" w:line="179" w:lineRule="exact"/>
        <w:rPr>
          <w:sz w:val="20"/>
          <w:szCs w:val="20"/>
          <w:color w:val="auto"/>
        </w:rPr>
      </w:pPr>
    </w:p>
    <w:p>
      <w:pPr>
        <w:jc w:val="both"/>
        <w:ind w:left="760" w:right="60" w:hanging="246"/>
        <w:spacing w:after="0" w:line="271"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Falcon Cloud Workload Protection—Cloud Runtime Protection. </w:t>
      </w:r>
      <w:r>
        <w:rPr>
          <w:rFonts w:ascii="Times New Roman" w:cs="Times New Roman" w:eastAsia="Times New Roman" w:hAnsi="Times New Roman"/>
          <w:sz w:val="14"/>
          <w:szCs w:val="14"/>
          <w:color w:val="auto"/>
        </w:rPr>
        <w:t>Falcon Cloud Workload Protection provides comprehensive breach protection at run-time for workload and container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events and instance metadata, enabling faster and more accurate detection, response, threat hunting and investigation, and enabling customers to run and deploy secure applications with speed and confidence.</w:t>
      </w:r>
    </w:p>
    <w:p>
      <w:pPr>
        <w:spacing w:after="0" w:line="133" w:lineRule="exact"/>
        <w:rPr>
          <w:rFonts w:ascii="Times New Roman" w:cs="Times New Roman" w:eastAsia="Times New Roman" w:hAnsi="Times New Roman"/>
          <w:sz w:val="14"/>
          <w:szCs w:val="14"/>
          <w:color w:val="auto"/>
        </w:rPr>
      </w:pPr>
    </w:p>
    <w:p>
      <w:pPr>
        <w:ind w:left="760" w:right="180" w:hanging="246"/>
        <w:spacing w:after="0" w:line="265"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Horizon—Cloud Security Posture Management</w:t>
      </w:r>
      <w:r>
        <w:rPr>
          <w:rFonts w:ascii="Times New Roman" w:cs="Times New Roman" w:eastAsia="Times New Roman" w:hAnsi="Times New Roman"/>
          <w:sz w:val="14"/>
          <w:szCs w:val="14"/>
          <w:color w:val="auto"/>
        </w:rPr>
        <w:t>. Falcon Horizon delivers unified visibility, threat detection, and continuous monitoring and compliance for multi-cloud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environments. Falcon Horizon automates the process to detect cloud related misconfigurations, vulnerabilities, and identity-based risks, providing step-by-step remediation and giving developers guardrails to avoid costly mistakes. Horizon also integrates with modern continuous integration/continuous delivery developer pipelines, with capabilities such as infrastructure as code scanning and container image assessment to shift secure design further left.</w:t>
      </w:r>
    </w:p>
    <w:p>
      <w:pPr>
        <w:spacing w:after="0" w:line="137" w:lineRule="exact"/>
        <w:rPr>
          <w:rFonts w:ascii="Times New Roman" w:cs="Times New Roman" w:eastAsia="Times New Roman" w:hAnsi="Times New Roman"/>
          <w:sz w:val="14"/>
          <w:szCs w:val="14"/>
          <w:color w:val="auto"/>
        </w:rPr>
      </w:pPr>
    </w:p>
    <w:p>
      <w:pPr>
        <w:ind w:left="760" w:hanging="246"/>
        <w:spacing w:after="0" w:line="265" w:lineRule="auto"/>
        <w:tabs>
          <w:tab w:leader="none" w:pos="75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Bionic, a CrowdStrike company—Application Security Posture Management. </w:t>
      </w:r>
      <w:r>
        <w:rPr>
          <w:rFonts w:ascii="Times New Roman" w:cs="Times New Roman" w:eastAsia="Times New Roman" w:hAnsi="Times New Roman"/>
          <w:sz w:val="14"/>
          <w:szCs w:val="14"/>
          <w:color w:val="auto"/>
        </w:rPr>
        <w:t>Through our acquisition of Bionic, a pioneer of ASPM, we have further extended our capabilities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securing and providing cloud native applications. Bionic gives security teams and developers visibility to their cloud applications, including interactions between cloud and on-premise microservices, third party dependencies, data flows, APIs and Software Bill of Materials— all without requiring access to source code. This information empowers teams with an understanding of their risk landscape in the cloud, and is used together with Cloud Security Posture Management data to enhance context and prioritize remediation of misconfigurations.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Endpoint Security and XDR</w:t>
      </w:r>
    </w:p>
    <w:p>
      <w:pPr>
        <w:spacing w:after="0" w:line="179" w:lineRule="exact"/>
        <w:rPr>
          <w:sz w:val="20"/>
          <w:szCs w:val="20"/>
          <w:color w:val="auto"/>
        </w:rPr>
      </w:pPr>
    </w:p>
    <w:p>
      <w:pPr>
        <w:ind w:left="760" w:right="260" w:hanging="246"/>
        <w:spacing w:after="0" w:line="290"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Prevent—Next-Generation Antivirus</w:t>
      </w:r>
      <w:r>
        <w:rPr>
          <w:rFonts w:ascii="Times New Roman" w:cs="Times New Roman" w:eastAsia="Times New Roman" w:hAnsi="Times New Roman"/>
          <w:sz w:val="14"/>
          <w:szCs w:val="14"/>
          <w:color w:val="auto"/>
        </w:rPr>
        <w:t>. Falcon Prevent provides next-generation antivirus capabilities to customers, delivering comprehensive protection to defend customers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against both malware and fileless attacks.</w:t>
      </w:r>
    </w:p>
    <w:p>
      <w:pPr>
        <w:spacing w:after="0" w:line="120" w:lineRule="exact"/>
        <w:rPr>
          <w:rFonts w:ascii="Times New Roman" w:cs="Times New Roman" w:eastAsia="Times New Roman" w:hAnsi="Times New Roman"/>
          <w:sz w:val="14"/>
          <w:szCs w:val="14"/>
          <w:color w:val="auto"/>
        </w:rPr>
      </w:pPr>
    </w:p>
    <w:p>
      <w:pPr>
        <w:ind w:left="760" w:right="60" w:hanging="246"/>
        <w:spacing w:after="0" w:line="290"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Insight XDR—Endpoint Detection and Response</w:t>
      </w:r>
      <w:r>
        <w:rPr>
          <w:rFonts w:ascii="Times New Roman" w:cs="Times New Roman" w:eastAsia="Times New Roman" w:hAnsi="Times New Roman"/>
          <w:sz w:val="14"/>
          <w:szCs w:val="14"/>
          <w:color w:val="auto"/>
        </w:rPr>
        <w:t>. With industry-leading EDR at its core, Falcon Insight XDR synthesizes cross-domain telemetry and activates extended triage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response capabilities with one unified, threat-centric incident workbench to unlock cross-domain detections, investigations and responses across the security stack.</w:t>
      </w:r>
    </w:p>
    <w:p>
      <w:pPr>
        <w:spacing w:after="0" w:line="120" w:lineRule="exact"/>
        <w:rPr>
          <w:rFonts w:ascii="Times New Roman" w:cs="Times New Roman" w:eastAsia="Times New Roman" w:hAnsi="Times New Roman"/>
          <w:sz w:val="14"/>
          <w:szCs w:val="14"/>
          <w:color w:val="auto"/>
        </w:rPr>
      </w:pPr>
    </w:p>
    <w:p>
      <w:pPr>
        <w:ind w:left="760" w:right="480" w:hanging="246"/>
        <w:spacing w:after="0" w:line="290" w:lineRule="auto"/>
        <w:tabs>
          <w:tab w:leader="none" w:pos="756"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Falcon Insight XDR for IoT—Endpoint Detection and Response for Extended Internet of Things (XIoT) devices</w:t>
      </w:r>
      <w:r>
        <w:rPr>
          <w:rFonts w:ascii="Times New Roman" w:cs="Times New Roman" w:eastAsia="Times New Roman" w:hAnsi="Times New Roman"/>
          <w:sz w:val="14"/>
          <w:szCs w:val="14"/>
          <w:color w:val="auto"/>
        </w:rPr>
        <w:t>. Falcon Insight XDR for IoT brings CrowdStrike’s renowned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protection, detection and response to IoT, OT, medical devices, Industrial IoT, and connected devices across the enterprise.</w:t>
      </w:r>
    </w:p>
    <w:p>
      <w:pPr>
        <w:spacing w:after="0" w:line="120" w:lineRule="exact"/>
        <w:rPr>
          <w:rFonts w:ascii="Times New Roman" w:cs="Times New Roman" w:eastAsia="Times New Roman" w:hAnsi="Times New Roman"/>
          <w:sz w:val="14"/>
          <w:szCs w:val="14"/>
          <w:b w:val="1"/>
          <w:bCs w:val="1"/>
          <w:i w:val="1"/>
          <w:iCs w:val="1"/>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Device Control—Device Control</w:t>
      </w:r>
      <w:r>
        <w:rPr>
          <w:rFonts w:ascii="Times New Roman" w:cs="Times New Roman" w:eastAsia="Times New Roman" w:hAnsi="Times New Roman"/>
          <w:sz w:val="14"/>
          <w:szCs w:val="14"/>
          <w:color w:val="auto"/>
        </w:rPr>
        <w:t>. Falcon Device Control provides administrators with a high degree of visibility and granular control of USB peripheral devices.</w:t>
      </w:r>
    </w:p>
    <w:p>
      <w:pPr>
        <w:spacing w:after="0" w:line="178" w:lineRule="exact"/>
        <w:rPr>
          <w:rFonts w:ascii="Times New Roman" w:cs="Times New Roman" w:eastAsia="Times New Roman" w:hAnsi="Times New Roman"/>
          <w:sz w:val="14"/>
          <w:szCs w:val="14"/>
          <w:color w:val="auto"/>
        </w:rPr>
      </w:pPr>
    </w:p>
    <w:p>
      <w:pPr>
        <w:ind w:left="760" w:right="240" w:hanging="246"/>
        <w:spacing w:after="0" w:line="290"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Firewall Management—Host Firewall Management</w:t>
      </w:r>
      <w:r>
        <w:rPr>
          <w:rFonts w:ascii="Times New Roman" w:cs="Times New Roman" w:eastAsia="Times New Roman" w:hAnsi="Times New Roman"/>
          <w:sz w:val="14"/>
          <w:szCs w:val="14"/>
          <w:color w:val="auto"/>
        </w:rPr>
        <w:t>. Falcon Firewall Management provides centralized management of the firewall capabilities native to the host operating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system, allowing customers to create, enforce, and maintain host firewall policies.</w:t>
      </w:r>
    </w:p>
    <w:p>
      <w:pPr>
        <w:spacing w:after="0" w:line="120"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Falcon Data Protection—Data Loss Prevention</w:t>
      </w:r>
      <w:r>
        <w:rPr>
          <w:rFonts w:ascii="Times New Roman" w:cs="Times New Roman" w:eastAsia="Times New Roman" w:hAnsi="Times New Roman"/>
          <w:sz w:val="14"/>
          <w:szCs w:val="14"/>
          <w:color w:val="auto"/>
        </w:rPr>
        <w:t>. Falcon Data Protection stops adversaries and malicious insiders from stealing sensitive information with automated policy enforcement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follows content, even as it moves across files.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Exposure Management</w:t>
      </w:r>
    </w:p>
    <w:p>
      <w:pPr>
        <w:spacing w:after="0" w:line="179" w:lineRule="exact"/>
        <w:rPr>
          <w:sz w:val="20"/>
          <w:szCs w:val="20"/>
          <w:color w:val="auto"/>
        </w:rPr>
      </w:pPr>
    </w:p>
    <w:p>
      <w:pPr>
        <w:ind w:left="760" w:right="80" w:hanging="246"/>
        <w:spacing w:after="0" w:line="271" w:lineRule="auto"/>
        <w:tabs>
          <w:tab w:leader="none" w:pos="756"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Falcon Exposure Management—Exposure Management</w:t>
      </w:r>
      <w:r>
        <w:rPr>
          <w:rFonts w:ascii="Times New Roman" w:cs="Times New Roman" w:eastAsia="Times New Roman" w:hAnsi="Times New Roman"/>
          <w:sz w:val="14"/>
          <w:szCs w:val="14"/>
          <w:color w:val="auto"/>
        </w:rPr>
        <w:t>. Falcon Exposure Management unifies real-time security and IT data sets from Falcon Discover (Asset, Account and App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Discovery), Falcon Spotlight (Vulnerability Management), and Falcon Surface (External Attack Surface Management), as well as CrowdStrike’s renowned threat intelligence, endpoint, and XDR telemetry, to predict attack paths and guide risk mitigation actions that stop breaches before they happen.</w:t>
      </w:r>
    </w:p>
    <w:p>
      <w:pPr>
        <w:spacing w:after="0" w:line="133" w:lineRule="exact"/>
        <w:rPr>
          <w:rFonts w:ascii="Times New Roman" w:cs="Times New Roman" w:eastAsia="Times New Roman" w:hAnsi="Times New Roman"/>
          <w:sz w:val="14"/>
          <w:szCs w:val="14"/>
          <w:b w:val="1"/>
          <w:bCs w:val="1"/>
          <w:color w:val="auto"/>
        </w:rPr>
      </w:pPr>
    </w:p>
    <w:p>
      <w:pPr>
        <w:ind w:left="760" w:right="240" w:hanging="246"/>
        <w:spacing w:after="0" w:line="265"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Discover—IT Hygiene and IoT</w:t>
      </w:r>
      <w:r>
        <w:rPr>
          <w:rFonts w:ascii="Times New Roman" w:cs="Times New Roman" w:eastAsia="Times New Roman" w:hAnsi="Times New Roman"/>
          <w:sz w:val="14"/>
          <w:szCs w:val="14"/>
          <w:color w:val="auto"/>
        </w:rPr>
        <w:t>. Falcon Discover identifies managed, unmanaged, and rogue systems as well as applications and their usage in our customers’ networks,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monitors the use of privileged user accounts anywhere in a customer’s environments. The module also enables use cases outside of security, such as application license management, Amazon Web Services (“AWS”) spend analysis, and asset inventorying. New enhancements in Falcon Discover for IoT minimize risk for IoT/OT devices with comprehensive asset visibility, monitoring, and security hygiene.</w:t>
      </w:r>
    </w:p>
    <w:p>
      <w:pPr>
        <w:spacing w:after="0" w:line="137" w:lineRule="exact"/>
        <w:rPr>
          <w:rFonts w:ascii="Times New Roman" w:cs="Times New Roman" w:eastAsia="Times New Roman" w:hAnsi="Times New Roman"/>
          <w:sz w:val="14"/>
          <w:szCs w:val="14"/>
          <w:color w:val="auto"/>
        </w:rPr>
      </w:pPr>
    </w:p>
    <w:p>
      <w:pPr>
        <w:ind w:left="760" w:right="20" w:hanging="246"/>
        <w:spacing w:after="0" w:line="271"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Spotlight—Vulnerability Management</w:t>
      </w:r>
      <w:r>
        <w:rPr>
          <w:rFonts w:ascii="Times New Roman" w:cs="Times New Roman" w:eastAsia="Times New Roman" w:hAnsi="Times New Roman"/>
          <w:sz w:val="14"/>
          <w:szCs w:val="14"/>
          <w:color w:val="auto"/>
        </w:rPr>
        <w:t>. Falcon Spotlight identifies vulnerabilities in real time that exist across our customer endpoints. The module does not depend on scanning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systems for vulnerabilities, a process that can often take days or weeks for an enterprise, and instead leverages data already collected by our agent to provide instant and accurate real-time visibility into an enterprise’s vulnerability exposure.</w:t>
      </w:r>
    </w:p>
    <w:p>
      <w:pPr>
        <w:spacing w:after="0" w:line="133" w:lineRule="exact"/>
        <w:rPr>
          <w:rFonts w:ascii="Times New Roman" w:cs="Times New Roman" w:eastAsia="Times New Roman" w:hAnsi="Times New Roman"/>
          <w:sz w:val="14"/>
          <w:szCs w:val="14"/>
          <w:color w:val="auto"/>
        </w:rPr>
      </w:pPr>
    </w:p>
    <w:p>
      <w:pPr>
        <w:ind w:left="760" w:right="120" w:hanging="246"/>
        <w:spacing w:after="0" w:line="290"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Surface—External Attack Surface Management</w:t>
      </w:r>
      <w:r>
        <w:rPr>
          <w:rFonts w:ascii="Times New Roman" w:cs="Times New Roman" w:eastAsia="Times New Roman" w:hAnsi="Times New Roman"/>
          <w:sz w:val="14"/>
          <w:szCs w:val="14"/>
          <w:color w:val="auto"/>
        </w:rPr>
        <w:t>. Falcon Surface allows customers to discover and map all internet-facing assets to shut down potential exposures with guided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mitigation plans to reduce the attack surface and organizational risk.</w:t>
      </w:r>
    </w:p>
    <w:p>
      <w:pPr>
        <w:spacing w:after="0" w:line="120" w:lineRule="exact"/>
        <w:rPr>
          <w:rFonts w:ascii="Times New Roman" w:cs="Times New Roman" w:eastAsia="Times New Roman" w:hAnsi="Times New Roman"/>
          <w:sz w:val="14"/>
          <w:szCs w:val="14"/>
          <w:color w:val="auto"/>
        </w:rPr>
      </w:pPr>
    </w:p>
    <w:p>
      <w:pPr>
        <w:ind w:left="760" w:hanging="246"/>
        <w:spacing w:after="0" w:line="271"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Forensics—Forensic Data for Analysis of Cybersecurity Incidents</w:t>
      </w:r>
      <w:r>
        <w:rPr>
          <w:rFonts w:ascii="Times New Roman" w:cs="Times New Roman" w:eastAsia="Times New Roman" w:hAnsi="Times New Roman"/>
          <w:sz w:val="14"/>
          <w:szCs w:val="14"/>
          <w:color w:val="auto"/>
        </w:rPr>
        <w:t>. Based on years of incident response experience and forensics investigative services from CrowdStrike’s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leading services team, Falcon Forensics streamlines the collection of point-in-time and historic forensic triage data for robust analysis of cybersecurity incidents, threat hunting as well as enabling responders to quickly identify relevant evidence of an intrusion with preset dashboards, allowing for rapid investigation, triage and remediation.</w:t>
      </w:r>
    </w:p>
    <w:p>
      <w:pPr>
        <w:spacing w:after="0" w:line="133" w:lineRule="exact"/>
        <w:rPr>
          <w:rFonts w:ascii="Times New Roman" w:cs="Times New Roman" w:eastAsia="Times New Roman" w:hAnsi="Times New Roman"/>
          <w:sz w:val="14"/>
          <w:szCs w:val="14"/>
          <w:color w:val="auto"/>
        </w:rPr>
      </w:pPr>
    </w:p>
    <w:p>
      <w:pPr>
        <w:ind w:left="760" w:right="40" w:hanging="246"/>
        <w:spacing w:after="0" w:line="271"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FileVantage—File Integrity Monitoring</w:t>
      </w:r>
      <w:r>
        <w:rPr>
          <w:rFonts w:ascii="Times New Roman" w:cs="Times New Roman" w:eastAsia="Times New Roman" w:hAnsi="Times New Roman"/>
          <w:sz w:val="14"/>
          <w:szCs w:val="14"/>
          <w:color w:val="auto"/>
        </w:rPr>
        <w:t>. Falcon FileVantage reduces compliance complexity by building in the services an additional agent would normally provide, including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being able to monitor any file or registry key for changes on the protected systems. This in turn provides alerts and reports to help meet various compliance requirements imposed by the Payment Card Industry, the Center for Internet Security Controls, and Sarbanes-Oxley.</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Managed Services</w:t>
      </w:r>
    </w:p>
    <w:p>
      <w:pPr>
        <w:spacing w:after="0" w:line="179" w:lineRule="exact"/>
        <w:rPr>
          <w:sz w:val="20"/>
          <w:szCs w:val="20"/>
          <w:color w:val="auto"/>
        </w:rPr>
      </w:pPr>
    </w:p>
    <w:p>
      <w:pPr>
        <w:ind w:left="760" w:right="60" w:hanging="246"/>
        <w:spacing w:after="0" w:line="262" w:lineRule="auto"/>
        <w:tabs>
          <w:tab w:leader="none" w:pos="7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Complete—Turnkey Security Solution</w:t>
      </w:r>
      <w:r>
        <w:rPr>
          <w:rFonts w:ascii="Times New Roman" w:cs="Times New Roman" w:eastAsia="Times New Roman" w:hAnsi="Times New Roman"/>
          <w:sz w:val="14"/>
          <w:szCs w:val="14"/>
          <w:color w:val="auto"/>
        </w:rPr>
        <w:t>. Falcon Complete provides comprehensive monitoring, management, response, and remediation solutions to our customers and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designed to bring enterprise level security to companies that may lack enterprise level resources. Falcon Complete offers a growing number of managed services that extend across Falcon platform modules, including Falcon Cloud Workload Protection Complete, Falcon Identity Threat Protection Complete, and Falcon Complete LogScale, augmenting core Falcon Complete Managed Detection and Response capabilities with managed cloud workload protection, identity threat protection, threat hunting, Log management and Next-Gen SIEM. Falcon Complete is backed by an underwritten limited warranty policy for breaches.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Counter Adversary Operations</w:t>
      </w:r>
    </w:p>
    <w:p>
      <w:pPr>
        <w:spacing w:after="0" w:line="179" w:lineRule="exact"/>
        <w:rPr>
          <w:sz w:val="20"/>
          <w:szCs w:val="20"/>
          <w:color w:val="auto"/>
        </w:rPr>
      </w:pPr>
    </w:p>
    <w:p>
      <w:pPr>
        <w:ind w:left="760" w:right="40" w:hanging="246"/>
        <w:spacing w:after="0" w:line="271" w:lineRule="auto"/>
        <w:tabs>
          <w:tab w:leader="none" w:pos="756" w:val="left"/>
        </w:tabs>
        <w:numPr>
          <w:ilvl w:val="0"/>
          <w:numId w:val="1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Falcon OverWatch—Threat Hunting</w:t>
      </w:r>
      <w:r>
        <w:rPr>
          <w:rFonts w:ascii="Times New Roman" w:cs="Times New Roman" w:eastAsia="Times New Roman" w:hAnsi="Times New Roman"/>
          <w:sz w:val="14"/>
          <w:szCs w:val="14"/>
          <w:color w:val="auto"/>
        </w:rPr>
        <w:t>. Falcon OverWatch is a threat hunting solution that consists of an elite team of dedicated security experts who work with the power of Threat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Graph to proactively hunt on telemetry collected in the platform 24/7/365 to identify novel threats and attacks that might otherwise go unnoticed by security teams and the tools they use to monitor and detect advancing new threats in support of our customers.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right="340" w:hanging="246"/>
        <w:spacing w:after="0" w:line="271" w:lineRule="auto"/>
        <w:tabs>
          <w:tab w:leader="none" w:pos="756" w:val="left"/>
        </w:tabs>
        <w:numPr>
          <w:ilvl w:val="0"/>
          <w:numId w:val="1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Falcon Intelligence—Threat Intelligence</w:t>
      </w:r>
      <w:r>
        <w:rPr>
          <w:rFonts w:ascii="Times New Roman" w:cs="Times New Roman" w:eastAsia="Times New Roman" w:hAnsi="Times New Roman"/>
          <w:sz w:val="14"/>
          <w:szCs w:val="14"/>
          <w:color w:val="auto"/>
        </w:rPr>
        <w:t>. Falcon Intelligence integrates threat intelligence into endpoint protection and provides automated analysis of detected threats to provide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insight into the capabilities, motivation and attribution of attacks. In addition to the standard Falcon Intelligence offering, we also offer premium options that include global threat research and reporting from our team of intelligence analysts.</w:t>
      </w:r>
    </w:p>
    <w:p>
      <w:pPr>
        <w:spacing w:after="0" w:line="133" w:lineRule="exact"/>
        <w:rPr>
          <w:rFonts w:ascii="Times New Roman" w:cs="Times New Roman" w:eastAsia="Times New Roman" w:hAnsi="Times New Roman"/>
          <w:sz w:val="14"/>
          <w:szCs w:val="14"/>
          <w:b w:val="1"/>
          <w:bCs w:val="1"/>
          <w:i w:val="1"/>
          <w:iCs w:val="1"/>
          <w:color w:val="auto"/>
        </w:rPr>
      </w:pPr>
    </w:p>
    <w:p>
      <w:pPr>
        <w:ind w:left="760" w:right="100" w:hanging="246"/>
        <w:spacing w:after="0" w:line="290"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Search Engine—Malware Search</w:t>
      </w:r>
      <w:r>
        <w:rPr>
          <w:rFonts w:ascii="Times New Roman" w:cs="Times New Roman" w:eastAsia="Times New Roman" w:hAnsi="Times New Roman"/>
          <w:sz w:val="14"/>
          <w:szCs w:val="14"/>
          <w:color w:val="auto"/>
        </w:rPr>
        <w:t>. Falcon Search Engine enables customers to search in real time for malware collected in our Falcon platform and indexed by our proprietary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binary data indexing technology.</w:t>
      </w:r>
    </w:p>
    <w:p>
      <w:pPr>
        <w:spacing w:after="0" w:line="120"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Sandbox—Malware Analysis</w:t>
      </w:r>
      <w:r>
        <w:rPr>
          <w:rFonts w:ascii="Times New Roman" w:cs="Times New Roman" w:eastAsia="Times New Roman" w:hAnsi="Times New Roman"/>
          <w:sz w:val="14"/>
          <w:szCs w:val="14"/>
          <w:color w:val="auto"/>
        </w:rPr>
        <w:t>. Falcon Sandbox allows our customers to analyze unknown files for malicious behavior by detonating them safely in virtual machines.</w:t>
      </w:r>
    </w:p>
    <w:p>
      <w:pPr>
        <w:spacing w:after="0" w:line="178"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Intelligence Recon—Situational Awareness</w:t>
      </w:r>
      <w:r>
        <w:rPr>
          <w:rFonts w:ascii="Times New Roman" w:cs="Times New Roman" w:eastAsia="Times New Roman" w:hAnsi="Times New Roman"/>
          <w:sz w:val="14"/>
          <w:szCs w:val="14"/>
          <w:color w:val="auto"/>
        </w:rPr>
        <w:t>. Falcon Intelligence Recon allows our customers to identify and mitigate digital risks on the hidden areas of the clear, deep and dark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web. These risks include, but are not limited to, digital fraud, data theft exposure, social media impersonations.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Identity Protection</w:t>
      </w:r>
    </w:p>
    <w:p>
      <w:pPr>
        <w:spacing w:after="0" w:line="179" w:lineRule="exact"/>
        <w:rPr>
          <w:sz w:val="20"/>
          <w:szCs w:val="20"/>
          <w:color w:val="auto"/>
        </w:rPr>
      </w:pPr>
    </w:p>
    <w:p>
      <w:pPr>
        <w:ind w:left="760" w:right="300" w:hanging="246"/>
        <w:spacing w:after="0" w:line="290"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Identity Threat Protection—Identity Threat Detection and Response</w:t>
      </w:r>
      <w:r>
        <w:rPr>
          <w:rFonts w:ascii="Times New Roman" w:cs="Times New Roman" w:eastAsia="Times New Roman" w:hAnsi="Times New Roman"/>
          <w:sz w:val="14"/>
          <w:szCs w:val="14"/>
          <w:color w:val="auto"/>
        </w:rPr>
        <w:t>. Falcon Identity Threat Protection stops identity-based attacks with real-time threat prevention and 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policy enforcement using identity, behavioral and risk analytics.</w:t>
      </w:r>
    </w:p>
    <w:p>
      <w:pPr>
        <w:spacing w:after="0" w:line="120" w:lineRule="exact"/>
        <w:rPr>
          <w:rFonts w:ascii="Times New Roman" w:cs="Times New Roman" w:eastAsia="Times New Roman" w:hAnsi="Times New Roman"/>
          <w:sz w:val="14"/>
          <w:szCs w:val="14"/>
          <w:color w:val="auto"/>
        </w:rPr>
      </w:pPr>
    </w:p>
    <w:p>
      <w:pPr>
        <w:ind w:left="760" w:right="160" w:hanging="246"/>
        <w:spacing w:after="0" w:line="290"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Identity Threat Detection—Identity Threat Detection and Response</w:t>
      </w:r>
      <w:r>
        <w:rPr>
          <w:rFonts w:ascii="Times New Roman" w:cs="Times New Roman" w:eastAsia="Times New Roman" w:hAnsi="Times New Roman"/>
          <w:sz w:val="14"/>
          <w:szCs w:val="14"/>
          <w:color w:val="auto"/>
        </w:rPr>
        <w:t>. Falcon Identity Threat Detection provides visibility for identity-based attacks and anomalies, comparing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live traffic against behavior baselines and rules to detect attacks and lateral movement.</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Next-Generation SIEM and Log Management</w:t>
      </w:r>
    </w:p>
    <w:p>
      <w:pPr>
        <w:spacing w:after="0" w:line="179" w:lineRule="exact"/>
        <w:rPr>
          <w:sz w:val="20"/>
          <w:szCs w:val="20"/>
          <w:color w:val="auto"/>
        </w:rPr>
      </w:pPr>
    </w:p>
    <w:p>
      <w:pPr>
        <w:ind w:left="760" w:right="160" w:hanging="246"/>
        <w:spacing w:after="0" w:line="290" w:lineRule="auto"/>
        <w:tabs>
          <w:tab w:leader="none" w:pos="7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Falcon LogScale Next-Gen SIEM—Security Information &amp; Event Management, Log Management</w:t>
      </w:r>
      <w:r>
        <w:rPr>
          <w:rFonts w:ascii="Times New Roman" w:cs="Times New Roman" w:eastAsia="Times New Roman" w:hAnsi="Times New Roman"/>
          <w:sz w:val="14"/>
          <w:szCs w:val="14"/>
          <w:color w:val="auto"/>
        </w:rPr>
        <w:t>. Falcon LogScale Next-Gen SIEM is a complete SOC platform designed to stop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breaches with AI-native detection, investigation and response, as well as delivering high-performance log management for any data source.</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IT Automation</w:t>
      </w:r>
    </w:p>
    <w:p>
      <w:pPr>
        <w:spacing w:after="0" w:line="179" w:lineRule="exact"/>
        <w:rPr>
          <w:sz w:val="20"/>
          <w:szCs w:val="20"/>
          <w:color w:val="auto"/>
        </w:rPr>
      </w:pPr>
    </w:p>
    <w:p>
      <w:pPr>
        <w:ind w:left="760" w:right="360" w:hanging="246"/>
        <w:spacing w:after="0" w:line="290" w:lineRule="auto"/>
        <w:tabs>
          <w:tab w:leader="none" w:pos="756"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Falcon for IT—IT Automation</w:t>
      </w:r>
      <w:r>
        <w:rPr>
          <w:rFonts w:ascii="Times New Roman" w:cs="Times New Roman" w:eastAsia="Times New Roman" w:hAnsi="Times New Roman"/>
          <w:sz w:val="14"/>
          <w:szCs w:val="14"/>
          <w:color w:val="auto"/>
        </w:rPr>
        <w:t>. Falcon for IT converges security and IT operations with a single agent and unified platform. Teams can use native generative AI workflows to get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complete visibility into any asset to understand the asset’s state and take quick actions across the Enterprise to rapidly resolve issues.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Generative AI</w:t>
      </w:r>
    </w:p>
    <w:p>
      <w:pPr>
        <w:spacing w:after="0" w:line="179" w:lineRule="exact"/>
        <w:rPr>
          <w:sz w:val="20"/>
          <w:szCs w:val="20"/>
          <w:color w:val="auto"/>
        </w:rPr>
      </w:pPr>
    </w:p>
    <w:p>
      <w:pPr>
        <w:ind w:left="760" w:right="600" w:hanging="246"/>
        <w:spacing w:after="0" w:line="290" w:lineRule="auto"/>
        <w:tabs>
          <w:tab w:leader="none" w:pos="756"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Charlotte AI—Generative AI</w:t>
      </w:r>
      <w:r>
        <w:rPr>
          <w:rFonts w:ascii="Times New Roman" w:cs="Times New Roman" w:eastAsia="Times New Roman" w:hAnsi="Times New Roman"/>
          <w:sz w:val="14"/>
          <w:szCs w:val="14"/>
          <w:color w:val="auto"/>
        </w:rPr>
        <w:t>. Charlotte AI is a conversational assistant for security operations that can turn hours of work into minutes or seconds by harnessing the power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generative AI and natural language processing to help security analysts make faster, more accurate decisions with simple, plain language questions.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Application Development</w:t>
      </w:r>
    </w:p>
    <w:p>
      <w:pPr>
        <w:spacing w:after="0" w:line="179" w:lineRule="exact"/>
        <w:rPr>
          <w:sz w:val="20"/>
          <w:szCs w:val="20"/>
          <w:color w:val="auto"/>
        </w:rPr>
      </w:pPr>
    </w:p>
    <w:p>
      <w:pPr>
        <w:ind w:left="760" w:right="440" w:hanging="246"/>
        <w:spacing w:after="0" w:line="290" w:lineRule="auto"/>
        <w:tabs>
          <w:tab w:leader="none" w:pos="756"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Falcon Foundry —Application Development</w:t>
      </w:r>
      <w:r>
        <w:rPr>
          <w:rFonts w:ascii="Times New Roman" w:cs="Times New Roman" w:eastAsia="Times New Roman" w:hAnsi="Times New Roman"/>
          <w:sz w:val="14"/>
          <w:szCs w:val="14"/>
          <w:color w:val="auto"/>
        </w:rPr>
        <w:t>. The Falcon Foundry no-code application development platform allows customers to quickly create their own apps to solve custom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security and IT use-cases with full access to CrowdStrike’s data, threat intelligence, automation, and cloud-scale infrastructure.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Bringing CrowdStrike to the Market</w:t>
      </w:r>
    </w:p>
    <w:p>
      <w:pPr>
        <w:spacing w:after="0" w:line="181"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We primarily sell the Falcon platform through our direct sales team that leverages our network of channel partners to maximize effectiveness and scale. We have a low friction land-and-expand sales strategy. Key elements of our growth strategy include: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60" w:hanging="246"/>
        <w:spacing w:after="0" w:line="258" w:lineRule="auto"/>
        <w:tabs>
          <w:tab w:leader="none" w:pos="75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b w:val="1"/>
          <w:bCs w:val="1"/>
          <w:color w:val="auto"/>
        </w:rPr>
        <w:t xml:space="preserve">Growing Our Customer Base by Replacing Legacy and Other Endpoint Security Products. </w:t>
      </w:r>
      <w:r>
        <w:rPr>
          <w:rFonts w:ascii="Times New Roman" w:cs="Times New Roman" w:eastAsia="Times New Roman" w:hAnsi="Times New Roman"/>
          <w:sz w:val="14"/>
          <w:szCs w:val="14"/>
          <w:color w:val="auto"/>
        </w:rPr>
        <w:t>Given the limitations of existing legacy and other endpoint security products, many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organizations are replacing their existing legacy and other endpoint security products with our Falcon platform. We grew our subscription customer base by 5,981 customers from 23,019 at January 31, 2023, to 29,000 at January 31, 2024, representing a 26% increase. We will continue to invest in customer acquisition programs, including our channel partnerships and new programs, like our free trial program of Falcon Prevent that is easily downloaded from our website and AWS Marketplace.</w:t>
      </w:r>
    </w:p>
    <w:p>
      <w:pPr>
        <w:spacing w:after="0" w:line="142" w:lineRule="exact"/>
        <w:rPr>
          <w:rFonts w:ascii="Times New Roman" w:cs="Times New Roman" w:eastAsia="Times New Roman" w:hAnsi="Times New Roman"/>
          <w:sz w:val="16"/>
          <w:szCs w:val="16"/>
          <w:color w:val="auto"/>
        </w:rPr>
      </w:pPr>
    </w:p>
    <w:p>
      <w:pPr>
        <w:ind w:left="760" w:right="140" w:hanging="246"/>
        <w:spacing w:after="0" w:line="262"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Further Penetrating Existing Customers. </w:t>
      </w:r>
      <w:r>
        <w:rPr>
          <w:rFonts w:ascii="Times New Roman" w:cs="Times New Roman" w:eastAsia="Times New Roman" w:hAnsi="Times New Roman"/>
          <w:sz w:val="14"/>
          <w:szCs w:val="14"/>
          <w:color w:val="auto"/>
        </w:rPr>
        <w:t>Our growth will depend in part on our ability to continue to expand our relationships with our customers by deploying on additional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endpoints in their environment and cross-selling more cloud modules. When customers deploy our lightweight agent, they can easily add additional cloud modules. We also offer in-application trial usage of additional modules to cross-sell to existing customers. While some new customers initially deploy our Falcon platform broadly across the organization, others elect to deploy only in selected business units and later deploy on additional endpoints and subscribe to additional modules. Over time, we seek to deploy our solution enterprise-wide for all customers. The power of our land-and-expand strategy is evidenced by our 119% dollar-based net retention rate as of January 31, 2024.</w:t>
      </w:r>
    </w:p>
    <w:p>
      <w:pPr>
        <w:spacing w:after="0" w:line="139" w:lineRule="exact"/>
        <w:rPr>
          <w:rFonts w:ascii="Times New Roman" w:cs="Times New Roman" w:eastAsia="Times New Roman" w:hAnsi="Times New Roman"/>
          <w:sz w:val="14"/>
          <w:szCs w:val="14"/>
          <w:color w:val="auto"/>
        </w:rPr>
      </w:pPr>
    </w:p>
    <w:p>
      <w:pPr>
        <w:ind w:left="760" w:hanging="246"/>
        <w:spacing w:after="0" w:line="265"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Leveraging Our Falcon Platform to Enter New Markets. </w:t>
      </w:r>
      <w:r>
        <w:rPr>
          <w:rFonts w:ascii="Times New Roman" w:cs="Times New Roman" w:eastAsia="Times New Roman" w:hAnsi="Times New Roman"/>
          <w:sz w:val="14"/>
          <w:szCs w:val="14"/>
          <w:color w:val="auto"/>
        </w:rPr>
        <w:t>Because we leverage a single data model and open cloud architecture, we are uniquely positioned to continue innovating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rapidly deploying new cloud modules on our platform. For example, Falcon Discover includes use cases outside of security, such as application license management, AWS spend analysis, and asset inventory. Because our lightweight agent collects diverse endpoint data once for repeated use, we can expand our addressable market by rapidly adding new cloud modules that leverage this data. We intend to continue to develop new cloud modules for broader endpoint use cases.</w:t>
      </w:r>
    </w:p>
    <w:p>
      <w:pPr>
        <w:spacing w:after="0" w:line="137" w:lineRule="exact"/>
        <w:rPr>
          <w:rFonts w:ascii="Times New Roman" w:cs="Times New Roman" w:eastAsia="Times New Roman" w:hAnsi="Times New Roman"/>
          <w:sz w:val="14"/>
          <w:szCs w:val="14"/>
          <w:color w:val="auto"/>
        </w:rPr>
      </w:pPr>
    </w:p>
    <w:p>
      <w:pPr>
        <w:ind w:left="760" w:hanging="246"/>
        <w:spacing w:after="0" w:line="262"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Broadening Our Reach into New Customer Segments. </w:t>
      </w:r>
      <w:r>
        <w:rPr>
          <w:rFonts w:ascii="Times New Roman" w:cs="Times New Roman" w:eastAsia="Times New Roman" w:hAnsi="Times New Roman"/>
          <w:sz w:val="14"/>
          <w:szCs w:val="14"/>
          <w:color w:val="auto"/>
        </w:rPr>
        <w:t>While we initially targeted large sophisticated enterprises, we have expanded our go-to-market efforts to include customers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 sizes with a dedicated inside sales team focused on smaller organizations. We also released Falcon Complete in 2018, our turnkey solution that combines the most popular cloud modules of our Falcon platform with our remediation and response capabilities, to create a solution for customers with limited or no internal security expertise. As a result, we can sell our Falcon platform to the largest enterprises or smallest businesses with any level of security sophistication and budget. We continue to look for new ways to broaden our reach into new customer segments.</w:t>
      </w:r>
    </w:p>
    <w:p>
      <w:pPr>
        <w:spacing w:after="0" w:line="139" w:lineRule="exact"/>
        <w:rPr>
          <w:rFonts w:ascii="Times New Roman" w:cs="Times New Roman" w:eastAsia="Times New Roman" w:hAnsi="Times New Roman"/>
          <w:sz w:val="14"/>
          <w:szCs w:val="14"/>
          <w:color w:val="auto"/>
        </w:rPr>
      </w:pPr>
    </w:p>
    <w:p>
      <w:pPr>
        <w:ind w:left="760" w:hanging="246"/>
        <w:spacing w:after="0" w:line="258"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Broadening Our Reach into U.S. Public Sector Verticals. </w:t>
      </w:r>
      <w:r>
        <w:rPr>
          <w:rFonts w:ascii="Times New Roman" w:cs="Times New Roman" w:eastAsia="Times New Roman" w:hAnsi="Times New Roman"/>
          <w:sz w:val="14"/>
          <w:szCs w:val="14"/>
          <w:color w:val="auto"/>
        </w:rPr>
        <w:t>We continue to invest heavily in the acquisition of customers in the U.S. federal government as well as the state, local,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higher education verticals. Our platform is authorized by several federal agencies via the Federal Risk and Authorization Management Program (“FedRAMP”). Additionally, Department of Defense organizations can rely upon CrowdStrike’s Impact Level 5 provisional authorization to satisfy their cloud-based security requirements. To further meet the compliance demands of the government, customers can elect to deploy the Falcon platform in the AWS GovCloud. We have also successfully been embedded into several strategic government-wide cybersecurity programs and contracts, such as the Department of Homeland Security’s Continuous Diagnostics and Mitigation Approved Products List, which serves to provide federal agencies with innovative security tools. As a result, the Cybersecurity and Infrastructure Security Agency has leveraged a significant investment in our platform to support modernization efforts within the Federal Civilian Executive Branch. Further evidence of our progress into these critical markets is demonstrated by virtue of fact that 25 of the 50 U.S. states have standardized on CrowdStrike’s platform at the enterprise level.</w:t>
      </w:r>
    </w:p>
    <w:p>
      <w:pPr>
        <w:spacing w:after="0" w:line="143" w:lineRule="exact"/>
        <w:rPr>
          <w:rFonts w:ascii="Times New Roman" w:cs="Times New Roman" w:eastAsia="Times New Roman" w:hAnsi="Times New Roman"/>
          <w:sz w:val="14"/>
          <w:szCs w:val="14"/>
          <w:color w:val="auto"/>
        </w:rPr>
      </w:pPr>
    </w:p>
    <w:p>
      <w:pPr>
        <w:ind w:left="760" w:right="100" w:hanging="246"/>
        <w:spacing w:after="0" w:line="271"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Expanding Our International Footprint. </w:t>
      </w:r>
      <w:r>
        <w:rPr>
          <w:rFonts w:ascii="Times New Roman" w:cs="Times New Roman" w:eastAsia="Times New Roman" w:hAnsi="Times New Roman"/>
          <w:sz w:val="14"/>
          <w:szCs w:val="14"/>
          <w:color w:val="auto"/>
        </w:rPr>
        <w:t>We are expanding our international operations and intend to invest globally to broaden our international footprint. We grew our international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 from $677.7 million for fiscal 2023 to $967.5 million for fiscal 2024, representing an increase of 43%. We intend to grow our international customer base by increasing our investments in our overseas operations, including adding headcount in Europe, the Middle East, Asia-Pacific, including Japan, and expanding data centers overseas.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right="40" w:hanging="246"/>
        <w:spacing w:after="0" w:line="265"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Extending Our Falcon Platform and Ecosystem. </w:t>
      </w:r>
      <w:r>
        <w:rPr>
          <w:rFonts w:ascii="Times New Roman" w:cs="Times New Roman" w:eastAsia="Times New Roman" w:hAnsi="Times New Roman"/>
          <w:sz w:val="14"/>
          <w:szCs w:val="14"/>
          <w:color w:val="auto"/>
        </w:rPr>
        <w:t>We designed our architecture to be open, interoperable, and highly extensible. We launched the CrowdStrike Store, the first open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cloud-based application PaaS for cybersecurity, which allows customers to purchase CrowdStrike products and provides an ecosystem of trusted partners and applications for our customers to choose from. We plan to continue investing in the CrowdStrike Store to empower our partners by making it easier to build applications and to enable our customers to more easily discover, try, and purchase additional cloud modules from both trusted partners and us.</w:t>
      </w:r>
    </w:p>
    <w:p>
      <w:pPr>
        <w:spacing w:after="0" w:line="140"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We have experienced significant growth, with revenue increasing from $2.2 billion in fiscal 2023 to $3.1 billion in fiscal 2024, representing year-over-year growth of 36%, and from $1.5 billion in fiscal 2022 to $2.2 billion in fiscal 2023, representing year-over-year growth of 54%. Subscription revenue grew from $2.1 billion in fiscal 2023 to $2.9 billion in fiscal 2024, a 36% increase, and from $1.4 billion in fiscal 2022 to $2.1 billion in fiscal 2023, a 55% increase. Our Annual Recurring Revenue (“ARR”) has grown from $2.6 billion as of January 31, 2023 to $3.4 billion as of January 31, 2024, a 34% increase, and from $1.7 billion as of January 31, 2022 to $2.6 billion as of January 31, 2023, a 48% increase. We had net income of $89.3 million in fiscal 2024, and net losses of $183.2 million and $234.8 million in fiscal 2023 and fiscal 2022,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designed an innovative architecture from the ground up to overcome the limitations of existing security products and deliver cloud-based solutions. The key design principles of our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Falcon platform include:</w:t>
      </w:r>
    </w:p>
    <w:p>
      <w:pPr>
        <w:spacing w:after="0" w:line="162" w:lineRule="exact"/>
        <w:rPr>
          <w:sz w:val="20"/>
          <w:szCs w:val="20"/>
          <w:color w:val="auto"/>
        </w:rPr>
      </w:pPr>
    </w:p>
    <w:p>
      <w:pPr>
        <w:ind w:right="160" w:firstLine="255"/>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Cloud Native Architecture. </w:t>
      </w:r>
      <w:r>
        <w:rPr>
          <w:rFonts w:ascii="Times New Roman" w:cs="Times New Roman" w:eastAsia="Times New Roman" w:hAnsi="Times New Roman"/>
          <w:sz w:val="14"/>
          <w:szCs w:val="14"/>
          <w:color w:val="auto"/>
        </w:rPr>
        <w:t>We built the Falcon platform entirely in and for the cloud, enabling collection and analysis of a massive, crowdsourced dataset from all of our customers to stop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breaches. Our platform is designed to be redundant, resilient, and high-performing. Delivering security from the cloud enables agility, ease of use, and protection for workloads on a variety of endpoints wherever they are located. As customer adoption grows, the network effect of each additional endpoint added to the Falcon platform will amplify the breadth and depth of our dataset and intelligence.</w:t>
      </w:r>
    </w:p>
    <w:p>
      <w:pPr>
        <w:spacing w:after="0" w:line="138"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Falcon Agent. </w:t>
      </w:r>
      <w:r>
        <w:rPr>
          <w:rFonts w:ascii="Times New Roman" w:cs="Times New Roman" w:eastAsia="Times New Roman" w:hAnsi="Times New Roman"/>
          <w:sz w:val="14"/>
          <w:szCs w:val="14"/>
          <w:color w:val="auto"/>
        </w:rPr>
        <w:t>We designed an intelligent lightweight agent that is installed on each endpoint or cloud workload. This agent incorporates identification and prevention of known and unknown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malware and fileless attacks using machine learning, AI, exploit blocking, and advanced behavioral techniques, to protect workloads across all endpoints while capturing and recording high fidelity endpoint data. Our agent is capable of acting autonomously and continues to collect data and protect workloads running on endpoints even when offline. The agent recommences transmitting data to our Falcon platform when the connection to the cloud has been re-established. Our lightweight agent is built to support Windows, Mac, and Linux operating systems. The agent is hardened against attacks and uses a combination of kernel and user-mode modules to collect and transmit high fidelity endpoint events as they take place on a system. It correlates these events using a local situational model on the endpoint, analyzes via agent-based AI models and is capable of taking a variety of preventative and responsive actions on the endpoint, either automatically or via human control. Events are streamed by the agent to the cloud in real time in order to be further analyzed in the Threat Graph, where additional correlation and AI algorithms can be applied. The agent is also capable of being remotely reconfigured in real time based on analytics in our cloud platform to collect and analyze different events or take other actions as risk and threat postures change.</w:t>
      </w:r>
    </w:p>
    <w:p>
      <w:pPr>
        <w:spacing w:after="0" w:line="143"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Threat Graph. </w:t>
      </w:r>
      <w:r>
        <w:rPr>
          <w:rFonts w:ascii="Times New Roman" w:cs="Times New Roman" w:eastAsia="Times New Roman" w:hAnsi="Times New Roman"/>
          <w:sz w:val="14"/>
          <w:szCs w:val="14"/>
          <w:color w:val="auto"/>
        </w:rPr>
        <w:t>Threat Graph is our proprietary, powerful, scalable, and dynamic graph database. Threat Graph continually looks for malicious activity by combining AI with behavioral pattern-matching techniques to look beyond file features and track the behaviors of every OS process and software program executed on an endpoint in a customer’s network environment. By applying powerful graph analytics and AI algorithms to cybersecurity, we enrich the data collected with our proprietary and third-party threat intelligence, such as adversary capabilities, motivations, attributions, and threat indicators. The graph data model allows our AI algorithms to identify relationships between events that are not directly related but which could indicate an attack that would otherwise remain undetected. We believe that our AI algorithms are advantaged by the rich proprietary dataset that we use to train them. Threat Graph provides customers with complete real time and historical visibility and insight into events occurring on their endpoints for hunting and searching, even if the endpoint is unreachable or no longer exists.</w:t>
      </w:r>
    </w:p>
    <w:p>
      <w:pPr>
        <w:spacing w:after="0" w:line="144"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Threat Graph also provides query and hunting capability over the full set of high fidelity events collected in the graph. This correlated data, natively represented in a graph structure, enables new products and cloud modules to be created rapidly since the platform provides the visibility, collection, correlation, and actions over data as reusable building blocks. This collect-once, use repeatedly approach is the reason why we have been able to deliver new cloud modules covering IT hygiene and vulnerability management quickly and enables us to continue expanding the Falcon platform rapidly in the future.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8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Intel Graph. </w:t>
      </w:r>
      <w:r>
        <w:rPr>
          <w:rFonts w:ascii="Times New Roman" w:cs="Times New Roman" w:eastAsia="Times New Roman" w:hAnsi="Times New Roman"/>
          <w:sz w:val="14"/>
          <w:szCs w:val="14"/>
          <w:color w:val="auto"/>
        </w:rPr>
        <w:t>Intel Graph analyzes and correlates massive amounts of data on adversaries, their victims and their tools, providing extraordinary insights into shifting adversary tactics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techniques, powering our adversary-focused approach with world-class threat intelligence.</w:t>
      </w:r>
    </w:p>
    <w:p>
      <w:pPr>
        <w:spacing w:after="0" w:line="120" w:lineRule="exact"/>
        <w:rPr>
          <w:sz w:val="20"/>
          <w:szCs w:val="20"/>
          <w:color w:val="auto"/>
        </w:rPr>
      </w:pPr>
    </w:p>
    <w:p>
      <w:pPr>
        <w:ind w:right="180"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Asset Graph. </w:t>
      </w:r>
      <w:r>
        <w:rPr>
          <w:rFonts w:ascii="Times New Roman" w:cs="Times New Roman" w:eastAsia="Times New Roman" w:hAnsi="Times New Roman"/>
          <w:sz w:val="14"/>
          <w:szCs w:val="14"/>
          <w:color w:val="auto"/>
        </w:rPr>
        <w:t>Asset Graph dynamically monitors and tracks the complex interactions among enterprise entities, providing a single holistic view of the risks those assets pose. Asset Graph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provides graph visualizations of the relationships among entities and assets such as devices, users, accounts, cloud workloads, along with the rich context necessary for proper security hygiene and proactive security posture management to reduce risk in their organizations.</w:t>
      </w:r>
    </w:p>
    <w:p>
      <w:pPr>
        <w:spacing w:after="0" w:line="134"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High Fidelity Data and Smart Filtering. </w:t>
      </w:r>
      <w:r>
        <w:rPr>
          <w:rFonts w:ascii="Times New Roman" w:cs="Times New Roman" w:eastAsia="Times New Roman" w:hAnsi="Times New Roman"/>
          <w:sz w:val="14"/>
          <w:szCs w:val="14"/>
          <w:color w:val="auto"/>
        </w:rPr>
        <w:t>The presence of a local graph model in our agent enables it to track the state of the machine in real time, perform rapid machine learning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behavioral analysis, and provide efficient event streaming to the cloud. We call this “smart filtering.” This allows us to keep performance overhead on the endpoint to a minimum, dramatically reduce the bandwidth required for agent-cloud communication, efficiently process large volumes of data, and separate signals from noise. The Falcon agent collects and analyzes unfiltered data with local machine learning and behavioral algorithms on the endpoint but only streams high fidelity endpoint events to the cloud to just send what is necessary for detection, prevention and investigation of attacks. This smart filtering architecture allows us to reduce network load for our customers. The Falcon platform collects an array of high fidelity endpoint events, such as code execution, network, file system and user activity. This information can be used for a variety of use cases beyond security, such as IT operations and vulnerability management.</w:t>
      </w:r>
    </w:p>
    <w:p>
      <w:pPr>
        <w:spacing w:after="0" w:line="142"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Management Interface. </w:t>
      </w:r>
      <w:r>
        <w:rPr>
          <w:rFonts w:ascii="Times New Roman" w:cs="Times New Roman" w:eastAsia="Times New Roman" w:hAnsi="Times New Roman"/>
          <w:sz w:val="14"/>
          <w:szCs w:val="14"/>
          <w:color w:val="auto"/>
        </w:rPr>
        <w:t>The Falcon platform management interface gives customers an intuitive and informative view of their complete environment, with timely alerts and detailed search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capabilities. We provide real-time endpoint and cloud workload visibility to allow customers to review details and respond to threats instantly and effectively, from anywhere, and maintain an index of these events for future use.</w:t>
      </w:r>
    </w:p>
    <w:p>
      <w:pPr>
        <w:spacing w:after="0" w:line="134" w:lineRule="exact"/>
        <w:rPr>
          <w:sz w:val="20"/>
          <w:szCs w:val="20"/>
          <w:color w:val="auto"/>
        </w:rPr>
      </w:pPr>
    </w:p>
    <w:p>
      <w:pPr>
        <w:ind w:right="400" w:firstLine="255"/>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APIs and Integrations. </w:t>
      </w:r>
      <w:r>
        <w:rPr>
          <w:rFonts w:ascii="Times New Roman" w:cs="Times New Roman" w:eastAsia="Times New Roman" w:hAnsi="Times New Roman"/>
          <w:sz w:val="14"/>
          <w:szCs w:val="14"/>
          <w:color w:val="auto"/>
        </w:rPr>
        <w:t>Our Falcon platform and architecture is built around a rich set of APIs that efficiently and effectively complement and expand a customer’s existing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infrastructure, such as security information event management, or SIEMs, intrusion prevention systems and intrusion detection systems. The platform includes streaming, query and batch APIs allowing customers and partners to integrate a variety of solutions seamlessly. It also includes rich management and control APIs. The platform allows third parties to develop additional cloud modules and features, furthering the power of the Falcon platform. By connecting existing security systems to the Falcon platform, we allow our customers to further leverage their security investments.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Data Center Operations</w:t>
      </w:r>
    </w:p>
    <w:p>
      <w:pPr>
        <w:spacing w:after="0" w:line="181"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We have data center co-location facilities throughout the United States and in Europe, and we also utilize third-party data centers located in the United States and Europe. Our technology infrastructure, combined with select use of third-party resources, provides us with a distributed, resilient and scalable architecture on a global scale.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Professional Services</w:t>
      </w:r>
    </w:p>
    <w:p>
      <w:pPr>
        <w:spacing w:after="0" w:line="18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In addition to our Falcon platform and cloud modules, we also offer incident response, forensic investigatory, and breach recovery services; technical assessment and strategic advisory services; as well as training to assist organizations that have experienced a breach or who are assessing their security posture and ability to respond to breaches.</w:t>
      </w:r>
    </w:p>
    <w:p>
      <w:pPr>
        <w:spacing w:after="0" w:line="122" w:lineRule="exact"/>
        <w:rPr>
          <w:sz w:val="20"/>
          <w:szCs w:val="20"/>
          <w:color w:val="auto"/>
        </w:rPr>
      </w:pPr>
    </w:p>
    <w:p>
      <w:pPr>
        <w:ind w:left="760" w:hanging="246"/>
        <w:spacing w:after="0" w:line="258" w:lineRule="auto"/>
        <w:tabs>
          <w:tab w:leader="none" w:pos="756"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color w:val="auto"/>
        </w:rPr>
        <w:t xml:space="preserve">Incident Response, Forensics, and Recovery Services. </w:t>
      </w:r>
      <w:r>
        <w:rPr>
          <w:rFonts w:ascii="Times New Roman" w:cs="Times New Roman" w:eastAsia="Times New Roman" w:hAnsi="Times New Roman"/>
          <w:sz w:val="14"/>
          <w:szCs w:val="14"/>
          <w:color w:val="auto"/>
        </w:rPr>
        <w:t>Our incident response services typically begin by deploying our lightweight agent to a customer’s endpoints or cloud workloads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provide comprehensive visibility in order to determine if an attacker is currently in the environment, what assets have been compromised, and how much damage has been done. In addition to enriching the response team’s understanding of the attack, the full suite of Falcon platform’s next-gen prevention capabilities, cloud security, exposure management, and identity protection offerings can also be leveraged to help to slow down and prevent an active attacker from moving at-will throughout a compromised customer’s environment, increasing the risk and potential damage to the customer. We also provide customized surgical recovery services by providing the tools and staffing to eject attackers out of the network, lock down credentials from further use, remediate impacted systems and ensure adversaries stay out. In addition to providing valuable breach remediation to our customers, our incident response services also act as a strong lead generation engine for our Falcon platform and cloud modules. After experiencing the benefits of our platform firsthand, many of our incident response customers become subscription customers.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right="40" w:hanging="246"/>
        <w:spacing w:after="0" w:line="258" w:lineRule="auto"/>
        <w:tabs>
          <w:tab w:leader="none" w:pos="756"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color w:val="auto"/>
        </w:rPr>
        <w:t>Technical Assessment and Strategic Advisory Services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proactive security services include technical assessment services designed to help organizations understand their cyber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maturity levels. These services include both endpoint and cloud workload compromise assessments, cybersecurity maturity assessments, security program in-depth assessments, service organization control assessments, IT hygiene assessments, and active directory security assessments. We also advise customers on readiness and preparation through the execution of table-top exercises, live fire exercises, red team/blue team assessments, and advanced adversary emulation exercises. These services are designed to evaluate our customers’ security profile so they can identify areas of vulnerability, secure their network, and improve their response if their defenses are breached. Our services also align to executive and board level cybersecurity training and awareness, including by helping public companies more confidently comply with public disclosure requirements relating to assessing, identifying and managing material cybersecurity risks, and reporting material cyber incidents. Our programs are designed to help organizations effectively achieve cybersecurity risk reduction objectives and to maximize investments.</w:t>
      </w:r>
    </w:p>
    <w:p>
      <w:pPr>
        <w:spacing w:after="0" w:line="143" w:lineRule="exact"/>
        <w:rPr>
          <w:rFonts w:ascii="Times New Roman" w:cs="Times New Roman" w:eastAsia="Times New Roman" w:hAnsi="Times New Roman"/>
          <w:sz w:val="14"/>
          <w:szCs w:val="14"/>
          <w:i w:val="1"/>
          <w:iCs w:val="1"/>
          <w:color w:val="auto"/>
        </w:rPr>
      </w:pPr>
    </w:p>
    <w:p>
      <w:pPr>
        <w:ind w:left="760" w:hanging="246"/>
        <w:spacing w:after="0" w:line="262" w:lineRule="auto"/>
        <w:tabs>
          <w:tab w:leader="none" w:pos="756"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color w:val="auto"/>
        </w:rPr>
        <w:t xml:space="preserve">Training. </w:t>
      </w:r>
      <w:r>
        <w:rPr>
          <w:rFonts w:ascii="Times New Roman" w:cs="Times New Roman" w:eastAsia="Times New Roman" w:hAnsi="Times New Roman"/>
          <w:sz w:val="14"/>
          <w:szCs w:val="14"/>
          <w:color w:val="auto"/>
        </w:rPr>
        <w:t>We offer training and certification services to customers and partners on CrowdStrike technologies and cybersecurity topics to facilitate the adoption of CrowdStrike and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broaden and deepen their skills. CrowdStrike University is an online learning management system that organizes all CrowdStrike e-learning, instructor-led training and certification preparation courses in one place, providing a personalized learning experience for individuals who have an active training subscription. CrowdStrike currently offers proctored exam certifications through industry leading training partner Pearson Vue for its CrowdStrike Certified Falcon Administrator, CrowdStrike Certified Falcon Responder, CrowdStrike Certified Falcon Hunter, CrowdStrike Certified Cloud Specialist, and CrowdStrike Certified Identity Specialist programs.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Some of the world’s largest enterprises, government organizations, and high profile brands trust us to protect their business. As of January 31, 2024, we had 29,000 subscription customers worldwide. Historically, we and our channel partners have primarily sold to large organizations, but have increasingly focused on selling to small and medium-sized businesses, particularly through our trial-to-pay model. We engage our customers through our global customer and technical advisory boards in which we solicit feedback from our customers on a regular basis allowing us to understand their evolving needs. We have used this feedback to develop new cloud modules, such as Falcon FileVantage, and we intend to continue to develop new cloud modules based on our customer’s feedback. Our business is not dependent on any particular end customer.</w:t>
      </w: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sales and marketing organizations work together closely to drive market awareness, build a strong sales pipeline and cultivate customer relationships to drive revenue growth.</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Sales</w:t>
      </w:r>
    </w:p>
    <w:p>
      <w:pPr>
        <w:spacing w:after="0" w:line="18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primarily sell subscriptions to our Falcon platform and cloud modules through our world-class, global sales team, which is comprised of field sales and inside sales professionals who are segmented by a customer’s organizational size. Our sales team also leverages a powerful go-to-market sales motion with our vast ecosystem of channel and alliances partners. We also use our sales team to identify current customers who may be interested in free trials of additional cloud modules, which serves as a powerful driver of our land and expand model. By segmenting our sales teams, we can deploy a low-touch sales model that efficiently identifies prospective customers.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181" w:lineRule="exact"/>
        <w:rPr>
          <w:sz w:val="20"/>
          <w:szCs w:val="20"/>
          <w:color w:val="auto"/>
        </w:rPr>
      </w:pPr>
    </w:p>
    <w:p>
      <w:pPr>
        <w:ind w:right="300" w:firstLine="255"/>
        <w:spacing w:after="0" w:line="259" w:lineRule="auto"/>
        <w:rPr>
          <w:sz w:val="20"/>
          <w:szCs w:val="20"/>
          <w:color w:val="auto"/>
        </w:rPr>
      </w:pPr>
      <w:r>
        <w:rPr>
          <w:rFonts w:ascii="Times New Roman" w:cs="Times New Roman" w:eastAsia="Times New Roman" w:hAnsi="Times New Roman"/>
          <w:sz w:val="14"/>
          <w:szCs w:val="14"/>
          <w:color w:val="auto"/>
        </w:rPr>
        <w:t>Our marketing organization is focused on building our brand reputation, increasing the awareness and reputation of our platform, and driving customer demand. As part of these efforts, we deliver targeted content to demonstrate thought leadership in the security industry, including speaking engagements with the security industry’s foremost organizations to provide expert advice, issuing regular reports on the state of the industry, educating the public about cybersecurity threats, and identifying and naming adversary groups. We also engage in paid media, web marketing, industry and trade conferences (including our annual Fal.Con conference), analyst engagements, whitepaper development, demand generation via digital and web, and targeted displacement campaigns. We employ a wide range of digital programs, including search engine marketing, online and social media initiatives, and content syndication to increase traffic to our website and encourage prospective customers to sign up for a</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free trial of the Falcon platform. Additionally, we engage in joint marketing activities with our channel and technology alliance partners.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Partnership Ecosystem</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work with a number of technology alliance partners to design go-to-market strategies that combine our platform with products or services provided by our technology alliance partners. These partner integrations deliver more secure solutions and an improved end user experience to their customers. Our technology alliance partnerships focus on security analytics, network and infrastructure security, threat platforms and orchestration, and automation. We launched the CrowdStrike Store, the first open cloud-based application PaaS for cybersecurity and the industry’s first unified security cloud ecosystem of trusted third-party applications. In addition, Falcon for AWS, available in the AWS Marketplace, allows customers to easily purchase and take advantage of the metered billing (pay-as-you-go) pricing option to scale their consumption as their business needs change.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81"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Our research and development organizations are responsible for the design, architecture, operation and quality of our cloud native Falcon platform. In addition, the research and development organizations work closely with our customer success teams to promote customer satisfaction.</w:t>
      </w:r>
    </w:p>
    <w:p>
      <w:pPr>
        <w:spacing w:after="0" w:line="124"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Our success is a result of our continuous drive for innovation. Our internal team of security experts, researchers, intelligence analysts, and threat hunters continuously analyzes the evolving global threat landscape to develop products that defend against today’s most sophisticated and stealthy attacks and report on emerging security issues. We invest substantial resources in research and development to enhance our Falcon platform, and develop new cloud modules, features and functionality. We believe timely development of new, and enhancement of our existing products, services, and features is essential to maintaining our competitive position. We work closely with our customers and channel partners to gain valuable insight into their security management practices to assist us in designing new cloud modules and features that extend the capability of our platform. Our technical staff monitors and tests our software on a regular basis, and we also make our Falcon platform available for third-party validation. We also maintain a regular release process to update and enhance our existing solutions. In addition, we engage security consulting firms to perform periodic vulnerability analysis of our solutions.</w:t>
      </w:r>
    </w:p>
    <w:p>
      <w:pPr>
        <w:spacing w:after="0" w:line="147"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Our research and development leadership team is located in Seattle, Washington and Sunnyvale, California. We also maintain research and development centers in Irvine, California, Minneapolis, Minnesota, Bucharest, Romania, Israel and India. We employ subject matter experts in a number of jurisdictions around the world. We plan to continue to dedicate significant resources to research and development.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1"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We primarily compete with established and emerging security product vendors. While the market for traditional endpoint and IT operations solutions has historically been intensely competitive, we believe that the architecture of our cloud-native, single agent platform fundamentally differentiates us compared to both next-gen and legacy competitors in the security industry. Additionally, as we look to enter into adjacent markets and expand our total addressable market, we may face new competitors. However, we do not believe any of our competitors currently have a true platform offering equivalent to the Falcon platform, which can be leveraged to win in legacy markets and define new categories.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competitors currently include the following by general category:</w:t>
      </w:r>
    </w:p>
    <w:p>
      <w:pPr>
        <w:spacing w:after="0" w:line="179" w:lineRule="exact"/>
        <w:rPr>
          <w:sz w:val="20"/>
          <w:szCs w:val="20"/>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antivirus product providers who offer a broad range of approaches and solutions including traditional signature-based antivirus protection;</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endpoint security providers who generally offer a mix of on-premises and cloud-hosted products that rely heavily on malware-only or application whitelisting techniques;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security vendors who are supplementing their core perimeter-based offerings with endpoint or cloud security solutions;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cloud security vendors, including those who focus on public cloud infrastructure and services;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security vendors that seek to identify and secure user accounts and related activities;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service providers who offer cybersecurity response services.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compete on the basis of a number of factors, including but not limited to our:</w:t>
      </w:r>
    </w:p>
    <w:p>
      <w:pPr>
        <w:spacing w:after="0" w:line="179" w:lineRule="exact"/>
        <w:rPr>
          <w:sz w:val="20"/>
          <w:szCs w:val="20"/>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offer a unified and modular platform that enables rapid innovation, scaling, and deployment;</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identify security threats and prevent security breaches;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integrate with other participants in the security ecosystem;</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to value, price, and total cost of ownership;</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 awareness, reputation, and trust in the provider’s services;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 of sales, marketing, and channel partner relationships;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support, incident response, and proactive services.</w:t>
      </w:r>
    </w:p>
    <w:p>
      <w:pPr>
        <w:spacing w:after="0" w:line="17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Although certain of our competitors enjoy greater resources, recognition, deeper customer relationships, larger existing customer bases, or more mature intellectual property portfolios, we believe that we compete favorably with respect to these factors and that we are well positioned as a leading provider of endpoint and workload security solutions.</w:t>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1"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140"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We continue to grow our global portfolio of intellectual property rights in connection with our products, services, research and development, and other activities to protect our proprietary technology relevant to our business. We file patent applications to protect our intellectual property and believe that the duration of our issued patents is sufficient when considering the expected lives of our products. We intend to continue pursuing additional intellectual property protection to the extent we believe it would be beneficial and cost-effective. Despite our efforts to protect our intellectual property rights, they may not be respected in the future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or other third-parties may also claim that our security platform and other solutions infringe their intellectual property rights. In particular, some companies in our industry have extensive patent portfolios. From time to time, third parties have in the past and may in the future assert claims of infringement, misappropriation and other violations of intellectual property rights against us or our customers, with whom our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 Factors—Risks Related to Intellectual Property, Legal, and Regulatory Matters—The success of our business depends in part on our ability to protect and enforce our intellectual property rights.”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81"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consolidated financial statements, and are considered by us to be backlog. As of January 31, 2024, we had backlog of approximately $1.5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81" w:lineRule="exact"/>
        <w:rPr>
          <w:sz w:val="20"/>
          <w:szCs w:val="20"/>
          <w:color w:val="auto"/>
        </w:rPr>
      </w:pPr>
    </w:p>
    <w:p>
      <w:pPr>
        <w:ind w:right="320" w:firstLine="255"/>
        <w:spacing w:after="0" w:line="270" w:lineRule="auto"/>
        <w:rPr>
          <w:sz w:val="20"/>
          <w:szCs w:val="20"/>
          <w:color w:val="auto"/>
        </w:rPr>
      </w:pPr>
      <w:r>
        <w:rPr>
          <w:rFonts w:ascii="Times New Roman" w:cs="Times New Roman" w:eastAsia="Times New Roman" w:hAnsi="Times New Roman"/>
          <w:sz w:val="14"/>
          <w:szCs w:val="14"/>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1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January 31, 2024, we had 7,925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Attraction, Retention, and Talent Development</w:t>
      </w:r>
    </w:p>
    <w:p>
      <w:pPr>
        <w:spacing w:after="0" w:line="181"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Supporting our people is a foundational value for CrowdStrike. We believe the company’s success depends on our ability to attract, retain and develop employees. The skills, experience and industry knowledge of key employees significantly benefit our customers, operations and our overall company performance.</w:t>
      </w:r>
    </w:p>
    <w:p>
      <w:pPr>
        <w:spacing w:after="0" w:line="124"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Our talent sourcing is aligned to our organizational strategy to provide the expertise and skills needed to move our mission forward. We have created a high performance talent model that pinpoints the top traits and qualities we look for in talent and that may already exist within the organization, then consistently use that model to develop interview questions, screen candidates, and make hiring decisions.</w:t>
      </w:r>
    </w:p>
    <w:p>
      <w:pPr>
        <w:spacing w:after="0" w:line="136"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We continue to market to and recruit technical talent in diverse communities by engaging as a high-level sponsor or partner of professional conferences and organizations such as Grace Hopper, Women in Cyber Security, AfroTech, American Corporate Partners, American Indian Science and Engineering Society, Out in Tech, and others.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attract high performers, we have a team dedicated to building and promoting our employer brand focused on creating a strong employer value proposition:</w:t>
      </w:r>
    </w:p>
    <w:p>
      <w:pPr>
        <w:spacing w:after="0" w:line="179" w:lineRule="exact"/>
        <w:rPr>
          <w:sz w:val="20"/>
          <w:szCs w:val="20"/>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pay and benefits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Flexible working arrangements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Role and task diversity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development opportunities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Organizational reputation and culture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460" w:firstLine="255"/>
        <w:spacing w:after="0" w:line="270" w:lineRule="auto"/>
        <w:rPr>
          <w:sz w:val="20"/>
          <w:szCs w:val="20"/>
          <w:color w:val="auto"/>
        </w:rPr>
      </w:pPr>
      <w:r>
        <w:rPr>
          <w:rFonts w:ascii="Times New Roman" w:cs="Times New Roman" w:eastAsia="Times New Roman" w:hAnsi="Times New Roman"/>
          <w:sz w:val="14"/>
          <w:szCs w:val="14"/>
          <w:color w:val="auto"/>
        </w:rPr>
        <w:t>We provide robust compensation and benefits programs to help meet the needs of our employees. In addition to base salary, these programs (which vary by country/region) include annual bonuses or commission plans, equity awards, an employee stock purchase plan, a 401(k) plan or pension schemes internationally, healthcare and insurance benefits, health savings and flexible spending accounts, paid time off, family leave, family care resources, flexible work schedules, adoption and infertility assistance, and employee assistance programs.</w:t>
      </w:r>
    </w:p>
    <w:p>
      <w:pPr>
        <w:spacing w:after="0" w:line="136"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invest resources to develop the talent needed to remain a leader in cybersecurity. We deliver numerous training opportunities, provide rotational assignment opportunities, have expanded our focus on continuous learning and development, and implemented new methodologies to manage performance, provide feedback, and develop talent.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Distributed Workforce</w:t>
      </w:r>
    </w:p>
    <w:p>
      <w:pPr>
        <w:spacing w:after="0" w:line="181"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For CrowdStrike, the ability to work remotely or in a hybrid arrangement is a deliberate strategy that we believe fuels rapid innovation and helps us attract, hire and retain the best and brightest around the world, regardless of their specific location. Our culture is purpose-built around this ability, creating a competitive advantage for both the company and its customers and minimizing disruption from localized issues such as natural disasters, political events, or health emergencies.</w:t>
      </w:r>
    </w:p>
    <w:p>
      <w:pPr>
        <w:spacing w:after="0" w:line="136"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CrowdStrike has had a distributed workforce since its inception. While working remotely has its advantages, we also believe that building community and engagement happens at a faster pace when people can come together.</w:t>
      </w:r>
    </w:p>
    <w:p>
      <w:pPr>
        <w:spacing w:after="0" w:line="12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Since the beginning, we recognized that creating high-functioning, effective remote and hybrid teams would require careful planning and system design to not only establish the culture but help it grow and evolve organically. We have designed our processes, systems, and teams so that most employees can perform their jobs without needing to be physically present in the same room or even in the same time zone. Part of supporting our remote and hybrid culture also involves actively encouraging personal well-being through initiatives, including wellness programs, engagement programs (speaker series, employee resource groups, gift exchanges, mentorship opportunities, virtual events, etc.), community outreach activities, recognition programs, and groups to connect people, no matter where they are geographically, with similar interests, life circumstances or backgrounds. We continue to find ways to bring our employees together to build community and camaraderie.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Diversity, Equity, and Inclusion</w:t>
      </w:r>
    </w:p>
    <w:p>
      <w:pPr>
        <w:spacing w:after="0" w:line="181"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A diverse, equitable, and inclusive culture fuels creative excellence and innovation, helping people achieve their best work. We continue to strive to advance our efforts to build an equitable workplace and formally establish it as part of CrowdStrike’s mission and organization.</w:t>
      </w:r>
    </w:p>
    <w:p>
      <w:pPr>
        <w:spacing w:after="0" w:line="124"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We strive to create an environment where everyone feels seen, heard, and empowered to succeed. Through employee resource groups, internal training and development programs, allyship training, speaker series, and networking opportunities, we are empowered to come together to create a workplace that reflects the diverse communities around us.</w:t>
      </w:r>
    </w:p>
    <w:p>
      <w:pPr>
        <w:spacing w:after="0" w:line="124"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Setting a diverse workforce up for success requires a commitment to the practices of inclusion in everything we do. What a practice of inclusion means to us is that we are creating an environment and providing tools that help our people understand how to actively involve every employee’s ideas, knowledge, perspectives, approaches, and styles and how to engage all of our people via a mindful approach to organizational design and experiences that feels accessible and relevant to everyone.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Resource Groups</w:t>
      </w:r>
    </w:p>
    <w:p>
      <w:pPr>
        <w:spacing w:after="0" w:line="181"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Employee Resource Groups are an integral component of our commitment to foster community, promote a sense of belonging, facilitate organizational change, and drive a greater understanding of the diversity of perspectives we have across CrowdStrike. In addition to the Embracing Equity majority ally group, we have nine official Employee Resource Groups and Affiliate Groups, and we anticipate additional groups in the future:</w:t>
      </w:r>
    </w:p>
    <w:p>
      <w:pPr>
        <w:spacing w:after="0" w:line="136" w:lineRule="exact"/>
        <w:rPr>
          <w:sz w:val="20"/>
          <w:szCs w:val="20"/>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Women of CrowdStrike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Veterans of CrowdStrike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Pride Team (LGBTQ)</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Green Team (Sustainability)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Team BELIEVE (Black employees)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AbilityStrikers (Cognitive and physical disabilities)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Communidad (Latine and Hispanic employees)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Embracing Equity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Mazel (Jewish community)</w:t>
      </w:r>
    </w:p>
    <w:p>
      <w:pPr>
        <w:spacing w:after="0" w:line="179" w:lineRule="exact"/>
        <w:rPr>
          <w:sz w:val="20"/>
          <w:szCs w:val="20"/>
          <w:color w:val="auto"/>
        </w:rPr>
      </w:pPr>
    </w:p>
    <w:p>
      <w:pPr>
        <w:ind w:right="300" w:firstLine="255"/>
        <w:spacing w:after="0" w:line="270" w:lineRule="auto"/>
        <w:rPr>
          <w:sz w:val="20"/>
          <w:szCs w:val="20"/>
          <w:color w:val="auto"/>
        </w:rPr>
      </w:pPr>
      <w:r>
        <w:rPr>
          <w:rFonts w:ascii="Times New Roman" w:cs="Times New Roman" w:eastAsia="Times New Roman" w:hAnsi="Times New Roman"/>
          <w:sz w:val="14"/>
          <w:szCs w:val="14"/>
          <w:color w:val="auto"/>
        </w:rPr>
        <w:t>Our Employee Resource Groups are employee led, self-directed, voluntary groups that align with our organizational mission, values, and goals that offer opportunities for groups to network, recommend business initiatives and process improvements, increase organizational awareness and allyship, and create opportunities for talent development. Employees who join an Employee Resource Group can:</w:t>
      </w:r>
    </w:p>
    <w:p>
      <w:pPr>
        <w:spacing w:after="0" w:line="136" w:lineRule="exact"/>
        <w:rPr>
          <w:sz w:val="20"/>
          <w:szCs w:val="20"/>
          <w:color w:val="auto"/>
        </w:rPr>
      </w:pPr>
    </w:p>
    <w:p>
      <w:pPr>
        <w:ind w:left="760" w:hanging="246"/>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and build community with people with similar interests, life circumstances or backgrounds.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Serve as champions for inclusion and belonging at CrowdStrike and help identify opportunities for us to become more inclusive.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initiatives and best practices throughout the organization and make recommendations to the business to help spark and facilitate change.</w:t>
      </w:r>
    </w:p>
    <w:p>
      <w:pPr>
        <w:spacing w:after="0" w:line="176" w:lineRule="exact"/>
        <w:rPr>
          <w:rFonts w:ascii="Times New Roman" w:cs="Times New Roman" w:eastAsia="Times New Roman" w:hAnsi="Times New Roman"/>
          <w:sz w:val="14"/>
          <w:szCs w:val="14"/>
          <w:color w:val="auto"/>
        </w:rPr>
      </w:pPr>
    </w:p>
    <w:p>
      <w:pPr>
        <w:ind w:left="4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Information about our Executive Officers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certain information with respect to our current executive officers as of March 6,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1"/>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George Kurtz</w:t>
            </w:r>
          </w:p>
        </w:tc>
        <w:tc>
          <w:tcPr>
            <w:tcW w:w="8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tcBorders>
            <w:shd w:val="clear" w:color="auto" w:fill="CCEEFF"/>
          </w:tcPr>
          <w:p>
            <w:pPr>
              <w:spacing w:after="0"/>
              <w:rPr>
                <w:sz w:val="14"/>
                <w:szCs w:val="14"/>
                <w:color w:val="auto"/>
              </w:rPr>
            </w:pPr>
          </w:p>
        </w:tc>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222"/>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Burt W. Podbere</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43"/>
        </w:trPr>
        <w:tc>
          <w:tcPr>
            <w:tcW w:w="2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20" w:type="dxa"/>
            <w:vAlign w:val="bottom"/>
          </w:tcPr>
          <w:p>
            <w:pPr>
              <w:spacing w:after="0"/>
              <w:rPr>
                <w:sz w:val="3"/>
                <w:szCs w:val="3"/>
                <w:color w:val="auto"/>
              </w:rPr>
            </w:pPr>
          </w:p>
        </w:tc>
      </w:tr>
      <w:tr>
        <w:trPr>
          <w:trHeight w:val="18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Shawn Henry</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Chief Security Officer</w:t>
            </w:r>
          </w:p>
        </w:tc>
      </w:tr>
      <w:tr>
        <w:trPr>
          <w:trHeight w:val="222"/>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Sentonas</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is no family relationship between any of our directors or executive officers and any other director or executive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George Kurtz - President, Chief Executive Officer, and Director</w:t>
      </w:r>
    </w:p>
    <w:p>
      <w:pPr>
        <w:spacing w:after="0" w:line="181"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Mr. Kurtz is one of our co-founders and has served as our President, Chief Executive Officer, and a member of our board of directors since November 2011. From October 2004 to October 2011, Mr. Kurtz served in executive roles at McAfee, Inc., a security technology company, including as Executive Vice President and Worldwide Chief Technology Officer from October 2009 to October 2011. In October 1999, Mr. Kurtz founded Foundstone, Inc., a security technology company, where he served as its Chief Executive Officer until it was acquired by McAfee, Inc. in October 2004. Since November 2017, he has also served as Chairman of the Board, and as President for the CrowdStrike Foundation, a nonprofit established to support the next generation of talent and research in cybersecurity and artificial intelligence through scholarships, grants, and other activities. He also served on the board of directors of Hewlett Packard Enterprise, an enterprise information technology company, from June 2019 to April 2023. Mr. Kurtz holds a B.S. in accounting from Seton Hall University. Mr. Kurtz also holds a CPA license from the State of New Jersey with an inactive status.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Burt W. Podbere - Chief Financial Officer</w:t>
      </w:r>
    </w:p>
    <w:p>
      <w:pPr>
        <w:spacing w:after="0" w:line="181"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4"/>
          <w:szCs w:val="14"/>
          <w:color w:val="auto"/>
        </w:rPr>
        <w:t>Mr. Podbere has served as our Chief Financial Officer since September 2015. From May 2014 to August 2015, Mr. Podbere served as Chief Financial Officer for OpenDNS, Inc. (acquired by Cisco in 2015), a cloud-delivered network security company, where he oversaw the finance function. From October 2011 to April 2014, he served as Chief Financial Officer for Net Optics, Inc. (acquired by Ixia in 2013), a manufacturer of network monitoring and intelligent access solutions for physical and virtual networks. Since November 2017, he has also served as Treasurer and as a board member for the CrowdStrike Foundation, a nonprofit established to support the next generation of talent and research in cybersecurity and artificial intelligence through scholarships, grants, and other activities. Mr. Podbere is a Chartered Accountant and holds a B.A. from McGill University.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Shawn Henry - Chief Security Officer</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Mr. Henry has served as our Chief Security Officer since March 2012. From March 2012 to October 2022, Mr. Henry also served as President of CrowdStrike Services. Mr. Henry previously worked for the FBI from 1987 through March 2012, including most recently as Executive Assistant Director of the FBI’s Criminal, Cyber, Response and Services Branch. Since June 2016, Mr. Henry has served as a faculty member specializing in cybersecurity for the National Association of Corporate Directors, an organization providing training and education for private and public company directors. Mr. Henry previously served as a cybersecurity and national security analyst for NBC News. Since November 2021, Mr. Henry has served as a director of ShoulderUp Technology Acquisition Corp., a blank check company that completed its initial public offering in November 2021. Mr. Henry also serves on the board of directors of CLEAR, a biometric travel document verification company, and Global Cyber Alliance, a nonprofit organization dedicated to making the Internet a safer place by reducing cyber risk. Additionally, Mr. Henry serves on the advisory boards of several organizations. Mr. Henry holds a B.B.A. from Hofstra University and an M.S. in criminal justice from Virginia Commonwealth University.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Michael Sentonas - President</w:t>
      </w:r>
    </w:p>
    <w:p>
      <w:pPr>
        <w:spacing w:after="0" w:line="181"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Mr. Sentonas has served as our President since March 2023. Prior to being appointed President, Mr. Sentonas served as our Chief Technology Officer since February 2020, and as our Vice President, Technology Strategy from May 2016 to February 2020. Immediately prior to joining us, Mr. Sentonas served at McAfee Corp. from March 2004 to April 2016 in various positions, and finally as Chief Technology Officer – Security Connected from November 2013 to April 2016. Mr. Sentonas is a board member of the CrowdStrike Foundation, a nonprofit established to support the next generation of talent and research in cybersecurity and artificial intelligence through scholarships, grants, and other activities, and a member of the Forbes Technology Counsel, an organization for senior technology executives. He is an active public speaker on security issues and advises government and business communities on global and local cyber security threats. Mr. Sentonas holds a B.S. in computer science from Edith Cowan University, Western Australia.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8" w:lineRule="exact"/>
        <w:rPr>
          <w:sz w:val="20"/>
          <w:szCs w:val="20"/>
          <w:color w:val="auto"/>
        </w:rPr>
      </w:pPr>
    </w:p>
    <w:p>
      <w:pPr>
        <w:jc w:val="both"/>
        <w:ind w:right="100" w:firstLine="255"/>
        <w:spacing w:after="0" w:line="238" w:lineRule="auto"/>
        <w:rPr>
          <w:sz w:val="20"/>
          <w:szCs w:val="20"/>
          <w:color w:val="auto"/>
        </w:rPr>
      </w:pPr>
      <w:r>
        <w:rPr>
          <w:rFonts w:ascii="Times New Roman" w:cs="Times New Roman" w:eastAsia="Times New Roman" w:hAnsi="Times New Roman"/>
          <w:sz w:val="14"/>
          <w:szCs w:val="14"/>
          <w:color w:val="auto"/>
        </w:rPr>
        <w:t>Our principal executive offices are located at 206 E. 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Annual Report on Form 10-K.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1"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Our Annual Report on Form 10-K, Quarterly Reports on Form 10-Q, Current Reports on Form 8-K, and amendments to these reports are filed with the SEC pursuant to Sections 13(a) and 15(d) of the Exchange Act. Such reports and other information filed or furnished by us with the SEC are available free of charge on our website at https://ir.crowdstrike.com/financial-information/sec-filings, as soon as reasonably practicable after we file such material with, or furnish it to, the SEC. The SEC maintains a website that contains the materials we file with or furnish to the SEC at www.sec.gov.</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A description of the risks and uncertainties associated with our business is set forth below. You should carefully consider the risks and uncertainties described below, as well as the other information in this Annual Report on Form 10-K,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Annual Report on Form 10-K, as well as the other information in this Annual Report on Form 10-K and the other filings that we make with the SEC.</w:t>
      </w:r>
    </w:p>
    <w:p>
      <w:pPr>
        <w:spacing w:after="0" w:line="136" w:lineRule="exact"/>
        <w:rPr>
          <w:sz w:val="20"/>
          <w:szCs w:val="20"/>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experienced rapid growth in recent periods, and if we do not manage our future growth, our business and results of operations will be adversely affected.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and while we have achieved profitability in quarterly periods, we may not be able to achieve or sustain profitability in the future.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organizations do not adopt cloud-based SaaS-delivered endpoint security solutions, our ability to grow our business and results of operations may be adversely affected.</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new customers, our future results of operations could be harmed.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customers do not renew their subscriptions for our products and add additional cloud modules to their subscriptions, our future results of operations could be harmed.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cycles can be long and unpredictable, and our sales efforts require considerable time and expense,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intense competition and could lose market share to our competitors, which could adversely affect our business, financial condition, and results of operations.</w:t>
      </w:r>
    </w:p>
    <w:p>
      <w:pPr>
        <w:spacing w:after="0" w:line="178" w:lineRule="exact"/>
        <w:rPr>
          <w:rFonts w:ascii="Times New Roman" w:cs="Times New Roman" w:eastAsia="Times New Roman" w:hAnsi="Times New Roman"/>
          <w:sz w:val="14"/>
          <w:szCs w:val="14"/>
          <w:color w:val="auto"/>
        </w:rPr>
      </w:pPr>
    </w:p>
    <w:p>
      <w:pPr>
        <w:ind w:left="760" w:right="180" w:hanging="246"/>
        <w:spacing w:after="0" w:line="287" w:lineRule="auto"/>
        <w:tabs>
          <w:tab w:leader="none" w:pos="7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24" w:lineRule="exact"/>
        <w:rPr>
          <w:rFonts w:ascii="Times New Roman" w:cs="Times New Roman" w:eastAsia="Times New Roman" w:hAnsi="Times New Roman"/>
          <w:sz w:val="14"/>
          <w:szCs w:val="14"/>
          <w:color w:val="auto"/>
        </w:rPr>
      </w:pPr>
    </w:p>
    <w:p>
      <w:pPr>
        <w:ind w:left="760" w:right="180" w:hanging="246"/>
        <w:spacing w:after="0" w:line="287" w:lineRule="auto"/>
        <w:tabs>
          <w:tab w:leader="none" w:pos="7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24" w:lineRule="exact"/>
        <w:rPr>
          <w:rFonts w:ascii="Times New Roman" w:cs="Times New Roman" w:eastAsia="Times New Roman" w:hAnsi="Times New Roman"/>
          <w:sz w:val="14"/>
          <w:szCs w:val="14"/>
          <w:color w:val="auto"/>
        </w:rPr>
      </w:pPr>
    </w:p>
    <w:p>
      <w:pPr>
        <w:ind w:left="760" w:right="180" w:hanging="246"/>
        <w:spacing w:after="0" w:line="287" w:lineRule="auto"/>
        <w:tabs>
          <w:tab w:leader="none" w:pos="7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our key technical, sales and management personnel to grow our business, and the loss of one or more key employees could harm our business.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and retain qualified personnel, our business could be harmed.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may fluctuate significantly, which could make our future results difficult to predict and could cause our results of operations to fall below expectations.</w:t>
      </w:r>
    </w:p>
    <w:p>
      <w:pPr>
        <w:spacing w:after="0" w:line="178" w:lineRule="exact"/>
        <w:rPr>
          <w:rFonts w:ascii="Times New Roman" w:cs="Times New Roman" w:eastAsia="Times New Roman" w:hAnsi="Times New Roman"/>
          <w:sz w:val="14"/>
          <w:szCs w:val="14"/>
          <w:color w:val="auto"/>
        </w:rPr>
      </w:pPr>
    </w:p>
    <w:p>
      <w:pPr>
        <w:ind w:left="760" w:right="560" w:hanging="246"/>
        <w:spacing w:after="0" w:line="287" w:lineRule="auto"/>
        <w:tabs>
          <w:tab w:leader="none" w:pos="7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24" w:lineRule="exact"/>
        <w:rPr>
          <w:rFonts w:ascii="Times New Roman" w:cs="Times New Roman" w:eastAsia="Times New Roman" w:hAnsi="Times New Roman"/>
          <w:sz w:val="14"/>
          <w:szCs w:val="14"/>
          <w:color w:val="auto"/>
        </w:rPr>
      </w:pPr>
    </w:p>
    <w:p>
      <w:pPr>
        <w:ind w:left="760" w:right="200" w:hanging="246"/>
        <w:spacing w:after="0" w:line="287" w:lineRule="auto"/>
        <w:tabs>
          <w:tab w:leader="none" w:pos="7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comply with applicable data protection, security, privacy, and other government- and industry-specific laws, regulations, standards or requirements, our business, results of operations, and financial condition could be harmed.</w:t>
      </w:r>
    </w:p>
    <w:p>
      <w:pPr>
        <w:spacing w:after="0" w:line="124" w:lineRule="exact"/>
        <w:rPr>
          <w:rFonts w:ascii="Times New Roman" w:cs="Times New Roman" w:eastAsia="Times New Roman" w:hAnsi="Times New Roman"/>
          <w:sz w:val="14"/>
          <w:szCs w:val="14"/>
          <w:color w:val="auto"/>
        </w:rPr>
      </w:pPr>
    </w:p>
    <w:p>
      <w:pPr>
        <w:ind w:left="760" w:right="160" w:hanging="246"/>
        <w:spacing w:after="0" w:line="287" w:lineRule="auto"/>
        <w:tabs>
          <w:tab w:leader="none" w:pos="7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experienced rapid growth in recent periods, and if we do not manage our future growth, our business and results of operations will be adversely affected.</w:t>
      </w:r>
    </w:p>
    <w:p>
      <w:pPr>
        <w:spacing w:after="0" w:line="181"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We have experienced rapid revenue growth in recent periods and we expect to continue to invest broadly across our organization to support our growth. For example, our headcount grew from 4,965 employees as of January 31, 2022, to 7,925 employees as of January 31, 2024.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40" w:lineRule="exact"/>
        <w:rPr>
          <w:sz w:val="20"/>
          <w:szCs w:val="20"/>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attract, integrate, and retain a large number of new employees, particularly members of our sales and marketing and research and development teams;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improve our Falcon platform, including our cloud modules, and IT infrastructure, including expanding and optimizing our data centers, to support our business needs;</w:t>
      </w:r>
    </w:p>
    <w:p>
      <w:pPr>
        <w:spacing w:after="0" w:line="178" w:lineRule="exact"/>
        <w:rPr>
          <w:rFonts w:ascii="Times New Roman" w:cs="Times New Roman" w:eastAsia="Times New Roman" w:hAnsi="Times New Roman"/>
          <w:sz w:val="14"/>
          <w:szCs w:val="14"/>
          <w:color w:val="auto"/>
        </w:rPr>
      </w:pPr>
    </w:p>
    <w:p>
      <w:pPr>
        <w:ind w:left="760" w:right="140" w:hanging="246"/>
        <w:spacing w:after="0" w:line="287" w:lineRule="auto"/>
        <w:tabs>
          <w:tab w:leader="none" w:pos="7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our financial, management, and compliance systems and controls.</w:t>
      </w:r>
    </w:p>
    <w:p>
      <w:pPr>
        <w:spacing w:after="0" w:line="17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losses, and while we have achieved profitability in quarterly periods, we may not be able to achieve or sustain profitability in the future.</w:t>
      </w:r>
    </w:p>
    <w:p>
      <w:pPr>
        <w:spacing w:after="0" w:line="181"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color w:val="auto"/>
        </w:rPr>
        <w:t>We have incurred net losses each year prior to fiscal 2024, and we may not achieve or maintain profitability in the future. We experienced net gains of $89.3 million for fiscal 2024, and net losses of $183.2 million, and $234.8 million for fiscal 2023, and fiscal 2022, respectively. As of January 31, 2024, we had an accumulated deficit of $1.1 billion. While we have experienced significant growth in revenue in recent periods, and have achieved profitability during quarterly periods,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accounting, and other expenses as a public company. Any failure to increase our revenue as we invest in our business or to manage our costs could prevent us from achieving or maintaining profitability or positive cash flow.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organizations do not adopt cloud-based SaaS-delivered endpoint security solutions, our ability to grow our business and results of operations may be adversely affected.</w:t>
      </w:r>
    </w:p>
    <w:p>
      <w:pPr>
        <w:spacing w:after="0" w:line="181"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4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2" w:lineRule="exact"/>
        <w:rPr>
          <w:sz w:val="20"/>
          <w:szCs w:val="20"/>
          <w:color w:val="auto"/>
        </w:rPr>
      </w:pPr>
    </w:p>
    <w:p>
      <w:pPr>
        <w:ind w:right="360" w:firstLine="255"/>
        <w:spacing w:after="0" w:line="261" w:lineRule="auto"/>
        <w:rPr>
          <w:sz w:val="20"/>
          <w:szCs w:val="20"/>
          <w:color w:val="auto"/>
        </w:rPr>
      </w:pPr>
      <w:r>
        <w:rPr>
          <w:rFonts w:ascii="Times New Roman" w:cs="Times New Roman" w:eastAsia="Times New Roman" w:hAnsi="Times New Roman"/>
          <w:sz w:val="14"/>
          <w:szCs w:val="14"/>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43"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may erode our competitive position, significantly impair our revenue growth, and negatively impact our operating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customers, our future results of operations could be harmed.</w:t>
      </w:r>
    </w:p>
    <w:p>
      <w:pPr>
        <w:spacing w:after="0" w:line="18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and constrained spending on security and IT operations may result in decreased revenue, reduced sales, an increase in multi-phase subscription start dates, shorter terms for customer subscriptions,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customers do not renew their subscriptions for our products and add additional cloud modules to their subscriptions, our future results of operations could be harmed.</w:t>
      </w:r>
    </w:p>
    <w:p>
      <w:pPr>
        <w:spacing w:after="0" w:line="181"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and geopolitical conditions. If our efforts to maintain and expand our relationships with our existing customers are not successful, our business, results of operations, and financial condition may materially suffer.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sales cycles can be long and unpredictable, and our sales efforts require considerable time and expense.</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 scrutiny of budgets by current and prospective customers, which has resulted in, for example, longer sales cycles for products and services, and may result in shifting demand for IT products and services, and slower adoption of new technologies.</w:t>
      </w:r>
    </w:p>
    <w:p>
      <w:pPr>
        <w:spacing w:after="0" w:line="143"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intense competition and could lose market share to our competitors, which could adversely affect our business, financial condition, and results of operations.</w:t>
      </w:r>
    </w:p>
    <w:p>
      <w:pPr>
        <w:spacing w:after="0" w:line="1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43" w:lineRule="exact"/>
        <w:rPr>
          <w:sz w:val="20"/>
          <w:szCs w:val="20"/>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capabilities, including performance and reliability, of our Falcon platform, including our cloud modules, services, and features compared to those of our competitors;</w:t>
      </w:r>
    </w:p>
    <w:p>
      <w:pPr>
        <w:spacing w:after="0" w:line="200" w:lineRule="exact"/>
        <w:rPr>
          <w:rFonts w:ascii="Times New Roman" w:cs="Times New Roman" w:eastAsia="Times New Roman" w:hAnsi="Times New Roman"/>
          <w:sz w:val="14"/>
          <w:szCs w:val="14"/>
          <w:color w:val="auto"/>
        </w:rPr>
      </w:pPr>
    </w:p>
    <w:p>
      <w:pPr>
        <w:spacing w:after="0" w:line="243"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our competitors, to improve existing products, services, and features, or to develop new ones to address evolving customer needs;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retain, and motivate talented employees;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relationships with channel partners;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our sales and marketing efforts;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or consolidation within our industry, which may result in more formidable competitors.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competitors include the following by general category:</w:t>
      </w:r>
    </w:p>
    <w:p>
      <w:pPr>
        <w:spacing w:after="0" w:line="179" w:lineRule="exact"/>
        <w:rPr>
          <w:sz w:val="20"/>
          <w:szCs w:val="20"/>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antivirus product providers who offer a broad range of approaches and solutions including traditional signature-based anti-virus protection;</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endpoint security providers who generally offer a mix of on-premise and cloud-hosted products that rely heavily on malware-only or application whitelisting techniques;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security vendors who are supplementing their core perimeter-based offerings with endpoint or cloud security solutions;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cloud security vendors, including those who focus on public cloud infrastructure and services;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security vendors that seek to identify and secure user accounts and related activities;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service providers who offer cybersecurity response services.</w:t>
      </w:r>
    </w:p>
    <w:p>
      <w:pPr>
        <w:spacing w:after="0" w:line="17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pricing pressure may reduce our gross profits and adversely affect our financial results.</w:t>
      </w:r>
    </w:p>
    <w:p>
      <w:pPr>
        <w:spacing w:after="0" w:line="181"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38"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2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318"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4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2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48"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46"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38"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2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factors, many of which are beyond our control, can affect the delivery, availability, and the performance of our Falcon platform:</w:t>
      </w:r>
    </w:p>
    <w:p>
      <w:pPr>
        <w:spacing w:after="0" w:line="179" w:lineRule="exact"/>
        <w:rPr>
          <w:sz w:val="20"/>
          <w:szCs w:val="20"/>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maintenance of the infrastructure of the internet;</w:t>
      </w:r>
    </w:p>
    <w:p>
      <w:pPr>
        <w:spacing w:after="0" w:line="178" w:lineRule="exact"/>
        <w:rPr>
          <w:rFonts w:ascii="Times New Roman" w:cs="Times New Roman" w:eastAsia="Times New Roman" w:hAnsi="Times New Roman"/>
          <w:sz w:val="14"/>
          <w:szCs w:val="14"/>
          <w:color w:val="auto"/>
        </w:rPr>
      </w:pPr>
    </w:p>
    <w:p>
      <w:pPr>
        <w:ind w:left="760" w:right="320" w:hanging="246"/>
        <w:spacing w:after="0" w:line="287" w:lineRule="auto"/>
        <w:tabs>
          <w:tab w:leader="none" w:pos="7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availability of third-party providers of cloud infrastructure services, such as AWS, with the necessary speed, data capacity and security for providing reliable internet access and services;</w:t>
      </w:r>
    </w:p>
    <w:p>
      <w:pPr>
        <w:spacing w:after="0" w:line="124" w:lineRule="exact"/>
        <w:rPr>
          <w:rFonts w:ascii="Times New Roman" w:cs="Times New Roman" w:eastAsia="Times New Roman" w:hAnsi="Times New Roman"/>
          <w:sz w:val="14"/>
          <w:szCs w:val="14"/>
          <w:color w:val="auto"/>
        </w:rPr>
      </w:pPr>
    </w:p>
    <w:p>
      <w:pPr>
        <w:ind w:left="760" w:right="280" w:hanging="246"/>
        <w:spacing w:after="0" w:line="287" w:lineRule="auto"/>
        <w:tabs>
          <w:tab w:leader="none" w:pos="7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24" w:lineRule="exact"/>
        <w:rPr>
          <w:rFonts w:ascii="Times New Roman" w:cs="Times New Roman" w:eastAsia="Times New Roman" w:hAnsi="Times New Roman"/>
          <w:sz w:val="14"/>
          <w:szCs w:val="14"/>
          <w:color w:val="auto"/>
        </w:rPr>
      </w:pPr>
    </w:p>
    <w:p>
      <w:pPr>
        <w:ind w:left="760" w:right="220" w:hanging="246"/>
        <w:spacing w:after="0" w:line="287" w:lineRule="auto"/>
        <w:tabs>
          <w:tab w:leader="none" w:pos="7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physical or electronic break-ins, acts of war or terrorism, human error or interference (including by disgruntled employees, former employees or contractors) and other catastrophic events;</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including denial of service attacks, targeted at us, our data centers, or the infrastructure of the internet;</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to maintain and update our cloud infrastructure to meet our data capacity requirements;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errors, defects or performance problems in our software, including third-party software incorporated in our software;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improper deployment or configuration of our solutions;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redundancy systems, in the event of a service disruption at one of our data centers, to provide failover to other data centers in our data center network;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disaster recovery and business continuity arrangements.</w:t>
      </w:r>
    </w:p>
    <w:p>
      <w:pPr>
        <w:spacing w:after="0" w:line="17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key technical, sales and management personnel to grow our business, and the loss of one or more key employees could harm our business.</w:t>
      </w:r>
    </w:p>
    <w:p>
      <w:pPr>
        <w:spacing w:after="0" w:line="18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qualified personnel, our business could be harmed.</w:t>
      </w:r>
    </w:p>
    <w:p>
      <w:pPr>
        <w:spacing w:after="0" w:line="18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4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8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4"/>
          <w:szCs w:val="14"/>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48"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2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56" w:lineRule="exact"/>
        <w:rPr>
          <w:sz w:val="20"/>
          <w:szCs w:val="20"/>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attract new and retain existing customers;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the budgeting cycles, seasonal buying patterns, and purchasing practices of customers;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economic difficulties confronting our customers, which may impact the number of modules or endpoint deployments they are willing or able to purchase;</w:t>
      </w:r>
    </w:p>
    <w:p>
      <w:pPr>
        <w:spacing w:after="0" w:line="186"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insolvency or credit difficulties confronting our customers, affecting their ability to purchase or pay for our solutions;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the timing and length of our sales cycles;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customer or channel partner requirements or market needs;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any disruption in our relationship with channel partners;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growth rate of the cloud-based SaaS-delivered endpoint security solutions market;</w:t>
      </w:r>
    </w:p>
    <w:p>
      <w:pPr>
        <w:spacing w:after="0" w:line="197" w:lineRule="exact"/>
        <w:rPr>
          <w:rFonts w:ascii="Arial" w:cs="Arial" w:eastAsia="Arial" w:hAnsi="Arial"/>
          <w:sz w:val="17"/>
          <w:szCs w:val="17"/>
          <w:color w:val="auto"/>
        </w:rPr>
      </w:pPr>
    </w:p>
    <w:p>
      <w:pPr>
        <w:ind w:left="760" w:right="200" w:hanging="246"/>
        <w:spacing w:after="0" w:line="238" w:lineRule="auto"/>
        <w:tabs>
          <w:tab w:leader="none" w:pos="756"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the timing and success of new product and service introductions by us or our competitors or any other competitive developments, including consolidation among our customers or competitors;</w:t>
      </w:r>
    </w:p>
    <w:p>
      <w:pPr>
        <w:spacing w:after="0" w:line="176"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decisions by organizations to purchase security solutions from larger, more established security vendors or from their primary IT equipment vendors;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our pricing policies or those of our competitors;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the level of awareness of cybersecurity threats, particularly advanced cyberattacks, and the market adoption of our Falcon platform;</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significant security breaches of, technical difficulties with or interruptions to, the use of our Falcon platform;</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negative media coverage or publicity;</w:t>
      </w:r>
    </w:p>
    <w:p>
      <w:pPr>
        <w:spacing w:after="0" w:line="186"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successfully expand our business domestically and internationally;</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the amount and timing of operating costs (including new hires), tightening of labor markets and capital expenditures related to the expansion of our business;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extraordinary expenses such as litigation or other dispute-related settlement payments or outcomes;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increases or decreases in our expenses caused by fluctuations in foreign currency exchange rates;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future accounting pronouncements or changes in our accounting policies or practices;</w:t>
      </w: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0" w:right="200" w:hanging="246"/>
        <w:spacing w:after="0" w:line="238" w:lineRule="auto"/>
        <w:tabs>
          <w:tab w:leader="none" w:pos="756" w:val="left"/>
        </w:tabs>
        <w:numPr>
          <w:ilvl w:val="0"/>
          <w:numId w:val="42"/>
        </w:numPr>
        <w:rPr>
          <w:rFonts w:ascii="Arial" w:cs="Arial" w:eastAsia="Arial" w:hAnsi="Arial"/>
          <w:sz w:val="17"/>
          <w:szCs w:val="17"/>
          <w:color w:val="auto"/>
        </w:rPr>
      </w:pPr>
      <w:r>
        <w:rPr>
          <w:rFonts w:ascii="Times New Roman" w:cs="Times New Roman" w:eastAsia="Times New Roman" w:hAnsi="Times New Roman"/>
          <w:sz w:val="14"/>
          <w:szCs w:val="14"/>
          <w:color w:val="auto"/>
        </w:rPr>
        <w:t>deteriorating or volatile conditions in the global economy and financial markets, including as a result of weak or negative gross domestic product growth, uncertainty or disruptions in the capital and credit markets, changing interest rates, inflation, bank failures or adverse conditions impacting financial institutions, and supply-chain disruptions; and</w:t>
      </w:r>
    </w:p>
    <w:p>
      <w:pPr>
        <w:spacing w:after="0" w:line="176" w:lineRule="exact"/>
        <w:rPr>
          <w:rFonts w:ascii="Arial" w:cs="Arial" w:eastAsia="Arial" w:hAnsi="Arial"/>
          <w:sz w:val="17"/>
          <w:szCs w:val="17"/>
          <w:color w:val="auto"/>
        </w:rPr>
      </w:pPr>
    </w:p>
    <w:p>
      <w:pPr>
        <w:ind w:left="760" w:hanging="246"/>
        <w:spacing w:after="0"/>
        <w:tabs>
          <w:tab w:leader="none" w:pos="760" w:val="left"/>
        </w:tabs>
        <w:numPr>
          <w:ilvl w:val="0"/>
          <w:numId w:val="42"/>
        </w:numPr>
        <w:rPr>
          <w:rFonts w:ascii="Arial" w:cs="Arial" w:eastAsia="Arial" w:hAnsi="Arial"/>
          <w:sz w:val="17"/>
          <w:szCs w:val="17"/>
          <w:color w:val="auto"/>
        </w:rPr>
      </w:pPr>
      <w:r>
        <w:rPr>
          <w:rFonts w:ascii="Times New Roman" w:cs="Times New Roman" w:eastAsia="Times New Roman" w:hAnsi="Times New Roman"/>
          <w:sz w:val="14"/>
          <w:szCs w:val="14"/>
          <w:color w:val="auto"/>
        </w:rPr>
        <w:t>political events, geopolitical unrest or tension, acts of war and terrorism.</w:t>
      </w:r>
    </w:p>
    <w:p>
      <w:pPr>
        <w:spacing w:after="0" w:line="156"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4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2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4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48"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22"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operations and plans for future international expansion expose us to significant risks, and failure to manage those risks could adversely impact our business.</w:t>
      </w:r>
    </w:p>
    <w:p>
      <w:pPr>
        <w:spacing w:after="0" w:line="181" w:lineRule="exact"/>
        <w:rPr>
          <w:sz w:val="20"/>
          <w:szCs w:val="20"/>
          <w:color w:val="auto"/>
        </w:rPr>
      </w:pPr>
    </w:p>
    <w:p>
      <w:pPr>
        <w:jc w:val="both"/>
        <w:ind w:right="20" w:firstLine="255"/>
        <w:spacing w:after="0" w:line="264" w:lineRule="auto"/>
        <w:rPr>
          <w:sz w:val="20"/>
          <w:szCs w:val="20"/>
          <w:color w:val="auto"/>
        </w:rPr>
      </w:pPr>
      <w:r>
        <w:rPr>
          <w:rFonts w:ascii="Times New Roman" w:cs="Times New Roman" w:eastAsia="Times New Roman" w:hAnsi="Times New Roman"/>
          <w:sz w:val="14"/>
          <w:szCs w:val="14"/>
          <w:color w:val="auto"/>
        </w:rPr>
        <w:t>We derived approximately 32%, 30%, and 28% of our total revenue from our international customers for fiscal 2024, fiscal 2023, and fiscal 2022,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61" w:lineRule="exact"/>
        <w:rPr>
          <w:sz w:val="20"/>
          <w:szCs w:val="20"/>
          <w:color w:val="auto"/>
        </w:rPr>
      </w:pPr>
    </w:p>
    <w:p>
      <w:pPr>
        <w:ind w:left="760" w:hanging="246"/>
        <w:spacing w:after="0"/>
        <w:tabs>
          <w:tab w:leader="none" w:pos="76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greater difficulty in negotiating contracts with standard terms, enforcing contracts and managing collections, and longer collection periods;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higher costs of doing business internationally, including costs incurred in establishing and maintaining office space and equipment for our international operations;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management communication and integration problems resulting from cultural and geographic dispersion;</w:t>
      </w:r>
    </w:p>
    <w:p>
      <w:pPr>
        <w:spacing w:after="0" w:line="197" w:lineRule="exact"/>
        <w:rPr>
          <w:rFonts w:ascii="Arial" w:cs="Arial" w:eastAsia="Arial" w:hAnsi="Arial"/>
          <w:sz w:val="17"/>
          <w:szCs w:val="17"/>
          <w:color w:val="auto"/>
        </w:rPr>
      </w:pPr>
    </w:p>
    <w:p>
      <w:pPr>
        <w:ind w:left="760" w:right="220" w:hanging="246"/>
        <w:spacing w:after="0" w:line="238" w:lineRule="auto"/>
        <w:tabs>
          <w:tab w:leader="none" w:pos="756"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risks associated with trade restrictions and foreign legal requirements, including any importation, certification, and localization of our Falcon platform that may be required in foreign countries;</w:t>
      </w:r>
    </w:p>
    <w:p>
      <w:pPr>
        <w:spacing w:after="0" w:line="176" w:lineRule="exact"/>
        <w:rPr>
          <w:rFonts w:ascii="Arial" w:cs="Arial" w:eastAsia="Arial" w:hAnsi="Arial"/>
          <w:sz w:val="17"/>
          <w:szCs w:val="17"/>
          <w:color w:val="auto"/>
        </w:rPr>
      </w:pPr>
    </w:p>
    <w:p>
      <w:pPr>
        <w:ind w:left="760" w:hanging="246"/>
        <w:spacing w:after="0"/>
        <w:tabs>
          <w:tab w:leader="none" w:pos="76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greater risk of unexpected changes in regulatory practices, tariffs, and tax laws and treaties;</w:t>
      </w:r>
    </w:p>
    <w:p>
      <w:pPr>
        <w:spacing w:after="0" w:line="187" w:lineRule="exact"/>
        <w:rPr>
          <w:rFonts w:ascii="Arial" w:cs="Arial" w:eastAsia="Arial" w:hAnsi="Arial"/>
          <w:sz w:val="17"/>
          <w:szCs w:val="17"/>
          <w:color w:val="auto"/>
        </w:rPr>
      </w:pPr>
    </w:p>
    <w:p>
      <w:pPr>
        <w:ind w:left="760" w:right="260" w:hanging="246"/>
        <w:spacing w:after="0" w:line="238" w:lineRule="auto"/>
        <w:tabs>
          <w:tab w:leader="none" w:pos="756"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87" w:lineRule="exact"/>
        <w:rPr>
          <w:rFonts w:ascii="Arial" w:cs="Arial" w:eastAsia="Arial" w:hAnsi="Arial"/>
          <w:sz w:val="17"/>
          <w:szCs w:val="17"/>
          <w:color w:val="auto"/>
        </w:rPr>
      </w:pPr>
    </w:p>
    <w:p>
      <w:pPr>
        <w:ind w:left="760" w:hanging="246"/>
        <w:spacing w:after="0" w:line="238" w:lineRule="auto"/>
        <w:tabs>
          <w:tab w:leader="none" w:pos="756"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76" w:lineRule="exact"/>
        <w:rPr>
          <w:rFonts w:ascii="Arial" w:cs="Arial" w:eastAsia="Arial" w:hAnsi="Arial"/>
          <w:sz w:val="17"/>
          <w:szCs w:val="17"/>
          <w:color w:val="auto"/>
        </w:rPr>
      </w:pPr>
    </w:p>
    <w:p>
      <w:pPr>
        <w:ind w:left="760" w:hanging="246"/>
        <w:spacing w:after="0"/>
        <w:tabs>
          <w:tab w:leader="none" w:pos="76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the uncertainty of protection for intellectual property rights in some countries;</w:t>
      </w:r>
    </w:p>
    <w:p>
      <w:pPr>
        <w:spacing w:after="0" w:line="186" w:lineRule="exact"/>
        <w:rPr>
          <w:rFonts w:ascii="Arial" w:cs="Arial" w:eastAsia="Arial" w:hAnsi="Arial"/>
          <w:sz w:val="17"/>
          <w:szCs w:val="17"/>
          <w:color w:val="auto"/>
        </w:rPr>
      </w:pPr>
    </w:p>
    <w:p>
      <w:pPr>
        <w:ind w:left="760" w:hanging="246"/>
        <w:spacing w:after="0"/>
        <w:tabs>
          <w:tab w:leader="none" w:pos="76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general economic and political conditions in these foreign markets;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foreign exchange controls or tax regulations that might prevent us from repatriating cash earned outside the United States;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political and economic instability in some countries;</w:t>
      </w:r>
    </w:p>
    <w:p>
      <w:pPr>
        <w:spacing w:after="0" w:line="187" w:lineRule="exact"/>
        <w:rPr>
          <w:rFonts w:ascii="Arial" w:cs="Arial" w:eastAsia="Arial" w:hAnsi="Arial"/>
          <w:sz w:val="17"/>
          <w:szCs w:val="17"/>
          <w:color w:val="auto"/>
        </w:rPr>
      </w:pPr>
    </w:p>
    <w:p>
      <w:pPr>
        <w:ind w:left="760" w:right="480" w:hanging="246"/>
        <w:spacing w:after="0" w:line="238" w:lineRule="auto"/>
        <w:tabs>
          <w:tab w:leader="none" w:pos="756"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double taxation of our international earnings and potentially adverse tax consequences due to changes in the tax laws of the United States or the foreign jurisdictions in which we operate;</w:t>
      </w:r>
    </w:p>
    <w:p>
      <w:pPr>
        <w:spacing w:after="0" w:line="187" w:lineRule="exact"/>
        <w:rPr>
          <w:rFonts w:ascii="Arial" w:cs="Arial" w:eastAsia="Arial" w:hAnsi="Arial"/>
          <w:sz w:val="17"/>
          <w:szCs w:val="17"/>
          <w:color w:val="auto"/>
        </w:rPr>
      </w:pPr>
    </w:p>
    <w:p>
      <w:pPr>
        <w:ind w:left="760" w:right="420" w:hanging="246"/>
        <w:spacing w:after="0" w:line="238" w:lineRule="auto"/>
        <w:tabs>
          <w:tab w:leader="none" w:pos="756"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unexpected costs for the localization of our services, including translation into foreign languages and adaptation for local practices and regulatory requirements (including, but not limited to data localization requirements);</w:t>
      </w:r>
    </w:p>
    <w:p>
      <w:pPr>
        <w:spacing w:after="0" w:line="176" w:lineRule="exact"/>
        <w:rPr>
          <w:rFonts w:ascii="Arial" w:cs="Arial" w:eastAsia="Arial" w:hAnsi="Arial"/>
          <w:sz w:val="17"/>
          <w:szCs w:val="17"/>
          <w:color w:val="auto"/>
        </w:rPr>
      </w:pPr>
    </w:p>
    <w:p>
      <w:pPr>
        <w:ind w:left="760" w:hanging="246"/>
        <w:spacing w:after="0"/>
        <w:tabs>
          <w:tab w:leader="none" w:pos="76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4"/>
          <w:szCs w:val="14"/>
          <w:color w:val="auto"/>
        </w:rPr>
        <w:t>requirements to comply with foreign privacy, data protection, and information security laws and regulations and the risks and costs of noncompliance;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60" w:hanging="246"/>
        <w:spacing w:after="0"/>
        <w:tabs>
          <w:tab w:leader="none" w:pos="76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4"/>
          <w:szCs w:val="14"/>
          <w:color w:val="auto"/>
        </w:rPr>
        <w:t>greater difficulty in identifying, attracting and retaining local qualified personnel, and the costs and expenses associated with such activities;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4"/>
          <w:szCs w:val="14"/>
          <w:color w:val="auto"/>
        </w:rPr>
        <w:t>greater difficulty identifying qualified channel partners and maintaining successful relationships with such partners;</w:t>
      </w:r>
    </w:p>
    <w:p>
      <w:pPr>
        <w:spacing w:after="0" w:line="175" w:lineRule="exact"/>
        <w:rPr>
          <w:rFonts w:ascii="Arial" w:cs="Arial" w:eastAsia="Arial" w:hAnsi="Arial"/>
          <w:sz w:val="17"/>
          <w:szCs w:val="17"/>
          <w:color w:val="auto"/>
        </w:rPr>
      </w:pPr>
    </w:p>
    <w:p>
      <w:pPr>
        <w:ind w:left="760" w:hanging="246"/>
        <w:spacing w:after="0"/>
        <w:tabs>
          <w:tab w:leader="none" w:pos="76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4"/>
          <w:szCs w:val="14"/>
          <w:color w:val="auto"/>
        </w:rPr>
        <w:t>differing employment practices and labor relations issues; and</w:t>
      </w:r>
    </w:p>
    <w:p>
      <w:pPr>
        <w:spacing w:after="0" w:line="186" w:lineRule="exact"/>
        <w:rPr>
          <w:rFonts w:ascii="Arial" w:cs="Arial" w:eastAsia="Arial" w:hAnsi="Arial"/>
          <w:sz w:val="17"/>
          <w:szCs w:val="17"/>
          <w:color w:val="auto"/>
        </w:rPr>
      </w:pPr>
    </w:p>
    <w:p>
      <w:pPr>
        <w:ind w:left="760" w:hanging="246"/>
        <w:spacing w:after="0"/>
        <w:tabs>
          <w:tab w:leader="none" w:pos="76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4"/>
          <w:szCs w:val="14"/>
          <w:color w:val="auto"/>
        </w:rPr>
        <w:t>difficulties in managing and staffing international offices and increased travel, infrastructure, and legal compliance costs associated with multiple international locations.</w:t>
      </w:r>
    </w:p>
    <w:p>
      <w:pPr>
        <w:spacing w:after="0" w:line="156" w:lineRule="exact"/>
        <w:rPr>
          <w:sz w:val="20"/>
          <w:szCs w:val="20"/>
          <w:color w:val="auto"/>
        </w:rPr>
      </w:pPr>
    </w:p>
    <w:p>
      <w:pPr>
        <w:jc w:val="both"/>
        <w:ind w:right="120" w:firstLine="255"/>
        <w:spacing w:after="0" w:line="261" w:lineRule="auto"/>
        <w:rPr>
          <w:sz w:val="20"/>
          <w:szCs w:val="20"/>
          <w:color w:val="auto"/>
        </w:rPr>
      </w:pPr>
      <w:r>
        <w:rPr>
          <w:rFonts w:ascii="Times New Roman" w:cs="Times New Roman" w:eastAsia="Times New Roman" w:hAnsi="Times New Roman"/>
          <w:sz w:val="14"/>
          <w:szCs w:val="14"/>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43"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3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2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Sales to such government entities include, but are not limited to, the following risks:</w:t>
      </w:r>
    </w:p>
    <w:p>
      <w:pPr>
        <w:spacing w:after="0" w:line="210" w:lineRule="exact"/>
        <w:rPr>
          <w:sz w:val="20"/>
          <w:szCs w:val="20"/>
          <w:color w:val="auto"/>
        </w:rPr>
      </w:pPr>
    </w:p>
    <w:p>
      <w:pPr>
        <w:ind w:left="760" w:right="40" w:hanging="246"/>
        <w:spacing w:after="0" w:line="238" w:lineRule="auto"/>
        <w:tabs>
          <w:tab w:leader="none" w:pos="756"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4"/>
          <w:szCs w:val="14"/>
          <w:color w:val="auto"/>
        </w:rPr>
        <w:t>selling to governmental agencies can be highly competitive, expensive and time consuming, often requiring significant upfront time and expense without any assurance that such efforts will generate a sale;</w:t>
      </w:r>
    </w:p>
    <w:p>
      <w:pPr>
        <w:spacing w:after="0" w:line="187" w:lineRule="exact"/>
        <w:rPr>
          <w:rFonts w:ascii="Arial" w:cs="Arial" w:eastAsia="Arial" w:hAnsi="Arial"/>
          <w:sz w:val="17"/>
          <w:szCs w:val="17"/>
          <w:color w:val="auto"/>
        </w:rPr>
      </w:pPr>
    </w:p>
    <w:p>
      <w:pPr>
        <w:ind w:left="760" w:right="120" w:hanging="246"/>
        <w:spacing w:after="0" w:line="238" w:lineRule="auto"/>
        <w:tabs>
          <w:tab w:leader="none" w:pos="756"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4"/>
          <w:szCs w:val="14"/>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187" w:lineRule="exact"/>
        <w:rPr>
          <w:rFonts w:ascii="Arial" w:cs="Arial" w:eastAsia="Arial" w:hAnsi="Arial"/>
          <w:sz w:val="17"/>
          <w:szCs w:val="17"/>
          <w:color w:val="auto"/>
        </w:rPr>
      </w:pPr>
    </w:p>
    <w:p>
      <w:pPr>
        <w:ind w:left="760" w:hanging="246"/>
        <w:spacing w:after="0" w:line="246" w:lineRule="auto"/>
        <w:tabs>
          <w:tab w:leader="none" w:pos="756"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185" w:lineRule="exact"/>
        <w:rPr>
          <w:rFonts w:ascii="Arial" w:cs="Arial" w:eastAsia="Arial" w:hAnsi="Arial"/>
          <w:sz w:val="17"/>
          <w:szCs w:val="17"/>
          <w:color w:val="auto"/>
        </w:rPr>
      </w:pPr>
    </w:p>
    <w:p>
      <w:pPr>
        <w:ind w:left="760" w:right="120" w:hanging="246"/>
        <w:spacing w:after="0" w:line="251" w:lineRule="auto"/>
        <w:tabs>
          <w:tab w:leader="none" w:pos="756"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product requirements are often technically complex and assessors may require us to make costly changes to our products to meet such requirements without any assurance that such changes will generate a sale;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0" w:right="160" w:hanging="246"/>
        <w:spacing w:after="0" w:line="244" w:lineRule="auto"/>
        <w:tabs>
          <w:tab w:leader="none" w:pos="756"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184" w:lineRule="exact"/>
        <w:rPr>
          <w:rFonts w:ascii="Arial" w:cs="Arial" w:eastAsia="Arial" w:hAnsi="Arial"/>
          <w:sz w:val="17"/>
          <w:szCs w:val="17"/>
          <w:color w:val="auto"/>
        </w:rPr>
      </w:pPr>
    </w:p>
    <w:p>
      <w:pPr>
        <w:ind w:left="760" w:hanging="246"/>
        <w:spacing w:after="0" w:line="238" w:lineRule="auto"/>
        <w:tabs>
          <w:tab w:leader="none" w:pos="756"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attitudes towards us as a company, our platform or the capabilities that we offer as a viable software solution may change, and reduce interest in our products and services as acceptable solutions;</w:t>
      </w:r>
    </w:p>
    <w:p>
      <w:pPr>
        <w:spacing w:after="0" w:line="187" w:lineRule="exact"/>
        <w:rPr>
          <w:rFonts w:ascii="Arial" w:cs="Arial" w:eastAsia="Arial" w:hAnsi="Arial"/>
          <w:sz w:val="17"/>
          <w:szCs w:val="17"/>
          <w:color w:val="auto"/>
        </w:rPr>
      </w:pPr>
    </w:p>
    <w:p>
      <w:pPr>
        <w:ind w:left="760" w:right="100" w:hanging="246"/>
        <w:spacing w:after="0" w:line="251" w:lineRule="auto"/>
        <w:tabs>
          <w:tab w:leader="none" w:pos="756"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178" w:lineRule="exact"/>
        <w:rPr>
          <w:rFonts w:ascii="Arial" w:cs="Arial" w:eastAsia="Arial" w:hAnsi="Arial"/>
          <w:sz w:val="17"/>
          <w:szCs w:val="17"/>
          <w:color w:val="auto"/>
        </w:rPr>
      </w:pPr>
    </w:p>
    <w:p>
      <w:pPr>
        <w:jc w:val="both"/>
        <w:ind w:left="760" w:right="660" w:hanging="246"/>
        <w:spacing w:after="0" w:line="238" w:lineRule="auto"/>
        <w:tabs>
          <w:tab w:leader="none" w:pos="756"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4"/>
          <w:szCs w:val="14"/>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176" w:lineRule="exact"/>
        <w:rPr>
          <w:rFonts w:ascii="Arial" w:cs="Arial" w:eastAsia="Arial" w:hAnsi="Arial"/>
          <w:sz w:val="17"/>
          <w:szCs w:val="17"/>
          <w:color w:val="auto"/>
        </w:rPr>
      </w:pPr>
    </w:p>
    <w:p>
      <w:pPr>
        <w:ind w:left="760" w:hanging="246"/>
        <w:spacing w:after="0"/>
        <w:tabs>
          <w:tab w:leader="none" w:pos="760"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4"/>
          <w:szCs w:val="14"/>
          <w:color w:val="auto"/>
        </w:rPr>
        <w:t>even if we are awarded a sale, the terms of such contracts may be unusually burdensome;</w:t>
      </w:r>
    </w:p>
    <w:p>
      <w:pPr>
        <w:spacing w:after="0" w:line="187" w:lineRule="exact"/>
        <w:rPr>
          <w:rFonts w:ascii="Arial" w:cs="Arial" w:eastAsia="Arial" w:hAnsi="Arial"/>
          <w:sz w:val="17"/>
          <w:szCs w:val="17"/>
          <w:color w:val="auto"/>
        </w:rPr>
      </w:pPr>
    </w:p>
    <w:p>
      <w:pPr>
        <w:ind w:left="760" w:right="20" w:hanging="246"/>
        <w:spacing w:after="0" w:line="244" w:lineRule="auto"/>
        <w:tabs>
          <w:tab w:leader="none" w:pos="756"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84" w:lineRule="exact"/>
        <w:rPr>
          <w:rFonts w:ascii="Arial" w:cs="Arial" w:eastAsia="Arial" w:hAnsi="Arial"/>
          <w:sz w:val="17"/>
          <w:szCs w:val="17"/>
          <w:color w:val="auto"/>
        </w:rPr>
      </w:pPr>
    </w:p>
    <w:p>
      <w:pPr>
        <w:ind w:left="760" w:right="400" w:hanging="246"/>
        <w:spacing w:after="0" w:line="238" w:lineRule="auto"/>
        <w:tabs>
          <w:tab w:leader="none" w:pos="756"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56"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timely and cost-effectively scale and adapt our existing technology to meet our customers’ performance and other requirements.</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maintain customer satisfaction depends in part on the quality of our customer support.</w:t>
      </w:r>
    </w:p>
    <w:p>
      <w:pPr>
        <w:spacing w:after="0" w:line="1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4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2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We expect that our existing cash and cash equivalents and short-term investments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4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2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2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experienced widespread component shortages and delivery delays, including as a result of geopolitical tensions, public health crises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 Legal, and Regulatory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business depends in part on our ability to protect and enforce our intellectual property rights.</w:t>
      </w:r>
    </w:p>
    <w:p>
      <w:pPr>
        <w:spacing w:after="0" w:line="18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48"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2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143"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4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4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license technology from third parties, and our inability to maintain those licenses could harm our business.</w:t>
      </w:r>
    </w:p>
    <w:p>
      <w:pPr>
        <w:spacing w:after="0" w:line="18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quality or performance standards. This could limit or delay our ability to offer new or competitive solutions and increase our costs. As a result, our margins, market share, and results of operations could be significantly harmed.</w:t>
      </w:r>
    </w:p>
    <w:p>
      <w:pPr>
        <w:spacing w:after="0" w:line="122"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22"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136"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w:t>
      </w:r>
    </w:p>
    <w:p>
      <w:pPr>
        <w:spacing w:after="0" w:line="146"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46"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While the GDPR and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149"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Legal developments in the European Economic Area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47"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43"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certifications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44"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2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Our business is subject to regulation by various federal, state, local and foreign governmental agencies, including agencies responsible for monitoring and enforcing data protection, data privacy and data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of technologies like AI may also become subject to regulation under new laws or new applications of existing laws, such as the AI Act being considered in the EU. Noncompliance by us, our employees, representatives, contractors, channel partners, agents, intermediaries, or other third parties with applicable regulations or requirements could subject us to:</w:t>
      </w:r>
    </w:p>
    <w:p>
      <w:pPr>
        <w:spacing w:after="0" w:line="143" w:lineRule="exact"/>
        <w:rPr>
          <w:sz w:val="20"/>
          <w:szCs w:val="20"/>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investigations, enforcement actions and sanctions;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changes to our Falcon platform;</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disgorgement of profits, fines and damages;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and criminal penalties or injunctions;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for damages by our customers or channel partners;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246"/>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contracts;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intellectual property rights;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our license to do business in the jurisdictions in which we operate;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or permanent debarment from sales to government organizations.</w:t>
      </w:r>
    </w:p>
    <w:p>
      <w:pPr>
        <w:spacing w:after="0" w:line="179" w:lineRule="exact"/>
        <w:rPr>
          <w:sz w:val="20"/>
          <w:szCs w:val="20"/>
          <w:color w:val="auto"/>
        </w:rPr>
      </w:pPr>
    </w:p>
    <w:p>
      <w:pPr>
        <w:jc w:val="both"/>
        <w:ind w:right="380" w:firstLine="255"/>
        <w:spacing w:after="0" w:line="270" w:lineRule="auto"/>
        <w:rPr>
          <w:sz w:val="20"/>
          <w:szCs w:val="20"/>
          <w:color w:val="auto"/>
        </w:rPr>
      </w:pPr>
      <w:r>
        <w:rPr>
          <w:rFonts w:ascii="Times New Roman" w:cs="Times New Roman" w:eastAsia="Times New Roman" w:hAnsi="Times New Roman"/>
          <w:sz w:val="14"/>
          <w:szCs w:val="14"/>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3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24"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141" w:lineRule="exact"/>
        <w:rPr>
          <w:sz w:val="20"/>
          <w:szCs w:val="20"/>
          <w:color w:val="auto"/>
        </w:rPr>
      </w:pPr>
    </w:p>
    <w:p>
      <w:pPr>
        <w:ind w:right="10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2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w:t>
      </w:r>
    </w:p>
    <w:p>
      <w:pPr>
        <w:spacing w:after="0" w:line="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22"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pacing w:after="0" w:line="140"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spacing w:after="0" w:line="14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Some of our technology incorporates “open source” software, which could negatively affect our ability to sell our Falcon platform and subject us to possible litigation.</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4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246"/>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resulting in time-consuming and costly litigation;</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diverting management’s time and attention from developing our business;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pay monetary damages or enter into royalty and licensing agreements that we would not normally find acceptable;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delays in the deployment of our Falcon platform or service offerings to our customers;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stop offering certain services or features of our Falcon platform;</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redesign certain components of our Falcon platform using alternative non-infringing or non-open source technology, which could require significant effort and expense;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disclose our software source code and the detailed program commands for our software;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satisfy indemnification obligations to our customers.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utilize Artificial Intelligence, which could expose us to liability or adversely affect our business.</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We incorporate novel uses of AI technologies, including generative AI, into our products and operations. AI is complex and rapidly evolving, and we face significant competition from other companies as well as an evolving regulatory landscape. The introduction of AI into new or existing products may result in new or enhanced governmental or regulatory scrutiny, litigation, confidentiality, ethical concerns, or other complications that could adversely affect our business, reputation, or financial results. For example, if we do not have sufficient rights to use the data or other material or content on which our AI technologies rely, we may incur liability through the violation of applicable laws, third-party intellectual property, privacy or other rights, or contracts to which we are a party. AI algorithms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The use of AI presents emerging ethical and social issues, and if we enable or offer solutions that draw scrutiny or controversy due to their perceived or actual impact on customers or on society as a whole, we may experience brand or reputational harm, competitive harm, and/or legal liability.</w:t>
      </w:r>
    </w:p>
    <w:p>
      <w:pPr>
        <w:spacing w:after="0" w:line="14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The technologies underlying AI and its uses are subject to a variety of laws, including intellectual property, privacy, data protection and cybersecurity, consumer protection, competition, and equal opportunity laws, and are expected to be subject to increased regulation and new laws or new applications of existing laws.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such as the AI Act currently being considered in the EU. 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14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22"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and may in the future become, involved in litigation that may adversely affect us.</w:t>
      </w:r>
    </w:p>
    <w:p>
      <w:pPr>
        <w:spacing w:after="0" w:line="18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46"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22"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40"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43"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24"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Class A common stock may be volatile regardless of our operating performance, and you could lose all or part of your investment.</w:t>
      </w:r>
    </w:p>
    <w:p>
      <w:pPr>
        <w:spacing w:after="0" w:line="181" w:lineRule="exact"/>
        <w:rPr>
          <w:sz w:val="20"/>
          <w:szCs w:val="20"/>
          <w:color w:val="auto"/>
        </w:rPr>
      </w:pPr>
    </w:p>
    <w:p>
      <w:pPr>
        <w:jc w:val="both"/>
        <w:ind w:right="180" w:firstLine="255"/>
        <w:spacing w:after="0" w:line="270" w:lineRule="auto"/>
        <w:rPr>
          <w:sz w:val="20"/>
          <w:szCs w:val="20"/>
          <w:color w:val="auto"/>
        </w:rPr>
      </w:pPr>
      <w:r>
        <w:rPr>
          <w:rFonts w:ascii="Times New Roman" w:cs="Times New Roman" w:eastAsia="Times New Roman" w:hAnsi="Times New Roman"/>
          <w:sz w:val="14"/>
          <w:szCs w:val="14"/>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136" w:lineRule="exact"/>
        <w:rPr>
          <w:sz w:val="20"/>
          <w:szCs w:val="20"/>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or fluctuations in our results of operations;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these projections or our failure to meet these projections;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or services or new or terminated significant contracts, commercial relationships or capital commitments;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or financial analyst or investor reaction to our press releases, other public announcements and filings with the SEC;</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our industry in particular;</w:t>
      </w:r>
    </w:p>
    <w:p>
      <w:pPr>
        <w:spacing w:after="0" w:line="178" w:lineRule="exact"/>
        <w:rPr>
          <w:rFonts w:ascii="Times New Roman" w:cs="Times New Roman" w:eastAsia="Times New Roman" w:hAnsi="Times New Roman"/>
          <w:sz w:val="14"/>
          <w:szCs w:val="14"/>
          <w:color w:val="auto"/>
        </w:rPr>
      </w:pPr>
    </w:p>
    <w:p>
      <w:pPr>
        <w:ind w:left="760" w:right="100" w:hanging="246"/>
        <w:spacing w:after="0" w:line="287" w:lineRule="auto"/>
        <w:tabs>
          <w:tab w:leader="none" w:pos="75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industry or financial analysts to maintain coverage of us, changes in financial estimates by any analysts who follow our company, or our failure to meet these estimates or the expectations of investors;</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or our competitors’ businesses or the competitive landscape generally;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 or investigations by regulators into our operations or those of our competitors;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rights or our solutions, or third-party proprietary rights;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or technologies by us or our competitors;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changes in our management or our board of directors, particularly with respect to Mr. Kurtz;</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246"/>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public health crises, pandemics and epidemics;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slow or negative growth of our markets;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w:t>
      </w:r>
    </w:p>
    <w:p>
      <w:pPr>
        <w:spacing w:after="0" w:line="17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4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2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February 29, 2024, we had 229,383,465 shares of Class A common stock outstanding and 12,485,193 shares of Class B common stock outstanding.</w:t>
      </w:r>
    </w:p>
    <w:p>
      <w:pPr>
        <w:spacing w:after="0" w:line="136"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36" w:lineRule="exact"/>
        <w:rPr>
          <w:sz w:val="20"/>
          <w:szCs w:val="20"/>
          <w:color w:val="auto"/>
        </w:rPr>
      </w:pPr>
    </w:p>
    <w:p>
      <w:pPr>
        <w:ind w:right="540" w:firstLine="255"/>
        <w:spacing w:after="0" w:line="287" w:lineRule="auto"/>
        <w:rPr>
          <w:sz w:val="20"/>
          <w:szCs w:val="20"/>
          <w:color w:val="auto"/>
        </w:rPr>
      </w:pPr>
      <w:r>
        <w:rPr>
          <w:rFonts w:ascii="Times New Roman" w:cs="Times New Roman" w:eastAsia="Times New Roman" w:hAnsi="Times New Roman"/>
          <w:sz w:val="14"/>
          <w:szCs w:val="14"/>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2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2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4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36"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those shares converting to Class A common stock, which will have the effect, over time, of increasing the relative voting power of those holders of Class B common stock who retain their shares in the long term.</w:t>
      </w:r>
    </w:p>
    <w:p>
      <w:pPr>
        <w:spacing w:after="0" w:line="124"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As of January 31, 2024, our executive officers, directors, one of our current stockholders and its respective affiliates held, in aggregate, 36%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4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81"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38"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2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36" w:lineRule="exact"/>
        <w:rPr>
          <w:sz w:val="20"/>
          <w:szCs w:val="20"/>
          <w:color w:val="auto"/>
        </w:rPr>
      </w:pPr>
    </w:p>
    <w:p>
      <w:pPr>
        <w:ind w:left="760" w:right="320" w:hanging="246"/>
        <w:spacing w:after="0" w:line="287" w:lineRule="auto"/>
        <w:tabs>
          <w:tab w:leader="none" w:pos="75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 of directors;</w:t>
      </w:r>
    </w:p>
    <w:p>
      <w:pPr>
        <w:spacing w:after="0" w:line="178" w:lineRule="exact"/>
        <w:rPr>
          <w:rFonts w:ascii="Times New Roman" w:cs="Times New Roman" w:eastAsia="Times New Roman" w:hAnsi="Times New Roman"/>
          <w:sz w:val="14"/>
          <w:szCs w:val="14"/>
          <w:color w:val="auto"/>
        </w:rPr>
      </w:pPr>
    </w:p>
    <w:p>
      <w:pPr>
        <w:ind w:left="760" w:right="540" w:hanging="246"/>
        <w:spacing w:after="0" w:line="287" w:lineRule="auto"/>
        <w:tabs>
          <w:tab w:leader="none" w:pos="75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4" w:lineRule="exact"/>
        <w:rPr>
          <w:rFonts w:ascii="Times New Roman" w:cs="Times New Roman" w:eastAsia="Times New Roman" w:hAnsi="Times New Roman"/>
          <w:sz w:val="14"/>
          <w:szCs w:val="14"/>
          <w:color w:val="auto"/>
        </w:rPr>
      </w:pPr>
    </w:p>
    <w:p>
      <w:pPr>
        <w:ind w:left="760" w:right="40" w:hanging="246"/>
        <w:spacing w:after="0" w:line="287" w:lineRule="auto"/>
        <w:tabs>
          <w:tab w:leader="none" w:pos="75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4" w:lineRule="exact"/>
        <w:rPr>
          <w:rFonts w:ascii="Times New Roman" w:cs="Times New Roman" w:eastAsia="Times New Roman" w:hAnsi="Times New Roman"/>
          <w:sz w:val="14"/>
          <w:szCs w:val="14"/>
          <w:color w:val="auto"/>
        </w:rPr>
      </w:pPr>
    </w:p>
    <w:p>
      <w:pPr>
        <w:ind w:left="760" w:right="40" w:hanging="246"/>
        <w:spacing w:after="0" w:line="270" w:lineRule="auto"/>
        <w:tabs>
          <w:tab w:leader="none" w:pos="75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246"/>
        <w:spacing w:after="0" w:line="270" w:lineRule="auto"/>
        <w:tabs>
          <w:tab w:leader="none" w:pos="75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3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amendments to our amended and restated certificate of incorporation require the approval of two-thirds of the then-outstanding voting power of our capital stock; and</w:t>
      </w:r>
    </w:p>
    <w:p>
      <w:pPr>
        <w:spacing w:after="0" w:line="178" w:lineRule="exact"/>
        <w:rPr>
          <w:rFonts w:ascii="Times New Roman" w:cs="Times New Roman" w:eastAsia="Times New Roman" w:hAnsi="Times New Roman"/>
          <w:sz w:val="14"/>
          <w:szCs w:val="14"/>
          <w:color w:val="auto"/>
        </w:rPr>
      </w:pPr>
    </w:p>
    <w:p>
      <w:pPr>
        <w:ind w:left="760" w:right="80" w:hanging="246"/>
        <w:spacing w:after="0" w:line="287" w:lineRule="auto"/>
        <w:tabs>
          <w:tab w:leader="none" w:pos="75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provisions may prohibit large stockholders, in particular those owning 15% or more of our outstanding voting stock, from merging or combining with us for a certain period of time.</w:t>
      </w:r>
    </w:p>
    <w:p>
      <w:pPr>
        <w:spacing w:after="0" w:line="17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amended and restated bylaws provide that the Court of Chancery of the State of Delaware is the exclusive forum for:</w:t>
      </w:r>
    </w:p>
    <w:p>
      <w:pPr>
        <w:spacing w:after="0" w:line="179" w:lineRule="exact"/>
        <w:rPr>
          <w:sz w:val="20"/>
          <w:szCs w:val="20"/>
          <w:color w:val="auto"/>
        </w:rPr>
      </w:pPr>
    </w:p>
    <w:p>
      <w:pPr>
        <w:ind w:left="760" w:hanging="246"/>
        <w:spacing w:after="0"/>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breach of fiduciary duty;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Delaware General Corporation Law, our amended and restated certificate of incorporation or our amended and restated bylaws;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to interpret, apply, enforce or determine the validity of our amended and restated certificate of incorporation or our amended and restated bylaws;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179"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36"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indebtedness could adversely affect our financial condition.</w:t>
      </w:r>
    </w:p>
    <w:p>
      <w:pPr>
        <w:spacing w:after="0" w:line="181"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As of January 31, 2024,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24" w:lineRule="exact"/>
        <w:rPr>
          <w:sz w:val="20"/>
          <w:szCs w:val="20"/>
          <w:color w:val="auto"/>
        </w:rPr>
      </w:pPr>
    </w:p>
    <w:p>
      <w:pPr>
        <w:ind w:left="5580" w:right="1720" w:hanging="5066"/>
        <w:spacing w:after="0" w:line="935" w:lineRule="auto"/>
        <w:tabs>
          <w:tab w:leader="none" w:pos="77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to fund future working capital, capital expenditures, acquisitions or other general corporate requirements;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-253365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right="40" w:hanging="246"/>
        <w:spacing w:after="0" w:line="287" w:lineRule="auto"/>
        <w:tabs>
          <w:tab w:leader="none" w:pos="75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changes in general economic, industry and competitive conditions; and</w:t>
      </w:r>
    </w:p>
    <w:p>
      <w:pPr>
        <w:spacing w:after="0" w:line="178" w:lineRule="exact"/>
        <w:rPr>
          <w:rFonts w:ascii="Times New Roman" w:cs="Times New Roman" w:eastAsia="Times New Roman" w:hAnsi="Times New Roman"/>
          <w:sz w:val="14"/>
          <w:szCs w:val="14"/>
          <w:color w:val="auto"/>
        </w:rPr>
      </w:pPr>
    </w:p>
    <w:p>
      <w:pPr>
        <w:ind w:left="760" w:right="80" w:hanging="246"/>
        <w:spacing w:after="0" w:line="287" w:lineRule="auto"/>
        <w:tabs>
          <w:tab w:leader="none" w:pos="75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us to the risk of increased interest rates as certain of our borrowings, including borrowings under our revolving facility, are at variable rates of interest; and increasing our cost of borrowing.</w:t>
      </w:r>
    </w:p>
    <w:p>
      <w:pPr>
        <w:spacing w:after="0" w:line="122"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2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36"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4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36"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38"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22"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24" w:lineRule="exact"/>
        <w:rPr>
          <w:sz w:val="20"/>
          <w:szCs w:val="20"/>
          <w:color w:val="auto"/>
        </w:rPr>
      </w:pPr>
    </w:p>
    <w:p>
      <w:pPr>
        <w:ind w:left="760" w:hanging="246"/>
        <w:spacing w:after="0"/>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indebtedness;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otherwise dispose of assets;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liens;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246"/>
        <w:spacing w:after="0"/>
        <w:tabs>
          <w:tab w:leader="none" w:pos="7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the businesses we conduct;</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restricting our subsidiaries’ ability to pay dividends;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merge with, or sell all or substantially all of our assets to, another person.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covenants in the indenture and supplemental indenture that govern the Senior Notes are subject to exceptions and qualifications.</w:t>
      </w:r>
    </w:p>
    <w:p>
      <w:pPr>
        <w:spacing w:after="0" w:line="179"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24" w:lineRule="exact"/>
        <w:rPr>
          <w:sz w:val="20"/>
          <w:szCs w:val="20"/>
          <w:color w:val="auto"/>
        </w:rPr>
      </w:pPr>
    </w:p>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our operations;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needed capital expenditures;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strategic acquisitions or investments or enter into joint ventures;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withstand a future downturn in our business, the industry or the economy in general;</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business activities, including future opportunities, that may be in our best interest;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for or react to market conditions or otherwise execute our business strategies.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restrictions may affect our ability to expand our business, which could have a material adverse effect on our business, financial condition and results of operations.</w:t>
      </w:r>
    </w:p>
    <w:p>
      <w:pPr>
        <w:spacing w:after="0" w:line="179" w:lineRule="exact"/>
        <w:rPr>
          <w:sz w:val="20"/>
          <w:szCs w:val="20"/>
          <w:color w:val="auto"/>
        </w:rPr>
      </w:pPr>
    </w:p>
    <w:p>
      <w:pPr>
        <w:jc w:val="both"/>
        <w:ind w:right="540" w:firstLine="255"/>
        <w:spacing w:after="0" w:line="270" w:lineRule="auto"/>
        <w:rPr>
          <w:sz w:val="20"/>
          <w:szCs w:val="20"/>
          <w:color w:val="auto"/>
        </w:rPr>
      </w:pPr>
      <w:r>
        <w:rPr>
          <w:rFonts w:ascii="Times New Roman" w:cs="Times New Roman" w:eastAsia="Times New Roman" w:hAnsi="Times New Roman"/>
          <w:sz w:val="14"/>
          <w:szCs w:val="14"/>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3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revolving facility and the indenture that governs our Senior Notes contain cross-default provisions that could result in the acceleration of all of our indebtedness.</w:t>
      </w:r>
    </w:p>
    <w:p>
      <w:pPr>
        <w:spacing w:after="0" w:line="181"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8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4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4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43"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22"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22"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4"/>
          <w:szCs w:val="14"/>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increased fixed obligations and could also include covenants or other restrictions that would impede our ability to manage our operations.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risks we may face in connection with acquisitions include:</w:t>
      </w:r>
    </w:p>
    <w:p>
      <w:pPr>
        <w:spacing w:after="0" w:line="179" w:lineRule="exact"/>
        <w:rPr>
          <w:sz w:val="20"/>
          <w:szCs w:val="20"/>
          <w:color w:val="auto"/>
        </w:rPr>
      </w:pPr>
    </w:p>
    <w:p>
      <w:pPr>
        <w:ind w:left="760" w:hanging="246"/>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 from operating our business to addressing acquisition integration challenges;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research and development and sales and marketing functions;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administrative systems, employee, product and service offerings;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key employees from the acquired company;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relationships with strategic partners as a result of product acquisitions or strategic positioning resulting from the acquisition;</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implement or improve controls, procedures, and policies at a business that prior to the acquisition may have lacked sufficiently effective controls, procedures and policies;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legal, regulatory or compliance requirements;</w:t>
      </w:r>
    </w:p>
    <w:p>
      <w:pPr>
        <w:spacing w:after="0" w:line="178" w:lineRule="exact"/>
        <w:rPr>
          <w:rFonts w:ascii="Times New Roman" w:cs="Times New Roman" w:eastAsia="Times New Roman" w:hAnsi="Times New Roman"/>
          <w:sz w:val="14"/>
          <w:szCs w:val="14"/>
          <w:color w:val="auto"/>
        </w:rPr>
      </w:pPr>
    </w:p>
    <w:p>
      <w:pPr>
        <w:ind w:left="760" w:right="300" w:hanging="246"/>
        <w:spacing w:after="0" w:line="287" w:lineRule="auto"/>
        <w:tabs>
          <w:tab w:leader="none" w:pos="75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reporting, revenue recognition or other financial or control deficiencies of the acquired company that we do not adequately address and that cause our reported results to be incorrect;</w:t>
      </w:r>
    </w:p>
    <w:p>
      <w:pPr>
        <w:spacing w:after="0" w:line="124" w:lineRule="exact"/>
        <w:rPr>
          <w:rFonts w:ascii="Times New Roman" w:cs="Times New Roman" w:eastAsia="Times New Roman" w:hAnsi="Times New Roman"/>
          <w:sz w:val="14"/>
          <w:szCs w:val="14"/>
          <w:color w:val="auto"/>
        </w:rPr>
      </w:pPr>
    </w:p>
    <w:p>
      <w:pPr>
        <w:ind w:left="760" w:right="320" w:hanging="246"/>
        <w:spacing w:after="0" w:line="287" w:lineRule="auto"/>
        <w:tabs>
          <w:tab w:leader="none" w:pos="75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from terminated employees, customers, former stockholders or other third parties.</w:t>
      </w:r>
    </w:p>
    <w:p>
      <w:pPr>
        <w:spacing w:after="0" w:line="179"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22"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2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47"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40"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2023. The timetable for implementation has since been extended to 2024 and, with respect to certain components of the plan, to 2025. Under pillar one, a portion of the residual profits of multinational businesses with global turnover above €20 billion and a profit margin above 10% will be allocated to market jurisdictions where such allocated profits would be taxed. Under pillar two, the Inclusive Framework has agreed on a global minimum corporate tax rate of 15% for companies with revenue above €750 million, calculated on a jurisdictional basis.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In addition, the OECD’s proposed solution envisages new international tax rules and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may be limited.</w:t>
      </w:r>
    </w:p>
    <w:p>
      <w:pPr>
        <w:spacing w:after="0" w:line="18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As of January 31, 2024, we had aggregate U.S. federal and California net operating loss carryforwards of $1.5 billion and $243.9 million, respectively, which may be available to offset future taxable income for income tax purposes. The federal net operating losses are carried forward indefinitely, and California net operating loss carryforwards will begin to expire in 2032. As of January 31, 2024, we had net operating loss carryforwards for other states of $0.8 billion that will begin to expire in fiscal 2025. As of January 31, 2024, we had federal and California research and development credit carryforwards of $113.9 million and $27.4 million, respectively. The federal research and development credit carryforwards will begin to expire in 2036, and the California carryforwards are carried forward indefinitely. As of January 31, 2024, we had aggregate United Kingdom net operating loss carryforwards of $78.0 million and Israel net operating loss carryforwards of $51.5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4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22"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and we may be required to collect such taxes in the future. If we are unsuccessful in collecting such taxes from our customers, we could be held liable for such costs, which may adversely affect our results of operations.</w:t>
      </w:r>
    </w:p>
    <w:p>
      <w:pPr>
        <w:spacing w:after="0" w:line="122"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22" w:lineRule="exact"/>
        <w:rPr>
          <w:sz w:val="20"/>
          <w:szCs w:val="20"/>
          <w:color w:val="auto"/>
        </w:rPr>
      </w:pPr>
    </w:p>
    <w:p>
      <w:pPr>
        <w:ind w:right="140" w:firstLine="255"/>
        <w:spacing w:after="0" w:line="25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4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41"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2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316" w:lineRule="exact"/>
        <w:rPr>
          <w:sz w:val="20"/>
          <w:szCs w:val="20"/>
          <w:color w:val="auto"/>
        </w:rPr>
      </w:pPr>
    </w:p>
    <w:p>
      <w:pPr>
        <w:ind w:right="280" w:firstLine="255"/>
        <w:spacing w:after="0" w:line="264" w:lineRule="auto"/>
        <w:rPr>
          <w:sz w:val="20"/>
          <w:szCs w:val="20"/>
          <w:color w:val="auto"/>
        </w:rPr>
      </w:pPr>
      <w:r>
        <w:rPr>
          <w:rFonts w:ascii="Times New Roman" w:cs="Times New Roman" w:eastAsia="Times New Roman" w:hAnsi="Times New Roman"/>
          <w:sz w:val="14"/>
          <w:szCs w:val="14"/>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Expectations of our performance relating to environmental, social and governance factors may impose additional costs and expose us to new risks.</w:t>
      </w:r>
    </w:p>
    <w:p>
      <w:pPr>
        <w:spacing w:after="0" w:line="181"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There is an increasing focus from regulators, certain investors, and other stakeholders concerning environmental, social and governance (“ESG”) matters, both in the United States and internationally. We have undertaken and expect to continue to undertake certain ESG-related initiatives, goals and commitments, which we have communicated on our website, in our SEC filings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Stakeholders could also challenge the accuracy, adequacy, or completeness of our ESG-related disclosures. Our actual or perceived failure to achieve some or all of our ESG-related initiatives, goals, or commitments or maintain ESG practices that meet evolving stakeholder expectations or regulatory requirements could harm our reputation, adversely impact our ability to attract and retain employees or customers and expose us to increased scrutiny from ESG-focused investors, regulatory authorities and others, or subject us to liability. Damage to our reputation or reduced demand for our products may adversely impact our business, financial condition, or results of operations.</w:t>
      </w:r>
    </w:p>
    <w:p>
      <w:pPr>
        <w:spacing w:after="0" w:line="147"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spacing w:after="0" w:line="122"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181"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As a provider of cybersecurity solutions, we are passionate about cybersecurity risk management. At CrowdStrike, cybersecurity risk management is an integral part of our overall enterprise risk management program.</w:t>
      </w:r>
    </w:p>
    <w:p>
      <w:pPr>
        <w:spacing w:after="0" w:line="124"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Our cybersecurity risk management program, which includes data privacy, product security, and information security, is designed to align with our industry’s best practices. Our program provides a framework for identifying, monitoring, evaluating, and responding to cybersecurity threats and incidents, including those associated with our use of software, applications, services, and cloud infrastructure developed or provided by third-party vendors and service providers. This framework includes steps for identifying the source of a cybersecurity threat or incident, including whether such cybersecurity threat or incident is associated with a third-party vendor or service provider, assessing the severity and risk of a cybersecurity threat or incident, implementing cybersecurity countermeasures and mitigation or remediation strategies, and informing management and the audit committee of our Board of Directors (the “Audit Committee”) of material cybersecurity threats and incidents.</w:t>
      </w:r>
    </w:p>
    <w:p>
      <w:pPr>
        <w:spacing w:after="0" w:line="14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cybersecurity team is responsible for assessing our cybersecurity risk management program and our incident response plan, which we regularly test through table-top exercises, and testing of our security protocols through additional techniques, such as penetration testing. In addition, we regularly engage independent third-party auditors to evaluate our compliance with various security compliance standards. We also conduct internal annual assessments of our cybersecurity risk management program. We review or update our cybersecurity policies, standards and procedures annually, or more frequently as needed, to account for changes in the threat landscape, as well as in response to legal and regulatory developments. Our cybersecurity efforts also include mandatory training for all employees and contractors on CrowdStrike’s security and privacy policies. We also have a clearly defined acceptable use policy, and we require employees to certify to it. We also require employees to certify their adherence to our code of conduct. We also periodically send our employees simulated phishing emails to test their compliance with our policies. Although we have continued to invest in our diligence, onboarding, and monitoring capabilities over our critical third parties, including our third-party vendors and service providers, our control over the security posture of our critical third parties is limited, and there can be no assurance that we can prevent or mitigate the risk of any compromise or failure in the information assets owned or controlled by such third parties.</w:t>
      </w:r>
    </w:p>
    <w:p>
      <w:pPr>
        <w:spacing w:after="0" w:line="318"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A cross-functional incident response team, comprised of representatives from information technology, information security, product security, engineering, privacy and legal, is responsible for the monitoring and disposition of potential occurrences such as data breaches, intrusions, and other security incidents and implementing our detailed incident response plan. Our incident response plan includes processes and procedures for assessing potential internal and external threats, activation and notification, crisis management, and post-incident recovery designed to safeguard the confidentiality, availability, and integrity of our information assets.</w:t>
      </w:r>
    </w:p>
    <w:p>
      <w:pPr>
        <w:spacing w:after="0" w:line="140"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In fiscal 2024, we did not identify any cybersecurity threats or incidents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Risks Related to Our Business and Industry” in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18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Our Board of Directors has oversight responsibility for our overall enterprise risk management, and has delegated cybersecurity risk management oversight to the Audit Committee. The Audit Committee is responsible for ensuring that management (i) has policies, processes, and procedures designed to identify, monitor, evaluate, and respond to cybersecurity risks to which the company is exposed and (ii) takes steps to mitigate or remediate cybersecurity risks, threats and incidents, including monitoring the activities of the cybersecurity team and reviewing and updating our cybersecurity policies, processes and procedures. The Audit Committee also reports material cybersecurity incidents to our full Board of Directors.</w:t>
      </w:r>
    </w:p>
    <w:p>
      <w:pPr>
        <w:spacing w:after="0" w:line="140"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Management is responsible for day-to-day risk management activities, including identifying and assessing cybersecurity risks, establishing processes to ensure that potential cybersecurity risk exposures are monitored, implementing appropriate mitigation or remediation measures and maintaining cybersecurity programs. Our cybersecurity programs are under the direction of our Chief Information Security Officer (“CISO”). Our CISO and dedicated personnel are certified and experienced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systems security professionals and information security managers with many years of experience across a variety of technology sub-specialties.</w:t>
      </w:r>
    </w:p>
    <w:p>
      <w:pPr>
        <w:spacing w:after="0" w:line="179"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Our CISO receives reports from our cybersecurity team and monitors the prevention, detection, and mitigation or remediation of cybersecurity risks. Management, including the CISO, regularly updates the Audit Committee and the Board of Directors on the Company’s cybersecurity programs, material cybersecurity risks, and mitigation or remediation strategies.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Our principal executive offices occupy approximately 47,618 square feet in Austin, Texas under a lease that expires in 2030. We also lease office space for our operations in various locations throughout the United States as well as office space in a number of countries in Europe, the Middle East, and the Asia-Pacific region.</w:t>
      </w:r>
    </w:p>
    <w:p>
      <w:pPr>
        <w:spacing w:after="0" w:line="124"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We believe that our existing facilities are sufficient for our current needs. In the future, we may need to add new facilities and expand our existing facilities as we add employees, grow our infrastructure and evolve our business. We believe that suitable additional or substitute space will be available on commercially reasonable terms to meet our future needs.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1"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9, Commitments and Contingencies, in Part II, Item 8 of this Annual Report on Form 10-K.</w:t>
      </w:r>
    </w:p>
    <w:p>
      <w:pPr>
        <w:spacing w:after="0" w:line="13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For any claims for which we believe a liability is both probable and reasonably estimable, we record a liability in the period for which we make this determination. There is no pending or threatened legal proceeding to which we are a party that, in our opinion, is likely to have a material adverse effect on our business and our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for Common Stock</w:t>
      </w:r>
    </w:p>
    <w:p>
      <w:pPr>
        <w:spacing w:after="0" w:line="181"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Our Class A common stock has been listed and traded on the Nasdaq Global Select Market under the symbol “CRWD” since June 12, 2019. Prior to that date, there was no public market for our Class A common stock. There is no public market for our Class B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18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As of January 31, 2024, we had 37 holders of record of our Class A common stock and 70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1" w:lineRule="exact"/>
        <w:rPr>
          <w:sz w:val="20"/>
          <w:szCs w:val="20"/>
          <w:color w:val="auto"/>
        </w:rPr>
      </w:pPr>
    </w:p>
    <w:p>
      <w:pPr>
        <w:ind w:firstLine="255"/>
        <w:spacing w:after="0" w:line="263"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Additionally, our ability to pay dividends is limited by restrictions on our ability to pay dividends or make distributions under the terms of our credit facility.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81"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with respect to our equity compensation plans is incorporated by reference to our Proxy Statement for the 2024 Annual Meeting of Stockholders to be filed with the Securities and Exchange Commission within 120 days of the fiscal year ended January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Equity Securities and Use of Proceeds</w:t>
      </w:r>
    </w:p>
    <w:p>
      <w:pPr>
        <w:spacing w:after="0" w:line="179" w:lineRule="exact"/>
        <w:rPr>
          <w:sz w:val="20"/>
          <w:szCs w:val="20"/>
          <w:color w:val="auto"/>
        </w:rPr>
      </w:pPr>
    </w:p>
    <w:p>
      <w:pPr>
        <w:ind w:left="260" w:right="8740" w:hanging="255"/>
        <w:spacing w:after="0" w:line="506" w:lineRule="auto"/>
        <w:tabs>
          <w:tab w:leader="none" w:pos="206"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Sale of Unregistered Equity Securities </w:t>
      </w:r>
      <w:r>
        <w:rPr>
          <w:rFonts w:ascii="Times New Roman" w:cs="Times New Roman" w:eastAsia="Times New Roman" w:hAnsi="Times New Roman"/>
          <w:sz w:val="14"/>
          <w:szCs w:val="14"/>
          <w:color w:val="auto"/>
        </w:rPr>
        <w:t>None.</w:t>
      </w:r>
    </w:p>
    <w:p>
      <w:pPr>
        <w:ind w:left="260" w:right="7660" w:hanging="255"/>
        <w:spacing w:after="0" w:line="506" w:lineRule="auto"/>
        <w:tabs>
          <w:tab w:leader="none" w:pos="213"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Use of Proceeds from Public Offering of Common Stock </w:t>
      </w:r>
      <w:r>
        <w:rPr>
          <w:rFonts w:ascii="Times New Roman" w:cs="Times New Roman" w:eastAsia="Times New Roman" w:hAnsi="Times New Roman"/>
          <w:sz w:val="14"/>
          <w:szCs w:val="14"/>
          <w:color w:val="auto"/>
        </w:rPr>
        <w:t>None.</w:t>
      </w: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8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CrowdStrike Holdings, Inc. under the Securities Act or the Exchange Act.</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We have presented below the cumulative total return to our stockholders between June 12, 2019 (the date our common stock commenced trading on the Nasdaq) through January 31, 2024 in comparison to the Standard &amp; Poor’s 500 Index, Standard &amp; Poor Information Technology Index, and the Nasdaq 100 Index. All values assume a $100 initial investment and data for the Standard &amp; Poor’s 500 Index, Standard &amp; Poor Information Technology Index and the Nasdaq 100 Index assume reinvestment of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98425</wp:posOffset>
            </wp:positionV>
            <wp:extent cx="4446270" cy="38874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46270" cy="388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 Index</w:t>
            </w:r>
          </w:p>
        </w:tc>
        <w:tc>
          <w:tcPr>
            <w:tcW w:w="24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Base period 6/12/19</w:t>
            </w:r>
          </w:p>
        </w:tc>
        <w:tc>
          <w:tcPr>
            <w:tcW w:w="240" w:type="dxa"/>
            <w:vAlign w:val="bottom"/>
          </w:tcPr>
          <w:p>
            <w:pPr>
              <w:spacing w:after="0"/>
              <w:rPr>
                <w:sz w:val="16"/>
                <w:szCs w:val="16"/>
                <w:color w:val="auto"/>
              </w:rPr>
            </w:pPr>
          </w:p>
        </w:tc>
        <w:tc>
          <w:tcPr>
            <w:tcW w:w="10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1/31/20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1/31/21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1/31/22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1/31/23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1/31/24</w:t>
            </w:r>
          </w:p>
        </w:tc>
      </w:tr>
      <w:tr>
        <w:trPr>
          <w:trHeight w:val="171"/>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CrowdStrike Holdings, Inc.</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504.31</w:t>
            </w:r>
          </w:p>
        </w:tc>
      </w:tr>
      <w:tr>
        <w:trPr>
          <w:trHeight w:val="18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118.69</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139.17</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171.58</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157.48</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190.27</w:t>
            </w:r>
          </w:p>
        </w:tc>
      </w:tr>
      <w:tr>
        <w:trPr>
          <w:trHeight w:val="18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Information Technology</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294.24</w:t>
            </w:r>
          </w:p>
        </w:tc>
      </w:tr>
      <w:tr>
        <w:trPr>
          <w:trHeight w:val="18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Nasdaq 100</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184.09</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214.11</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175.08</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250.05</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79"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consolidated financial statements and related notes thereto included in Item 8 “Financial Statements and Supplementary Data” in this Annual Report on Form 10-K. This section of this Form 10-K generally discusses fiscal 2024 and 2023 items and year-over-year comparisons between fiscal 2024 and 2023. Discussions of fiscal 2022 items and year-over-year comparisons between fiscal 2023 and 2022 are not included in this Form 10-K, and can be found in “Management’s Discussion and Analysis of Financial Condition and Results of Operations” in Part II, Item 7 of our Annual Report on Form 10-K for the fiscal year ended January 31, 2023.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“Special Note Regarding Forward-Looking Statements.” You should review the disclosure under Part I, Item 1A, “Risk Factors” in this Annual Report on Form 10-K for a discussion of important factors that could cause actual results to differ materially from the results described in or implied by the forward-looking statements contained in the following discussion and analysis. Our fiscal years ended January 31, 2024, January 31, 2023, and January 31, 2022, are referred to herein as fiscal 2024, fiscal 2023, and fiscal 2022, respectively.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XDR platform – the first, true cloud-native platform built with AI at the core, capable of harnessing vast amounts of security and enterprise data to deliver highly modular solutions through a single lightweight agent.</w:t>
      </w:r>
    </w:p>
    <w:p>
      <w:pPr>
        <w:spacing w:after="0" w:line="14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Our Go-To-Market Strategy</w:t>
      </w:r>
    </w:p>
    <w:p>
      <w:pPr>
        <w:spacing w:after="0" w:line="18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3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40"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Factors Affecting Our Performance</w:t>
      </w:r>
    </w:p>
    <w:p>
      <w:pPr>
        <w:spacing w:after="0" w:line="179"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Adoption of Our Solutions. </w:t>
      </w:r>
      <w:r>
        <w:rPr>
          <w:rFonts w:ascii="Times New Roman" w:cs="Times New Roman" w:eastAsia="Times New Roman" w:hAnsi="Times New Roman"/>
          <w:sz w:val="14"/>
          <w:szCs w:val="14"/>
          <w:color w:val="auto"/>
        </w:rPr>
        <w:t>We believe our future success depends in large part on the growth in the market for cloud-based SaaS-delivered endpoint security solutions. Many organizations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34" w:lineRule="exact"/>
        <w:rPr>
          <w:sz w:val="20"/>
          <w:szCs w:val="20"/>
          <w:color w:val="auto"/>
        </w:rPr>
      </w:pPr>
    </w:p>
    <w:p>
      <w:pPr>
        <w:ind w:right="120"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Customer Acquisition. </w:t>
      </w:r>
      <w:r>
        <w:rPr>
          <w:rFonts w:ascii="Times New Roman" w:cs="Times New Roman" w:eastAsia="Times New Roman" w:hAnsi="Times New Roman"/>
          <w:sz w:val="14"/>
          <w:szCs w:val="14"/>
          <w:color w:val="auto"/>
        </w:rPr>
        <w:t>Our future growth depends in large part on our ability to acquire new customers. If our efforts to attract new customers are not successful, our revenue and rate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40" w:lineRule="exact"/>
        <w:rPr>
          <w:sz w:val="20"/>
          <w:szCs w:val="20"/>
          <w:color w:val="auto"/>
        </w:rPr>
      </w:pPr>
    </w:p>
    <w:p>
      <w:pPr>
        <w:ind w:right="18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Maintain Customer Retention and Increase Sales. </w:t>
      </w:r>
      <w:r>
        <w:rPr>
          <w:rFonts w:ascii="Times New Roman" w:cs="Times New Roman" w:eastAsia="Times New Roman" w:hAnsi="Times New Roman"/>
          <w:sz w:val="14"/>
          <w:szCs w:val="14"/>
          <w:color w:val="auto"/>
        </w:rPr>
        <w:t>Our ability to increase revenue depends in large part on our ability to retain our existing customers and increase the ARR of their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34"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 in Growth. </w:t>
      </w:r>
      <w:r>
        <w:rPr>
          <w:rFonts w:ascii="Times New Roman" w:cs="Times New Roman" w:eastAsia="Times New Roman" w:hAnsi="Times New Roman"/>
          <w:sz w:val="14"/>
          <w:szCs w:val="14"/>
          <w:color w:val="auto"/>
        </w:rPr>
        <w:t>We believe that our market opportunity is large and requires us to continue to invest significantly in sales and marketing efforts to further grow our customer base, both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Key Metrics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monitor the following key metrics to help us evaluate our business, identify trends affecting our business, formulate business plans, and make strategic decisions.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Annual Recurring Revenue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ARR</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ARR as of the dates presented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Borders>
              <w:bottom w:val="single" w:sz="8" w:color="auto"/>
            </w:tcBorders>
          </w:tcPr>
          <w:p>
            <w:pPr>
              <w:spacing w:after="0"/>
              <w:rPr>
                <w:sz w:val="16"/>
                <w:szCs w:val="16"/>
                <w:color w:val="auto"/>
              </w:rPr>
            </w:pPr>
          </w:p>
        </w:tc>
      </w:tr>
      <w:tr>
        <w:trPr>
          <w:trHeight w:val="171"/>
        </w:trPr>
        <w:tc>
          <w:tcPr>
            <w:tcW w:w="35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35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recurring revenue</w:t>
            </w:r>
          </w:p>
        </w:tc>
        <w:tc>
          <w:tcPr>
            <w:tcW w:w="5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3,435,150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2,559,694</w:t>
            </w: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growth</w:t>
            </w:r>
          </w:p>
        </w:tc>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675"/>
        </w:trPr>
        <w:tc>
          <w:tcPr>
            <w:tcW w:w="3520" w:type="dxa"/>
            <w:vAlign w:val="bottom"/>
          </w:tcPr>
          <w:p>
            <w:pPr>
              <w:spacing w:after="0"/>
              <w:rPr>
                <w:sz w:val="24"/>
                <w:szCs w:val="24"/>
                <w:color w:val="auto"/>
              </w:rPr>
            </w:pPr>
          </w:p>
        </w:tc>
        <w:tc>
          <w:tcPr>
            <w:tcW w:w="4820" w:type="dxa"/>
            <w:vAlign w:val="bottom"/>
          </w:tcPr>
          <w:p>
            <w:pPr>
              <w:jc w:val="right"/>
              <w:ind w:right="2549"/>
              <w:spacing w:after="0"/>
              <w:rPr>
                <w:sz w:val="20"/>
                <w:szCs w:val="20"/>
                <w:color w:val="auto"/>
              </w:rPr>
            </w:pPr>
            <w:r>
              <w:rPr>
                <w:rFonts w:ascii="Times New Roman" w:cs="Times New Roman" w:eastAsia="Times New Roman" w:hAnsi="Times New Roman"/>
                <w:sz w:val="14"/>
                <w:szCs w:val="14"/>
                <w:color w:val="auto"/>
              </w:rPr>
              <w:t>61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3520" w:type="dxa"/>
            <w:vAlign w:val="bottom"/>
            <w:tcBorders>
              <w:bottom w:val="single" w:sz="8" w:color="9A9A9A"/>
            </w:tcBorders>
          </w:tcPr>
          <w:p>
            <w:pPr>
              <w:spacing w:after="0"/>
              <w:rPr>
                <w:sz w:val="7"/>
                <w:szCs w:val="7"/>
                <w:color w:val="auto"/>
              </w:rPr>
            </w:pPr>
          </w:p>
        </w:tc>
        <w:tc>
          <w:tcPr>
            <w:tcW w:w="48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ARR increased 34% year-over-year and grew to $3.4 billion as of January 31, 2024, of which $875.5 million was net new ARR added during fiscal 2024. ARR increased 48% year-over-year and grew to $2.6 billion as of January 31, 2023, of which $828.4 million was net new ARR added during fiscal 2023.</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Dollar-Based Net Retention Rate</w:t>
      </w:r>
    </w:p>
    <w:p>
      <w:pPr>
        <w:spacing w:after="0" w:line="181" w:lineRule="exact"/>
        <w:rPr>
          <w:sz w:val="20"/>
          <w:szCs w:val="20"/>
          <w:color w:val="auto"/>
        </w:rPr>
      </w:pPr>
    </w:p>
    <w:p>
      <w:pPr>
        <w:ind w:right="100" w:firstLine="255"/>
        <w:spacing w:after="0" w:line="257" w:lineRule="auto"/>
        <w:rPr>
          <w:sz w:val="20"/>
          <w:szCs w:val="20"/>
          <w:color w:val="auto"/>
        </w:rPr>
      </w:pPr>
      <w:r>
        <w:rPr>
          <w:rFonts w:ascii="Times New Roman" w:cs="Times New Roman" w:eastAsia="Times New Roman" w:hAnsi="Times New Roman"/>
          <w:sz w:val="14"/>
          <w:szCs w:val="14"/>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14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Our dollar-based net retention rate can fluctuate from period to period due to large customer contracts in a given period, which may reduce our dollar-based net retention rate in subsequent periods if the customer makes a larger upfront purchase and does not continue to increase the size of their purchases.</w:t>
      </w:r>
    </w:p>
    <w:p>
      <w:pPr>
        <w:spacing w:after="0" w:line="154"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As of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0"/>
        </w:trPr>
        <w:tc>
          <w:tcPr>
            <w:tcW w:w="9300" w:type="dxa"/>
            <w:vAlign w:val="bottom"/>
            <w:gridSpan w:val="2"/>
            <w:shd w:val="clear" w:color="auto" w:fill="CCEEFF"/>
          </w:tcPr>
          <w:p>
            <w:pPr>
              <w:jc w:val="right"/>
              <w:ind w:right="7489"/>
              <w:spacing w:after="0"/>
              <w:rPr>
                <w:sz w:val="20"/>
                <w:szCs w:val="20"/>
                <w:color w:val="auto"/>
              </w:rPr>
            </w:pPr>
            <w:r>
              <w:rPr>
                <w:rFonts w:ascii="Times New Roman" w:cs="Times New Roman" w:eastAsia="Times New Roman" w:hAnsi="Times New Roman"/>
                <w:sz w:val="14"/>
                <w:szCs w:val="14"/>
                <w:color w:val="auto"/>
              </w:rPr>
              <w:t>Dollar-based net retention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84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The following tables set forth our consolidated statements of operations for each period presented (in thousands, except percentages):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January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Subscription</w:t>
            </w:r>
          </w:p>
        </w:tc>
        <w:tc>
          <w:tcPr>
            <w:tcW w:w="35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2,870,557</w:t>
            </w:r>
          </w:p>
        </w:tc>
        <w:tc>
          <w:tcPr>
            <w:tcW w:w="4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2,111,660</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1,359,537</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services</w:t>
            </w:r>
          </w:p>
        </w:tc>
        <w:tc>
          <w:tcPr>
            <w:tcW w:w="3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184,998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129,576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92,057</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3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3,055,555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2,241,236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1,451,594</w:t>
            </w:r>
          </w:p>
        </w:tc>
        <w:tc>
          <w:tcPr>
            <w:tcW w:w="0" w:type="dxa"/>
            <w:vAlign w:val="bottom"/>
          </w:tcPr>
          <w:p>
            <w:pPr>
              <w:spacing w:after="0"/>
              <w:rPr>
                <w:sz w:val="1"/>
                <w:szCs w:val="1"/>
                <w:color w:val="auto"/>
              </w:rPr>
            </w:pPr>
          </w:p>
        </w:tc>
      </w:tr>
      <w:tr>
        <w:trPr>
          <w:trHeight w:val="16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w:t>
            </w: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630,745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511,684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321,904</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services</w:t>
            </w:r>
          </w:p>
        </w:tc>
        <w:tc>
          <w:tcPr>
            <w:tcW w:w="3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124,978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61,317</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3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755,723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601,231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383,221</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2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2,299,832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1,640,005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1,068,373</w:t>
            </w:r>
          </w:p>
        </w:tc>
        <w:tc>
          <w:tcPr>
            <w:tcW w:w="0" w:type="dxa"/>
            <w:vAlign w:val="bottom"/>
          </w:tcPr>
          <w:p>
            <w:pPr>
              <w:spacing w:after="0"/>
              <w:rPr>
                <w:sz w:val="1"/>
                <w:szCs w:val="1"/>
                <w:color w:val="auto"/>
              </w:rPr>
            </w:pPr>
          </w:p>
        </w:tc>
      </w:tr>
      <w:tr>
        <w:trPr>
          <w:trHeight w:val="16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3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1,140,566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904,409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616,546</w:t>
            </w:r>
          </w:p>
        </w:tc>
        <w:tc>
          <w:tcPr>
            <w:tcW w:w="0" w:type="dxa"/>
            <w:vAlign w:val="bottom"/>
          </w:tcPr>
          <w:p>
            <w:pPr>
              <w:spacing w:after="0"/>
              <w:rPr>
                <w:sz w:val="1"/>
                <w:szCs w:val="1"/>
                <w:color w:val="auto"/>
              </w:rPr>
            </w:pP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768,497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608,364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371,283</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392,764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317,344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223,092</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2,301,827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1,830,117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1,210,921</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(190,112)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(142,548)</w:t>
            </w:r>
          </w:p>
        </w:tc>
        <w:tc>
          <w:tcPr>
            <w:tcW w:w="0" w:type="dxa"/>
            <w:vAlign w:val="bottom"/>
          </w:tcPr>
          <w:p>
            <w:pPr>
              <w:spacing w:after="0"/>
              <w:rPr>
                <w:sz w:val="1"/>
                <w:szCs w:val="1"/>
                <w:color w:val="auto"/>
              </w:rPr>
            </w:pPr>
          </w:p>
        </w:tc>
      </w:tr>
      <w:tr>
        <w:trPr>
          <w:trHeight w:val="180"/>
        </w:trPr>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(25,231)</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3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3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3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(160,023)</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72,355</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(182,285)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(232,378)</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CrowdStrike</w:t>
            </w:r>
          </w:p>
        </w:tc>
        <w:tc>
          <w:tcPr>
            <w:tcW w:w="3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89,327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(183,245)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(234,802)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1349"/>
              <w:spacing w:after="0"/>
              <w:rPr>
                <w:sz w:val="20"/>
                <w:szCs w:val="20"/>
                <w:color w:val="auto"/>
              </w:rPr>
            </w:pPr>
            <w:r>
              <w:rPr>
                <w:rFonts w:ascii="Times New Roman" w:cs="Times New Roman" w:eastAsia="Times New Roman" w:hAnsi="Times New Roman"/>
                <w:sz w:val="14"/>
                <w:szCs w:val="14"/>
                <w:color w:val="auto"/>
              </w:rPr>
              <w:t>63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39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2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components of our consolidated statements of operations as a percentage of total revenue for the periods presented:</w:t>
      </w:r>
    </w:p>
    <w:p>
      <w:pPr>
        <w:spacing w:after="0" w:line="3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9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00" w:type="dxa"/>
            <w:vAlign w:val="bottom"/>
            <w:tcBorders>
              <w:top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900" w:type="dxa"/>
            <w:vAlign w:val="bottom"/>
          </w:tcPr>
          <w:p>
            <w:pPr>
              <w:spacing w:after="0"/>
              <w:rPr>
                <w:sz w:val="14"/>
                <w:szCs w:val="14"/>
                <w:color w:val="auto"/>
              </w:rPr>
            </w:pPr>
          </w:p>
        </w:tc>
        <w:tc>
          <w:tcPr>
            <w:tcW w:w="9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Subscription</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r>
      <w:tr>
        <w:trPr>
          <w:trHeight w:val="180"/>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services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7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Subscription</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80"/>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services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7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18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80"/>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0"/>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7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r>
      <w:tr>
        <w:trPr>
          <w:trHeight w:val="18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500" w:type="dxa"/>
            <w:vAlign w:val="bottom"/>
            <w:gridSpan w:val="3"/>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1500" w:type="dxa"/>
            <w:vAlign w:val="bottom"/>
            <w:gridSpan w:val="3"/>
          </w:tcPr>
          <w:p>
            <w:pPr>
              <w:jc w:val="right"/>
              <w:ind w:right="969"/>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500" w:type="dxa"/>
            <w:vAlign w:val="bottom"/>
            <w:gridSpan w:val="3"/>
          </w:tcPr>
          <w:p>
            <w:pPr>
              <w:jc w:val="right"/>
              <w:ind w:right="969"/>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CrowdStrike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Fiscal 2024 and Fiscal 2023</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total revenue from subscriptions and professional services for fiscal 2024, as compared to fiscal 2023 (in thousands, except percentages):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2,870,557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2,111,660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758,897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8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184,998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129,576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55,422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96"/>
        </w:trPr>
        <w:tc>
          <w:tcPr>
            <w:tcW w:w="5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3,055,555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2,241,236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814,319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revenue increased by $814.3 million, or 36%, in fiscal 2024, compared to fiscal 2023. Subscription revenue accounted for 94% of our total revenue in both fiscal 2024 and fiscal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Professional services revenue accounted for 6% of our total revenue in both fiscal 2024 and fiscal 2023.</w:t>
      </w:r>
    </w:p>
    <w:p>
      <w:pPr>
        <w:spacing w:after="0" w:line="164"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Subscription revenue increased by $758.9 million, or 36% in fiscal 2024, compared to fiscal 2023, which was primarily driven by a combination of the addition of new customers and the sale of additional sensors and modules to existing customers.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Professional services revenue increased by $55.4 million, or 43%, in fiscal 2024, compared to fiscal 2023, which was primarily attributable to an increase in the number of professional service hours performed.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Gross Profit, and Gross Margin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cost of revenue related to subscriptions and professional services for fiscal 2024, as compared to fiscal 2023 (in thousands, except percentages):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630,745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119,061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124,978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89,547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35,431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96"/>
        </w:trPr>
        <w:tc>
          <w:tcPr>
            <w:tcW w:w="5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755,723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601,231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154,492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Total cost of revenue increased by $154.5 million, or 26%, in fiscal 2024, compared to fiscal 2023. Subscription cost of revenue increased by $119.1 million, or 23%, in fiscal 2024, compared to fiscal 2023. The increase in subscription cost of revenue was primarily due to an increase in employee-related expenses of $52.1 million driven by a 34% increase in average headcount, an increase in depreciation of data center equipment of $20.3 million, an increase in amortization of internal-use software of $15.8 million, an increase in allocated overhead costs of $12.6 million, an increase in stock-based compensation expense of $11.8 million, an increase in term-based software licenses of $5.2 million, and an increase in employee health benefits of $2.8 million.</w:t>
      </w:r>
    </w:p>
    <w:p>
      <w:pPr>
        <w:spacing w:after="0" w:line="140"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Professional services cost of revenue increased by $35.4 million, or 40%, in fiscal 2024, compared to fiscal 2023. The increase in professional services cost of revenue was primarily due to an increase in employee-related expenses of $17.2 million driven by an increase in average headcount of 27%, an increase in consulting expense of $8.8 million, an increase in stock-based compensation expense of $6.6 million, and an increase in allocated overhead costs of $3.1 million.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gross profit and gross margin for subscriptions and professional services for fiscal 2024, as compared to fiscal 2023 (in thousands, except percentages):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profit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2,239,812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1,599,976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639,836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8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 gross profit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40,029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6"/>
        </w:trPr>
        <w:tc>
          <w:tcPr>
            <w:tcW w:w="5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gross profit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2,299,832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1,640,005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659,827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8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
        </w:trPr>
        <w:tc>
          <w:tcPr>
            <w:tcW w:w="6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margin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Professional services gross margin</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7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gross margin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bl>
    <w:p>
      <w:pPr>
        <w:spacing w:after="0" w:line="229"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Subscription gross margin increased by 2% in fiscal 2024, compared to fiscal 2023. The increase in subscription gross margin was primarily due to an increase in cloud hosting efficiency during fiscal 2024 compared to fiscal 2023.</w:t>
      </w:r>
    </w:p>
    <w:p>
      <w:pPr>
        <w:spacing w:after="0" w:line="124"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Professional services gross margin increased by 1% in fiscal 2024, compared to fiscal 2023. The increase in professional services gross margin was primarily due to increased utilization during fiscal 2024 compared to fiscal 2023.</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40"/>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Sales and Marketing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0"/>
        </w:trPr>
        <w:tc>
          <w:tcPr>
            <w:tcW w:w="8460" w:type="dxa"/>
            <w:vAlign w:val="bottom"/>
            <w:gridSpan w:val="7"/>
          </w:tcPr>
          <w:p>
            <w:pPr>
              <w:ind w:left="260"/>
              <w:spacing w:after="0"/>
              <w:rPr>
                <w:sz w:val="20"/>
                <w:szCs w:val="20"/>
                <w:color w:val="auto"/>
              </w:rPr>
            </w:pPr>
            <w:r>
              <w:rPr>
                <w:rFonts w:ascii="Times New Roman" w:cs="Times New Roman" w:eastAsia="Times New Roman" w:hAnsi="Times New Roman"/>
                <w:sz w:val="14"/>
                <w:szCs w:val="14"/>
                <w:color w:val="auto"/>
              </w:rPr>
              <w:t>The following shows sales and marketing expenses for fiscal 2024, as compared to fiscal 2023 (in thousands, except percentages):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2"/>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1,140,566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904,409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236,157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bl>
    <w:p>
      <w:pPr>
        <w:spacing w:after="0" w:line="22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Sales and marketing expenses increased by $236.2 million, or 26%, in fiscal 2024, compared to fiscal 2023. The increase in sales and marketing expenses was primarily due to an increase in employee-related expenses of $119.9 million driven by an increase in sales and marketing average headcount of 20%, an increase in marketing programs of $45.3 million, an increase in stock-based compensation of $23.9 million, an increase in allocated overhead costs of $16.3 million, an increase in travel expenses of $6.7 million, an increase in company events expenses of $6.0 million, an increase in employee health benefits of $5.4 million, an increase in term-based software licenses of $2.6 million, an increase in taxes and licenses of $2.0 million, and an increase in marketing consulting expenses of $1.1 million.</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research and development expenses for fiscal 2024, as compared to fiscal 2023 (in thousands, except percentages):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160,133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bl>
    <w:p>
      <w:pPr>
        <w:spacing w:after="0" w:line="219" w:lineRule="exact"/>
        <w:rPr>
          <w:sz w:val="20"/>
          <w:szCs w:val="20"/>
          <w:color w:val="auto"/>
        </w:rPr>
      </w:pPr>
    </w:p>
    <w:p>
      <w:pPr>
        <w:jc w:val="both"/>
        <w:ind w:right="40" w:firstLine="255"/>
        <w:spacing w:after="0" w:line="261" w:lineRule="auto"/>
        <w:rPr>
          <w:sz w:val="20"/>
          <w:szCs w:val="20"/>
          <w:color w:val="auto"/>
        </w:rPr>
      </w:pPr>
      <w:r>
        <w:rPr>
          <w:rFonts w:ascii="Times New Roman" w:cs="Times New Roman" w:eastAsia="Times New Roman" w:hAnsi="Times New Roman"/>
          <w:sz w:val="14"/>
          <w:szCs w:val="14"/>
          <w:color w:val="auto"/>
        </w:rPr>
        <w:t>Research and development expenses increased by $160.1 million, or 26% in fiscal 2024, compared to fiscal 2023. This increase was primarily due to an increase in employee-related expenses of $101.8 million driven by an increase in research and development average headcount of 24%, an increase in stock-based compensation of $31.2 million, an increase in cloud hosting and related costs of $26.0 million, an increase in allocated overhead costs of $19.0 million, an increase in depreciation of data center equipment of $8.1 million, an increase in employee health benefits of $4.6 million, an increase in consulting expense of $2.2 million, and an increase in term-based software licenses of $1.5 million, partially offset by an increase in software capitalization of $18.5 million, a decrease in company events expenses of $11.0 million, and a decrease in travel expenses of $3.2 million.</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general and administrative expenses for fiscal 2024, as compared to fiscal 2023 (in thousands, except percentages):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75,420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bl>
    <w:p>
      <w:pPr>
        <w:spacing w:after="0" w:line="229"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expenses increased by $75.4 million, or 24%, in fiscal 2024, compared to fiscal 2023. The increase in general and administrative expenses was primarily due to an increase in stock-based compensation expense of $31.5 million, an increase in legal expense of $15.1 million, an increase in employee-related expenses of $15.0 million driven by an increase in general and administrative average headcount of 23%, an increase in allocated overhead costs of $3.7 million, an increase in labor and other expenses of $3.6 million, an increase in travel expenses of $2.3 million, an increase in taxes and licenses of $1.9 million, and an increase in consulting expense of $1.6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Interest Income and Other Income, Net</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40"/>
        </w:trPr>
        <w:tc>
          <w:tcPr>
            <w:tcW w:w="10260" w:type="dxa"/>
            <w:vAlign w:val="bottom"/>
            <w:gridSpan w:val="11"/>
          </w:tcPr>
          <w:p>
            <w:pPr>
              <w:ind w:left="260"/>
              <w:spacing w:after="0"/>
              <w:rPr>
                <w:sz w:val="20"/>
                <w:szCs w:val="20"/>
                <w:color w:val="auto"/>
              </w:rPr>
            </w:pPr>
            <w:r>
              <w:rPr>
                <w:rFonts w:ascii="Times New Roman" w:cs="Times New Roman" w:eastAsia="Times New Roman" w:hAnsi="Times New Roman"/>
                <w:sz w:val="14"/>
                <w:szCs w:val="14"/>
                <w:color w:val="auto"/>
              </w:rPr>
              <w:t>The following shows interest expense, interest income, and other income, net, for fiscal 2024, as compared to fiscal 2023 (in thousands, except percentages):</w:t>
            </w:r>
          </w:p>
        </w:tc>
        <w:tc>
          <w:tcPr>
            <w:tcW w:w="980" w:type="dxa"/>
            <w:vAlign w:val="bottom"/>
          </w:tcPr>
          <w:p>
            <w:pPr>
              <w:spacing w:after="0"/>
              <w:rPr>
                <w:sz w:val="24"/>
                <w:szCs w:val="24"/>
                <w:color w:val="auto"/>
              </w:rPr>
            </w:pPr>
          </w:p>
        </w:tc>
      </w:tr>
      <w:tr>
        <w:trPr>
          <w:trHeight w:val="202"/>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171"/>
        </w:trPr>
        <w:tc>
          <w:tcPr>
            <w:tcW w:w="5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148,930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96,435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184 %</w:t>
            </w: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bl>
    <w:p>
      <w:pPr>
        <w:spacing w:after="0" w:line="229" w:lineRule="exact"/>
        <w:rPr>
          <w:sz w:val="20"/>
          <w:szCs w:val="20"/>
          <w:color w:val="auto"/>
        </w:rPr>
      </w:pPr>
    </w:p>
    <w:p>
      <w:pPr>
        <w:jc w:val="both"/>
        <w:ind w:right="20" w:firstLine="255"/>
        <w:spacing w:after="0" w:line="287" w:lineRule="auto"/>
        <w:rPr>
          <w:sz w:val="20"/>
          <w:szCs w:val="20"/>
          <w:color w:val="auto"/>
        </w:rPr>
      </w:pPr>
      <w:r>
        <w:rPr>
          <w:rFonts w:ascii="Times New Roman" w:cs="Times New Roman" w:eastAsia="Times New Roman" w:hAnsi="Times New Roman"/>
          <w:sz w:val="14"/>
          <w:szCs w:val="14"/>
          <w:color w:val="auto"/>
        </w:rPr>
        <w:t>Interest expense consists primarily of amortization of debt issuance costs, contractual interest expense, accretion of debt discount for our Senior Notes issued in January 2021, and amortization of debt issuance costs on our secured revolving credit facility.</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increase in interest income during fiscal 2024 compared to fiscal 2023 was driven by increases in market interest rates and an increase in our cash and cash equivalents.</w:t>
      </w:r>
    </w:p>
    <w:p>
      <w:pPr>
        <w:spacing w:after="0" w:line="179"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 decrease in other income, net during fiscal 2024 compared to fiscal 2023 was primarily due to a decrease in mark to market adjustments of $3.3 million on our strategic investments and an increase in net foreign currency transaction losses of $2.3 million, partially offset by an increase in gains on sales of our strategic investments of $3.9 million.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the provision for income taxes for fiscal 2024, as compared to fiscal 2023 (in thousands, except percentages):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r>
    </w:tbl>
    <w:p>
      <w:pPr>
        <w:spacing w:after="0" w:line="219"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The increase in provision for income taxes during fiscal 2024 compared to fiscal 2023 was primarily attributable to an increase in withholding taxes related to customer payments in certain foreign jurisdictions in which the Company conducts business.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9"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Subscription Revenue. </w:t>
      </w:r>
      <w:r>
        <w:rPr>
          <w:rFonts w:ascii="Times New Roman" w:cs="Times New Roman" w:eastAsia="Times New Roman" w:hAnsi="Times New Roman"/>
          <w:sz w:val="14"/>
          <w:szCs w:val="14"/>
          <w:color w:val="auto"/>
        </w:rPr>
        <w:t>Subscription revenue primarily consists of subscription fees for our Falcon platform and additional cloud modules that are supported by our cloud-based platform.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40"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Revenue. </w:t>
      </w:r>
      <w:r>
        <w:rPr>
          <w:rFonts w:ascii="Times New Roman" w:cs="Times New Roman" w:eastAsia="Times New Roman" w:hAnsi="Times New Roman"/>
          <w:sz w:val="14"/>
          <w:szCs w:val="14"/>
          <w:color w:val="auto"/>
        </w:rPr>
        <w:t>Professional services revenue includes incident response and proactive services, forensic and malware analysis, and attribution analysis. Professional services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79" w:lineRule="exact"/>
        <w:rPr>
          <w:sz w:val="20"/>
          <w:szCs w:val="20"/>
          <w:color w:val="auto"/>
        </w:rPr>
      </w:pPr>
    </w:p>
    <w:p>
      <w:pPr>
        <w:ind w:right="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Subscription Cost of Revenue. </w:t>
      </w:r>
      <w:r>
        <w:rPr>
          <w:rFonts w:ascii="Times New Roman" w:cs="Times New Roman" w:eastAsia="Times New Roman" w:hAnsi="Times New Roman"/>
          <w:sz w:val="14"/>
          <w:szCs w:val="14"/>
          <w:color w:val="auto"/>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36"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38" w:lineRule="exact"/>
        <w:rPr>
          <w:sz w:val="20"/>
          <w:szCs w:val="20"/>
          <w:color w:val="auto"/>
        </w:rPr>
      </w:pPr>
    </w:p>
    <w:p>
      <w:pPr>
        <w:ind w:right="3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Cost of Revenue. </w:t>
      </w:r>
      <w:r>
        <w:rPr>
          <w:rFonts w:ascii="Times New Roman" w:cs="Times New Roman" w:eastAsia="Times New Roman" w:hAnsi="Times New Roman"/>
          <w:sz w:val="14"/>
          <w:szCs w:val="14"/>
          <w:color w:val="auto"/>
        </w:rPr>
        <w:t>Professional services cost of revenue consists primarily of employee-related costs, such as salaries and bonuses, stock-based compensation expense,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technology, property and equipment depreciation, and an allocated portion of facilities and administrative costs.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81"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34"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expenses primarily consist of employee-related expenses such as salaries, commissions, and bonuses. Sales 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4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period-to-period depending on the timing of these expenses.</w:t>
      </w:r>
    </w:p>
    <w:p>
      <w:pPr>
        <w:spacing w:after="0" w:line="134" w:lineRule="exact"/>
        <w:rPr>
          <w:sz w:val="20"/>
          <w:szCs w:val="20"/>
          <w:color w:val="auto"/>
        </w:rPr>
      </w:pPr>
    </w:p>
    <w:p>
      <w:pPr>
        <w:jc w:val="both"/>
        <w:ind w:right="30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Research and development expenses primarily consist of employee-related expenses such as salaries and bonuses; stock-based compensation; cloud hosting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 to period depending on the timing of these expenses.</w:t>
      </w:r>
    </w:p>
    <w:p>
      <w:pPr>
        <w:spacing w:after="0" w:line="134"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consist of employee-related expenses such as salaries and bonuses; stock-based compensation; and related expenses for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finance, human resources, and legal organizations. In addition, general and administrative expenses include outside legal, accounting, and other professional fees; and an allocated portion of facilities and administrative expenses.</w:t>
      </w:r>
    </w:p>
    <w:p>
      <w:pPr>
        <w:spacing w:after="0" w:line="136"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 to period depending on the timing of these expenses.</w:t>
      </w:r>
    </w:p>
    <w:p>
      <w:pPr>
        <w:spacing w:after="0" w:line="122" w:lineRule="exact"/>
        <w:rPr>
          <w:sz w:val="20"/>
          <w:szCs w:val="20"/>
          <w:color w:val="auto"/>
        </w:rPr>
      </w:pPr>
    </w:p>
    <w:p>
      <w:pPr>
        <w:ind w:right="2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Interest Expense. </w:t>
      </w:r>
      <w:r>
        <w:rPr>
          <w:rFonts w:ascii="Times New Roman" w:cs="Times New Roman" w:eastAsia="Times New Roman" w:hAnsi="Times New Roman"/>
          <w:sz w:val="14"/>
          <w:szCs w:val="14"/>
          <w:color w:val="auto"/>
        </w:rPr>
        <w:t>Interest expense consists primarily of amortization of debt issuance costs, contractual interest expense for our Senior Notes issued in January 2021, and amortization of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issuance costs on our secured revolving credit facility.</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Interest income consists primarily of income earned on our cash, cash equivalents, and short-term investments.</w:t>
      </w:r>
    </w:p>
    <w:p>
      <w:pPr>
        <w:spacing w:after="0" w:line="179" w:lineRule="exact"/>
        <w:rPr>
          <w:sz w:val="20"/>
          <w:szCs w:val="20"/>
          <w:color w:val="auto"/>
        </w:rPr>
      </w:pPr>
    </w:p>
    <w:p>
      <w:pPr>
        <w:ind w:right="5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Income, Net. </w:t>
      </w:r>
      <w:r>
        <w:rPr>
          <w:rFonts w:ascii="Times New Roman" w:cs="Times New Roman" w:eastAsia="Times New Roman" w:hAnsi="Times New Roman"/>
          <w:sz w:val="14"/>
          <w:szCs w:val="14"/>
          <w:color w:val="auto"/>
        </w:rPr>
        <w:t>Other income, net consists primarily of gain and losses on strategic investments, foreign currency transaction gains and losses, and gains and losses on cash and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equivalents and short-term investments.</w:t>
      </w:r>
    </w:p>
    <w:p>
      <w:pPr>
        <w:spacing w:after="0" w:line="120"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Provision for income taxes consists of state income taxes in the United States, foreign income taxes, and withholding taxes related to customer payments in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 Due to recent profitability, a material reversal of our valuation allowance in U.S. jurisdictions in the foreseeable future is reasonably possible.</w:t>
      </w:r>
    </w:p>
    <w:p>
      <w:pPr>
        <w:spacing w:after="0" w:line="138"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Net Income Attributable to Non-controlling Interest</w:t>
      </w:r>
      <w:r>
        <w:rPr>
          <w:rFonts w:ascii="Times New Roman" w:cs="Times New Roman" w:eastAsia="Times New Roman" w:hAnsi="Times New Roman"/>
          <w:sz w:val="14"/>
          <w:szCs w:val="14"/>
          <w:color w:val="auto"/>
        </w:rPr>
        <w:t>. Net income attributable to non-controlling interest consists of the Falcon Funds’ non-controlling interest share of gains and losses and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from our strategic investments.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Our primary sources of liquidity as of January 31, 2024, consisted of: (i) $3.4 billion in cash and cash equivalents, which mainly consists of cash on hand and highly liquid investments in money market funds and U.S. Treasury bills, (ii) $99.6 million in short-term investments, which consists of U.S. Treasury bills, (iii) cash we expect to generate from operations, and (iv) available capacity under our $750.0 million senior secured revolving credit facility (the “A&amp;R Credit Agreement”). We expect that the combination of our existing cash and cash equivalents, short-term investments, cash flows from operations, and the A&amp;R Credit Agreement will be sufficient to meet our anticipated cash needs for working capital and capital expenditures for at least the next 12 months.</w:t>
      </w:r>
    </w:p>
    <w:p>
      <w:pPr>
        <w:spacing w:after="0" w:line="140"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40"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We have historically generated operating losses prior to fiscal 2024, as reflected in our accumulated deficit of $1.1 billion as of January 31, 2024. We expect to continue to make investments, particularly in sales and marketing and research and development. As a result, we may require additional capital resources in the future to execute strategic initiatives to grow our business.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typically invoice our subscription customers annually in advance. Therefore, a substantial source of our cash is from such prepayments, which are included on our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January 31, 2024, we had deferred revenue of $3.1 billion, of which $2.3 billion was recorded as a current liability and is expected to be recorded as revenue in the next 12 months, provided all other revenue recognition criteria have been met.</w:t>
      </w:r>
    </w:p>
    <w:p>
      <w:pPr>
        <w:spacing w:after="0" w:line="140"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40"/>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7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January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1"/>
        </w:trPr>
        <w:tc>
          <w:tcPr>
            <w:tcW w:w="7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7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1,166,207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941,007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574,784</w:t>
            </w: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(564,516)</w:t>
            </w: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72,531</w:t>
            </w:r>
          </w:p>
        </w:tc>
      </w:tr>
      <w:tr>
        <w:trPr>
          <w:trHeight w:val="184"/>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920,673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78,025</w:t>
            </w:r>
          </w:p>
        </w:tc>
      </w:tr>
    </w:tbl>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1"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Net cash provided by operating activities during fiscal 2024 was $1.2 billion, which resulted from net income of $90.6 million, adjusted for non-cash charges of $1.0 billion and net cash inflow of $51.5 million from changes in operating assets and liabilities. Non-cash charges primarily consisted of $631.5 million in stock-based compensation expense, $238.9 million of amortization of deferred contract acquisition costs, $126.8 million of depreciation and amortization, $18.4 million of amortization of intangibles assets, $13.4 million of non-cash operating lease costs, and $3.2 million of non-cash interest expense, partially offset by $3.9 million of realized gains on strategic investments and a $3.4 million change in deferred income taxes. The net cash inflow from changes in operating assets and liabilities was primarily due to a $696.6 million increase in deferred revenue, a $65.1 million increase in accrued payroll and benefits, a $14.6 million increase in accrued expenses and other liabilities, partially offset by a $371.6 million increase in deferred contract acquisition costs, a $217.7 million increase in accounts receivable, net, a $102.5 million increase in prepaid expenses and other assets, a $18.9 million decrease in accounts payable, and a $14.0 million decrease in operating lease liabilities.</w:t>
      </w:r>
    </w:p>
    <w:p>
      <w:pPr>
        <w:spacing w:after="0" w:line="14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Net cash provided by operating activities during fiscal 2023 was $941.0 million, which resulted from a net loss of $182.3 million, adjusted for non-cash charges of $802.9 million and net cash inflow of $320.4 million from changes in operating assets and liabilities. Non-cash charges primarily consisted of $526.5 million in stock-based compensation expense, $170.8 million of amortization of deferred contract acquisition costs, $77.2 million of depreciation and amortization, $16.6 million of amortization for intangibles assets, $9.4 million of non-cash operating lease costs, and $2.8 million of non-cash interest expense, partially offset by a $1.8 million change in the fair value of strategic investments. The net cash inflow from changes in operating assets and liabilities was primarily due to a $825.8 million increase in deferred revenue, a $58.9 million increase in accrued expenses and other liabilities, and a $65.2 million increase in accrued payroll and benefits, partially offset by a $298.7 million increase in deferred contract acquisition costs, a $258.1 million increase in accounts receivable, net, a $46.8 million increase in prepaid expenses and other assets, a $15.5 million decrease in accounts payable, and a $10.4 million decrease in operating lease liabilities.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1"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Net cash used in investing activities during fiscal 2024 of $340.7 million was primarily due to business acquisitions, net of cash acquired, of $239.0 million, which was related to the Bionic acquisition, purchases of short-term investments of $195.6 million, purchases of property and equipment of $176.5 million, capitalized internal-use software and website development costs of $49.5 million, purchases of strategic investments of $17.2 million, purchases of intangible assets of $11.1 million, and purchases of deferred compensation investments of $2.0 million, partially offset by proceeds from maturities and sales of short-term investments of $348.3 million, and proceeds from sales of strategic investments of $2.0 million.</w:t>
      </w:r>
    </w:p>
    <w:p>
      <w:pPr>
        <w:spacing w:after="0" w:line="140"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during fiscal 2023 of $556.7 million was primarily due to purchases of investments of $250.0 million, purchases of property and equipment of $235.0 million, capitalized internal-use software and website development costs of $29.1 million, purchases of strategic investments of $21.8 million, business acquisitions, net of cash acquired, of $18.3 million, which were primarily related to the Reposify acquisition, and purchases of intangible assets of $2.3 million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of $93.2 million during fiscal 2024 was primarily due to proceeds from our employee stock purchase plan of $76.4 million, proceeds from the exercise of stock options of $8.7 million, and capital contributions from non-controlling interests of $8.1 million.</w:t>
      </w:r>
    </w:p>
    <w:p>
      <w:pPr>
        <w:spacing w:after="0" w:line="124"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of $77.4 million during fiscal 2023 was primarily due to proceeds from our employee stock purchase plan of $59.4 million, $11.0 million of capital contributions from non-controlling interests, and proceeds from the exercise of stock options of $8.7 million, partially offset by the repayment of a loan acquired through Reposify of $1.6 million.</w:t>
      </w:r>
    </w:p>
    <w:p>
      <w:pPr>
        <w:spacing w:after="0" w:line="1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Supplemental Guarantor Financial Information</w:t>
      </w:r>
    </w:p>
    <w:p>
      <w:pPr>
        <w:spacing w:after="0" w:line="181"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in Part II, Item 8 of this Annual Report on Form 10-K, for a brief description of the Senior Notes.</w:t>
      </w:r>
    </w:p>
    <w:p>
      <w:pPr>
        <w:spacing w:after="0" w:line="136"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We conduct our operations almost entirely through our subsidiaries. Accordingly, the Obligor Group’s cash flows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36"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all of our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20" w:type="dxa"/>
            <w:vAlign w:val="bottom"/>
          </w:tcPr>
          <w:p>
            <w:pPr>
              <w:spacing w:after="0"/>
              <w:rPr>
                <w:sz w:val="13"/>
                <w:szCs w:val="13"/>
                <w:color w:val="auto"/>
              </w:rPr>
            </w:pPr>
          </w:p>
        </w:tc>
        <w:tc>
          <w:tcPr>
            <w:tcW w:w="15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1"/>
        </w:trPr>
        <w:tc>
          <w:tcPr>
            <w:tcW w:w="95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171"/>
        </w:trPr>
        <w:tc>
          <w:tcPr>
            <w:tcW w:w="9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3,055,178</w:t>
            </w:r>
          </w:p>
        </w:tc>
        <w:tc>
          <w:tcPr>
            <w:tcW w:w="0" w:type="dxa"/>
            <w:vAlign w:val="bottom"/>
          </w:tcPr>
          <w:p>
            <w:pPr>
              <w:spacing w:after="0"/>
              <w:rPr>
                <w:sz w:val="1"/>
                <w:szCs w:val="1"/>
                <w:color w:val="auto"/>
              </w:rPr>
            </w:pPr>
          </w:p>
        </w:tc>
      </w:tr>
      <w:tr>
        <w:trPr>
          <w:trHeight w:val="18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795,433</w:t>
            </w:r>
          </w:p>
        </w:tc>
        <w:tc>
          <w:tcPr>
            <w:tcW w:w="0" w:type="dxa"/>
            <w:vAlign w:val="bottom"/>
          </w:tcPr>
          <w:p>
            <w:pPr>
              <w:spacing w:after="0"/>
              <w:rPr>
                <w:sz w:val="1"/>
                <w:szCs w:val="1"/>
                <w:color w:val="auto"/>
              </w:rPr>
            </w:pP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2,320,534</w:t>
            </w:r>
          </w:p>
        </w:tc>
        <w:tc>
          <w:tcPr>
            <w:tcW w:w="0" w:type="dxa"/>
            <w:vAlign w:val="bottom"/>
          </w:tcPr>
          <w:p>
            <w:pPr>
              <w:spacing w:after="0"/>
              <w:rPr>
                <w:sz w:val="1"/>
                <w:szCs w:val="1"/>
                <w:color w:val="auto"/>
              </w:rPr>
            </w:pPr>
          </w:p>
        </w:tc>
      </w:tr>
      <w:tr>
        <w:trPr>
          <w:trHeight w:val="18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(60,789)</w:t>
            </w:r>
          </w:p>
        </w:tc>
        <w:tc>
          <w:tcPr>
            <w:tcW w:w="0" w:type="dxa"/>
            <w:vAlign w:val="bottom"/>
          </w:tcPr>
          <w:p>
            <w:pPr>
              <w:spacing w:after="0"/>
              <w:rPr>
                <w:sz w:val="1"/>
                <w:szCs w:val="1"/>
                <w:color w:val="auto"/>
              </w:rPr>
            </w:pP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35,530</w:t>
            </w:r>
          </w:p>
        </w:tc>
        <w:tc>
          <w:tcPr>
            <w:tcW w:w="0" w:type="dxa"/>
            <w:vAlign w:val="bottom"/>
          </w:tcPr>
          <w:p>
            <w:pPr>
              <w:spacing w:after="0"/>
              <w:rPr>
                <w:sz w:val="1"/>
                <w:szCs w:val="1"/>
                <w:color w:val="auto"/>
              </w:rPr>
            </w:pPr>
          </w:p>
        </w:tc>
      </w:tr>
      <w:tr>
        <w:trPr>
          <w:trHeight w:val="184"/>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CrowdStrike</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35,530</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177"/>
        </w:trPr>
        <w:tc>
          <w:tcPr>
            <w:tcW w:w="9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 (excluding current intercompany receivables from non-Guarantors)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4,563,521</w:t>
            </w:r>
          </w:p>
        </w:tc>
      </w:tr>
      <w:tr>
        <w:trPr>
          <w:trHeight w:val="18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intercompany receivables from non-Guarantors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24,716</w:t>
            </w: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 (excluding noncurrent intercompany receivables from non-Guarantors)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1,605,308</w:t>
            </w:r>
          </w:p>
        </w:tc>
      </w:tr>
      <w:tr>
        <w:trPr>
          <w:trHeight w:val="18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intercompany receivables from non-Guarantors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280,426</w:t>
            </w: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2,605,892</w:t>
            </w:r>
          </w:p>
        </w:tc>
      </w:tr>
      <w:tr>
        <w:trPr>
          <w:trHeight w:val="18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 (excluding noncurrent intercompany payables to non-Guarantors)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1,586,566</w:t>
            </w: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intercompany payables to non-Guarantors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181"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4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Our commitments consist of obligations under non-cancellable real estate arrangements on an undiscounted basis, of which $15.3 million is due in the next 12 months and $41.0 million is due thereafter. In addition, we have debt obligations related to $750.0 million aggregate principal amount of the Senior Notes due in fiscal 2030 and the interest payments associated with the Senior Notes of $22.5 million due in the next 12 months and $101.3 million due thereafter. We have non-cancellable purchase commitments with various parties to purchase products and services entered in the normal course of business totaling $747.6 million as of January 31, 2024, with remaining terms in excess of 12 months. We expect to fund these obligations with cash flows from operations and cash on our balance sheet.</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Subsequent to January 31, 2024, we have committed to an additional $1.8 billion of non-cancellable purchase obligations from fiscal 2025 to fiscal 2031.</w:t>
      </w:r>
    </w:p>
    <w:p>
      <w:pPr>
        <w:spacing w:after="0" w:line="179"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On March 3, 2024, we entered into a definitive agreement to acquire Flow Security Ltd., a privately held company. The purchase price for the transaction will be approximately $115.0 million, subject to customary closing adjustments. The acquisition is expected to close in the first quarter of fiscal 2025.</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As of January 31, 2024, our unrecognized tax benefits included $12.7 million, which were classified as long-term liabilities due to the inherent uncertainty with respect to the timing of future cash outflows associated with our unrecognized tax benefits.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upon our consolidated financial statements and notes to our consolidated financial statements, which were prepared in accordance with U.S. GAAP. The preparation of the consolidated financial statements requires our management to make estimates and assumptions that affect the amounts reported in the consolidated financial statements and accompanying notes. See Note 1, Description of Business and Significant Accounting Policies to our consolidated financial statements included in Item 8, Financial Statements and Supplementary Data of this Annual Report on Form 10-K.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43"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accounting estimates we use in the preparation of our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consolidated financial statements. By their nature, these estimates and judgments are subject to an inherent degree of uncertainty and actual results could differ materially from the amounts reported based on these estimates.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critical accounting estimates, assumptions, and judgments that we believe have the most significant impact on our consolidated financial statements are described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We derive our revenue predominately from subscription revenue, which is primarily based on the solutions subscribed to by the customer. We recognize subscription revenue ratably over the contract term. Our professional services are available through time and material and fixed fee agreements. Revenue from professional services is recognized as services are performed.</w:t>
      </w:r>
    </w:p>
    <w:p>
      <w:pPr>
        <w:spacing w:after="0" w:line="124"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We enter into revenue contracts with multiple performance obligations in which a customer may purchase combinations of subscriptions, support, training, and consulting service. Judgment is required when considering the terms and conditions of these contracts. The transaction price for these contracts is allocated to the separate performance obligations on a relative standalone selling price (“SSP”) basis. The SSP is the price at which we would sell promised subscription or professional services separately to a customer.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81"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We allocate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we believe the assumptions and estimates we have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account for unrecognized tax benefits using a more-likely-than-not threshold for financial statement recognition and measurement of tax positions taken or expected to be taken in a tax return. We establish a liability for tax-related uncertainties based on estimates of whether, and the extent to which, additional taxes will be due. Our assumptions, judgments, and estimates relative to the current provision for income taxes take into account current tax laws, our interpretation of current tax laws, and possible outcomes of current and future audits conducted by foreign and domestic tax authorities. We have established reserves for income taxes to address potential exposures involving tax positions that could be challenged by tax authorities. In addition, we are subject to the continual examination of our income tax returns by the U.S. Internal Revenue Service (“IRS”) and other domestic and foreign tax authorities. We regularly assess the likelihood of outcomes resulting from these examinations to determine the adequacy of our provision for income taxes and have reserved for potential adjustments that may result from such examinations. We believe such estimates to be reasonable; however, the final determination of any of these examinations could significantly impact the amounts provided for income taxes in our consolidated financial statements.</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8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See Note 1, Description of Business and Significant Accounting Policies, included in Part II, Item 8 of this Annual Report on Form 10-K for more information about the impact of certain recent accounting pronouncements on our consolidated financial statements.</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operations in the United States and internationally, and we are exposed to market risk in the ordinary course of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8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Our cash and cash equivalents primarily consist of cash on hand and highly liquid investments in money market funds, U.S. Treasury bills, and time deposits. Our short-term investments consist of U.S. Treasury bills and time deposits. Our investments do not have significant interest rate risk, as the yields on our investments are fixed rates. As of January 31, 2024, we had cash and cash equivalents of $3.4 billion and short-term investments of $99.6 million. As of January 31, 2023, we had cash and cash equivalents of $2.5 billion and short-term investments of $250.0 million. The primary objectives of our investment activities are the preservation of capital, the fulfillment of liquidity needs, and the fiduciary control of cash and investments. We do not enter into investments for trading or speculative purposes. The effect of a hypothetical 100 basis point change in interest rates would not have had a material effect on the fair market value of our portfolio as of January 31, 2024 or January 31, 2023. We therefore do not expect our results of operations or cash flows to be materially affected by a sudden change in market interest rates.</w:t>
      </w:r>
    </w:p>
    <w:p>
      <w:pPr>
        <w:spacing w:after="0" w:line="146"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Our debt obligations consist of a variety of financial instruments that expose us to interest rate risk, including, but not limited to our revolving credit facility and the Senior Notes. The interest on the revolving credit facility is tied to short-term interest rate benchmarks including the Term SOFR. The interest rate on the Senior Notes is fixed.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181" w:lineRule="exact"/>
        <w:rPr>
          <w:sz w:val="20"/>
          <w:szCs w:val="20"/>
          <w:color w:val="auto"/>
        </w:rPr>
      </w:pPr>
    </w:p>
    <w:p>
      <w:pPr>
        <w:ind w:right="220" w:firstLine="255"/>
        <w:spacing w:after="0" w:line="259" w:lineRule="auto"/>
        <w:rPr>
          <w:sz w:val="20"/>
          <w:szCs w:val="20"/>
          <w:color w:val="auto"/>
        </w:rPr>
      </w:pPr>
      <w:r>
        <w:rPr>
          <w:rFonts w:ascii="Times New Roman" w:cs="Times New Roman" w:eastAsia="Times New Roman" w:hAnsi="Times New Roman"/>
          <w:sz w:val="14"/>
          <w:szCs w:val="14"/>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currencies of our foreign subsidiaries are generally the country’s local currency. Foreign currency transaction gains and losses are recorded to other income (expense), net. A hypothetical 10% adverse change in the U.S. dollar against other currencies would have resulted in an increase in operating loss of approximately $75.8 million, $55.5 million and $36.3 million for the fiscal years ended January 31, 2024, January 31, 2023 and January 31, 2022 respectively. We have not entered into derivative or hedging transactions, but we may do so in the future if our exposure to foreign currency becomes more significant.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Rate Risk</w:t>
      </w:r>
    </w:p>
    <w:p>
      <w:pPr>
        <w:spacing w:after="0" w:line="181"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We do not believe that inflation had a material effect on our business, financial condition, or results of operations during the fiscal years ended January 31, 2024, January 31, 2023, or January 31, 2022.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gridSpan w:val="4"/>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0"/>
        </w:trPr>
        <w:tc>
          <w:tcPr>
            <w:tcW w:w="20" w:type="dxa"/>
            <w:vAlign w:val="bottom"/>
          </w:tcPr>
          <w:p>
            <w:pPr>
              <w:spacing w:after="0"/>
              <w:rPr>
                <w:sz w:val="12"/>
                <w:szCs w:val="12"/>
                <w:color w:val="auto"/>
              </w:rPr>
            </w:pPr>
          </w:p>
        </w:tc>
        <w:tc>
          <w:tcPr>
            <w:tcW w:w="10600" w:type="dxa"/>
            <w:vAlign w:val="bottom"/>
            <w:gridSpan w:val="7"/>
          </w:tcPr>
          <w:p>
            <w:pPr>
              <w:spacing w:after="0" w:line="140"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238)</w:t>
            </w:r>
          </w:p>
        </w:tc>
        <w:tc>
          <w:tcPr>
            <w:tcW w:w="64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color w:val="0000FF"/>
              </w:rPr>
              <w:t>77</w:t>
            </w:r>
          </w:p>
        </w:tc>
        <w:tc>
          <w:tcPr>
            <w:tcW w:w="20" w:type="dxa"/>
            <w:vAlign w:val="bottom"/>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3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7280" w:type="dxa"/>
            <w:vAlign w:val="bottom"/>
            <w:gridSpan w:val="5"/>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20" w:type="dxa"/>
            <w:vAlign w:val="bottom"/>
          </w:tcPr>
          <w:p>
            <w:pPr>
              <w:spacing w:after="0"/>
              <w:rPr>
                <w:sz w:val="13"/>
                <w:szCs w:val="13"/>
                <w:color w:val="auto"/>
              </w:rPr>
            </w:pPr>
          </w:p>
        </w:tc>
        <w:tc>
          <w:tcPr>
            <w:tcW w:w="10600" w:type="dxa"/>
            <w:vAlign w:val="bottom"/>
            <w:gridSpan w:val="7"/>
          </w:tcPr>
          <w:p>
            <w:pPr>
              <w:spacing w:after="0" w:line="153" w:lineRule="exact"/>
              <w:rPr>
                <w:sz w:val="20"/>
                <w:szCs w:val="20"/>
                <w:color w:val="auto"/>
              </w:rPr>
            </w:pPr>
            <w:r>
              <w:rPr>
                <w:rFonts w:ascii="Times New Roman" w:cs="Times New Roman" w:eastAsia="Times New Roman" w:hAnsi="Times New Roman"/>
                <w:sz w:val="14"/>
                <w:szCs w:val="14"/>
                <w:color w:val="0000FF"/>
              </w:rPr>
              <w:t>Consolidated Balance Sheets as of January 31, 2024 and 2023</w:t>
            </w:r>
          </w:p>
        </w:tc>
        <w:tc>
          <w:tcPr>
            <w:tcW w:w="6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0000FF"/>
              </w:rPr>
              <w:t>79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January 31, 2024, 2023 and 2022</w:t>
            </w:r>
          </w:p>
        </w:tc>
        <w:tc>
          <w:tcPr>
            <w:tcW w:w="5340" w:type="dxa"/>
            <w:vAlign w:val="bottom"/>
            <w:gridSpan w:val="3"/>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80</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3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(Loss) for the years ended January 31, 2024, 2023 and 2022</w:t>
            </w:r>
          </w:p>
        </w:tc>
        <w:tc>
          <w:tcPr>
            <w:tcW w:w="42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3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for the years ended January 31, 2024, 2023 and 2022</w:t>
            </w:r>
          </w:p>
        </w:tc>
        <w:tc>
          <w:tcPr>
            <w:tcW w:w="42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9"/>
              </w:rPr>
              <w:t>Consolidated Statements of Cash Flows for the years ended January 31, 2024, 2023 and 2022</w:t>
            </w:r>
          </w:p>
        </w:tc>
        <w:tc>
          <w:tcPr>
            <w:tcW w:w="560" w:type="dxa"/>
            <w:vAlign w:val="bottom"/>
          </w:tcPr>
          <w:p>
            <w:pPr>
              <w:spacing w:after="0"/>
              <w:rPr>
                <w:sz w:val="13"/>
                <w:szCs w:val="13"/>
                <w:color w:val="auto"/>
              </w:rPr>
            </w:pPr>
          </w:p>
        </w:tc>
        <w:tc>
          <w:tcPr>
            <w:tcW w:w="4780" w:type="dxa"/>
            <w:vAlign w:val="bottom"/>
            <w:gridSpan w:val="2"/>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5340" w:type="dxa"/>
            <w:vAlign w:val="bottom"/>
            <w:gridSpan w:val="3"/>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84</w:t>
            </w:r>
          </w:p>
        </w:tc>
        <w:tc>
          <w:tcPr>
            <w:tcW w:w="20" w:type="dxa"/>
            <w:vAlign w:val="bottom"/>
          </w:tcPr>
          <w:p>
            <w:pPr>
              <w:spacing w:after="0"/>
              <w:rPr>
                <w:sz w:val="13"/>
                <w:szCs w:val="13"/>
                <w:color w:val="auto"/>
              </w:rPr>
            </w:pPr>
          </w:p>
        </w:tc>
      </w:tr>
      <w:tr>
        <w:trPr>
          <w:trHeight w:val="722"/>
        </w:trPr>
        <w:tc>
          <w:tcPr>
            <w:tcW w:w="20" w:type="dxa"/>
            <w:vAlign w:val="bottom"/>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33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76</w:t>
            </w: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CrowdStrike Holdings,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8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CrowdStrike Holdings, Inc. and its subsidiaries (the “Company”) as of January 31, 2024 and 2023, and the related consolidated statements of operations, of comprehensive income (loss), of stockholders’ equity and of cash flows for each of the three years in the period ended January 31, 2024, including the related notes (collectively referred to as the “consolidated financial statements”). We also have audited the Company's internal control over financial reporting as of January 31, 2024,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(COSO).</w:t>
      </w:r>
    </w:p>
    <w:p>
      <w:pPr>
        <w:spacing w:after="0" w:line="14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January 31, 2024 and 2023, and the results of its operations and its cash flows for each of the three years in the period ended January 31, 2024 in conformity with accounting principles generally accepted in the United States of America. Also in our opinion, the Company maintained, in all material respects, effective internal control over financial reporting as of January 31, 2024,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w:t>
      </w:r>
      <w:r>
        <w:rPr>
          <w:rFonts w:ascii="Times New Roman" w:cs="Times New Roman" w:eastAsia="Times New Roman" w:hAnsi="Times New Roman"/>
          <w:sz w:val="14"/>
          <w:szCs w:val="14"/>
          <w:color w:val="auto"/>
        </w:rPr>
        <w:t>(2013) issued by the COSO.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18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 Identification and Evaluation for Terms and Conditions in Contracts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described in Note 1 to the consolidated financial statements, the Company generates its revenue from contracts with customers for subscriptions and professional services. Management considers the terms and conditions of contracts with customers and the Company’s customary business practices in identifying contracts. Management determines the Company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Revenue is recognized when control of the promised services is transferred to the customer, in an amount that reflects the consideration expected to be received in exchange for those services. The Company’s consolidated revenue for the year ended January 31, 2024 was $3,056 million.</w:t>
      </w:r>
    </w:p>
    <w:p>
      <w:pPr>
        <w:spacing w:after="0" w:line="14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revenue recognition, specifically the identification and evaluation of terms and conditions in contracts, is a critical audit matter are the high degree of auditor subjectivity and effort in performing procedures and evaluating evidence relating to the identification and evaluation of terms and conditions in contracts.</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identification and evaluation of terms and conditions in contracts. These procedures also included, among others, (i) testing management’s process for identifying and evaluating terms and conditions in contracts, including evaluating management’s determination of the impact of those terms and conditions on revenue recognition, and (ii) testing the completeness and accuracy of management’s identification and evaluation of terms and conditions in contracts by examining revenue transactions on a test basis.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6,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2016.</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5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3,375,069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2,455,369</w:t>
            </w:r>
          </w:p>
        </w:tc>
        <w:tc>
          <w:tcPr>
            <w:tcW w:w="0" w:type="dxa"/>
            <w:vAlign w:val="bottom"/>
          </w:tcPr>
          <w:p>
            <w:pPr>
              <w:spacing w:after="0"/>
              <w:rPr>
                <w:sz w:val="1"/>
                <w:szCs w:val="1"/>
                <w:color w:val="auto"/>
              </w:rPr>
            </w:pPr>
          </w:p>
        </w:tc>
      </w:tr>
      <w:tr>
        <w:trPr>
          <w:trHeight w:val="153"/>
        </w:trPr>
        <w:tc>
          <w:tcPr>
            <w:tcW w:w="8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Short-term investments</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99,591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$2.2 million and $2.6 million as of January 31, 2024 and January 31, 2023, respectively</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853,105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626,181</w:t>
            </w:r>
          </w:p>
        </w:tc>
        <w:tc>
          <w:tcPr>
            <w:tcW w:w="0" w:type="dxa"/>
            <w:vAlign w:val="bottom"/>
          </w:tcPr>
          <w:p>
            <w:pPr>
              <w:spacing w:after="0"/>
              <w:rPr>
                <w:sz w:val="1"/>
                <w:szCs w:val="1"/>
                <w:color w:val="auto"/>
              </w:rPr>
            </w:pPr>
          </w:p>
        </w:tc>
      </w:tr>
      <w:tr>
        <w:trPr>
          <w:trHeight w:val="153"/>
        </w:trPr>
        <w:tc>
          <w:tcPr>
            <w:tcW w:w="8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Deferred contract acquisition costs, current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246,370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186,855</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183,172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121,862</w:t>
            </w:r>
          </w:p>
        </w:tc>
        <w:tc>
          <w:tcPr>
            <w:tcW w:w="0" w:type="dxa"/>
            <w:vAlign w:val="bottom"/>
          </w:tcPr>
          <w:p>
            <w:pPr>
              <w:spacing w:after="0"/>
              <w:rPr>
                <w:sz w:val="1"/>
                <w:szCs w:val="1"/>
                <w:color w:val="auto"/>
              </w:rPr>
            </w:pPr>
          </w:p>
        </w:tc>
      </w:tr>
      <w:tr>
        <w:trPr>
          <w:trHeight w:val="144"/>
        </w:trPr>
        <w:tc>
          <w:tcPr>
            <w:tcW w:w="85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current assets</w:t>
            </w:r>
          </w:p>
        </w:tc>
        <w:tc>
          <w:tcPr>
            <w:tcW w:w="3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4,757,307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3,640,267</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Strategic investments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56,244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47,270</w:t>
            </w: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620,172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492,335</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48,211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39,936</w:t>
            </w: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contract acquisition costs, noncurrent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335,933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260,233</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638,041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430,645</w:t>
            </w: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114,518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86,889</w:t>
            </w:r>
          </w:p>
        </w:tc>
        <w:tc>
          <w:tcPr>
            <w:tcW w:w="0" w:type="dxa"/>
            <w:vAlign w:val="bottom"/>
          </w:tcPr>
          <w:p>
            <w:pPr>
              <w:spacing w:after="0"/>
              <w:rPr>
                <w:sz w:val="1"/>
                <w:szCs w:val="1"/>
                <w:color w:val="auto"/>
              </w:rPr>
            </w:pPr>
          </w:p>
        </w:tc>
      </w:tr>
      <w:tr>
        <w:trPr>
          <w:trHeight w:val="15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assets</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76,094</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28,965</w:t>
            </w:r>
          </w:p>
        </w:tc>
        <w:tc>
          <w:tcPr>
            <w:tcW w:w="0" w:type="dxa"/>
            <w:vAlign w:val="bottom"/>
          </w:tcPr>
          <w:p>
            <w:pPr>
              <w:spacing w:after="0"/>
              <w:rPr>
                <w:sz w:val="1"/>
                <w:szCs w:val="1"/>
                <w:color w:val="auto"/>
              </w:rPr>
            </w:pPr>
          </w:p>
        </w:tc>
      </w:tr>
      <w:tr>
        <w:trPr>
          <w:trHeight w:val="156"/>
        </w:trPr>
        <w:tc>
          <w:tcPr>
            <w:tcW w:w="85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assets</w:t>
            </w: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6,646,520</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5,026,540</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560" w:type="dxa"/>
            <w:vAlign w:val="bottom"/>
            <w:tcBorders>
              <w:bottom w:val="single" w:sz="8" w:color="CCEEFF"/>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Accounts payable</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28,180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45,372</w:t>
            </w:r>
          </w:p>
        </w:tc>
        <w:tc>
          <w:tcPr>
            <w:tcW w:w="0" w:type="dxa"/>
            <w:vAlign w:val="bottom"/>
          </w:tcPr>
          <w:p>
            <w:pPr>
              <w:spacing w:after="0"/>
              <w:rPr>
                <w:sz w:val="1"/>
                <w:szCs w:val="1"/>
                <w:color w:val="auto"/>
              </w:rPr>
            </w:pPr>
          </w:p>
        </w:tc>
      </w:tr>
      <w:tr>
        <w:trPr>
          <w:trHeight w:val="153"/>
        </w:trPr>
        <w:tc>
          <w:tcPr>
            <w:tcW w:w="8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Accrued expenses</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125,896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137,884</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Accrued payroll and benefits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234,624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168,767</w:t>
            </w:r>
          </w:p>
        </w:tc>
        <w:tc>
          <w:tcPr>
            <w:tcW w:w="0" w:type="dxa"/>
            <w:vAlign w:val="bottom"/>
          </w:tcPr>
          <w:p>
            <w:pPr>
              <w:spacing w:after="0"/>
              <w:rPr>
                <w:sz w:val="1"/>
                <w:szCs w:val="1"/>
                <w:color w:val="auto"/>
              </w:rPr>
            </w:pPr>
          </w:p>
        </w:tc>
      </w:tr>
      <w:tr>
        <w:trPr>
          <w:trHeight w:val="153"/>
        </w:trPr>
        <w:tc>
          <w:tcPr>
            <w:tcW w:w="8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Operating lease liabilities, current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14,150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13,046</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revenue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2,270,757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1,727,484</w:t>
            </w:r>
          </w:p>
        </w:tc>
        <w:tc>
          <w:tcPr>
            <w:tcW w:w="0" w:type="dxa"/>
            <w:vAlign w:val="bottom"/>
          </w:tcPr>
          <w:p>
            <w:pPr>
              <w:spacing w:after="0"/>
              <w:rPr>
                <w:sz w:val="1"/>
                <w:szCs w:val="1"/>
                <w:color w:val="auto"/>
              </w:rPr>
            </w:pPr>
          </w:p>
        </w:tc>
      </w:tr>
      <w:tr>
        <w:trPr>
          <w:trHeight w:val="153"/>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23,672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16,519</w:t>
            </w:r>
          </w:p>
        </w:tc>
        <w:tc>
          <w:tcPr>
            <w:tcW w:w="0" w:type="dxa"/>
            <w:vAlign w:val="bottom"/>
          </w:tcPr>
          <w:p>
            <w:pPr>
              <w:spacing w:after="0"/>
              <w:rPr>
                <w:sz w:val="1"/>
                <w:szCs w:val="1"/>
                <w:color w:val="auto"/>
              </w:rPr>
            </w:pPr>
          </w:p>
        </w:tc>
      </w:tr>
      <w:tr>
        <w:trPr>
          <w:trHeight w:val="15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2,697,279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2,109,072</w:t>
            </w: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742,494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741,005</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noncurrent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783,342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627,629</w:t>
            </w: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noncurrent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36,230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29,567</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 noncurrent</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50,086</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31,833</w:t>
            </w:r>
          </w:p>
        </w:tc>
        <w:tc>
          <w:tcPr>
            <w:tcW w:w="0" w:type="dxa"/>
            <w:vAlign w:val="bottom"/>
          </w:tcPr>
          <w:p>
            <w:pPr>
              <w:spacing w:after="0"/>
              <w:rPr>
                <w:sz w:val="1"/>
                <w:szCs w:val="1"/>
                <w:color w:val="auto"/>
              </w:rPr>
            </w:pPr>
          </w:p>
        </w:tc>
      </w:tr>
      <w:tr>
        <w:trPr>
          <w:trHeight w:val="144"/>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liabilities</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4,309,431</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3,539,106</w:t>
            </w:r>
          </w:p>
        </w:tc>
        <w:tc>
          <w:tcPr>
            <w:tcW w:w="0" w:type="dxa"/>
            <w:vAlign w:val="bottom"/>
          </w:tcPr>
          <w:p>
            <w:pPr>
              <w:spacing w:after="0"/>
              <w:rPr>
                <w:sz w:val="1"/>
                <w:szCs w:val="1"/>
                <w:color w:val="auto"/>
              </w:rPr>
            </w:pPr>
          </w:p>
        </w:tc>
      </w:tr>
      <w:tr>
        <w:trPr>
          <w:trHeight w:val="14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9)</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stock, $0.0005 par value; 100,000 shares authorized as of January 31, 2024 and January 31, 2023; no shares issued and outstanding as of January 31, 2024 and January 31, 2023.</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85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Class A common stock, $0.0005 par value; 2,000,000 shares authorized as of January 31, 2024 and January 31, 2023; 229,380 shares, and 222,759 shares issued and outstanding as of</w:t>
            </w: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56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January 31, 2024 and January 31, 2023, respectively; Class B common stock, $0.0005 par value; 300,000 shares authorized as of January 31, 2024 and January 31, 2023; 12,485 shares,</w:t>
            </w:r>
          </w:p>
        </w:tc>
        <w:tc>
          <w:tcPr>
            <w:tcW w:w="300" w:type="dxa"/>
            <w:vAlign w:val="bottom"/>
          </w:tcPr>
          <w:p>
            <w:pPr>
              <w:spacing w:after="0"/>
              <w:rPr>
                <w:sz w:val="9"/>
                <w:szCs w:val="9"/>
                <w:color w:val="auto"/>
              </w:rPr>
            </w:pPr>
          </w:p>
        </w:tc>
        <w:tc>
          <w:tcPr>
            <w:tcW w:w="10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and 13,018 shares issued and outstanding as of January 31, 2024 and January 31, 2023, respectively.</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3,364,328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2,612,705</w:t>
            </w: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Accumulated deficit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(1,058,836)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(1,148,163)</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(1,019)</w:t>
            </w:r>
          </w:p>
        </w:tc>
        <w:tc>
          <w:tcPr>
            <w:tcW w:w="0" w:type="dxa"/>
            <w:vAlign w:val="bottom"/>
          </w:tcPr>
          <w:p>
            <w:pPr>
              <w:spacing w:after="0"/>
              <w:rPr>
                <w:sz w:val="1"/>
                <w:szCs w:val="1"/>
                <w:color w:val="auto"/>
              </w:rPr>
            </w:pPr>
          </w:p>
        </w:tc>
      </w:tr>
      <w:tr>
        <w:trPr>
          <w:trHeight w:val="144"/>
        </w:trPr>
        <w:tc>
          <w:tcPr>
            <w:tcW w:w="85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CrowdStrike Holdings, Inc. stockholders’ equity</w:t>
            </w:r>
          </w:p>
        </w:tc>
        <w:tc>
          <w:tcPr>
            <w:tcW w:w="3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2,303,950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1,463,641</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Non-controlling interest</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33,139</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23,793</w:t>
            </w:r>
          </w:p>
        </w:tc>
        <w:tc>
          <w:tcPr>
            <w:tcW w:w="0" w:type="dxa"/>
            <w:vAlign w:val="bottom"/>
          </w:tcPr>
          <w:p>
            <w:pPr>
              <w:spacing w:after="0"/>
              <w:rPr>
                <w:sz w:val="1"/>
                <w:szCs w:val="1"/>
                <w:color w:val="auto"/>
              </w:rPr>
            </w:pPr>
          </w:p>
        </w:tc>
      </w:tr>
      <w:tr>
        <w:trPr>
          <w:trHeight w:val="144"/>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2,337,089</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1,487,434</w:t>
            </w:r>
          </w:p>
        </w:tc>
        <w:tc>
          <w:tcPr>
            <w:tcW w:w="0" w:type="dxa"/>
            <w:vAlign w:val="bottom"/>
          </w:tcPr>
          <w:p>
            <w:pPr>
              <w:spacing w:after="0"/>
              <w:rPr>
                <w:sz w:val="1"/>
                <w:szCs w:val="1"/>
                <w:color w:val="auto"/>
              </w:rPr>
            </w:pPr>
          </w:p>
        </w:tc>
      </w:tr>
      <w:tr>
        <w:trPr>
          <w:trHeight w:val="181"/>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6,646,520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5,026,540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January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1"/>
        </w:trPr>
        <w:tc>
          <w:tcPr>
            <w:tcW w:w="7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7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2,870,557</w:t>
            </w:r>
          </w:p>
        </w:tc>
        <w:tc>
          <w:tcPr>
            <w:tcW w:w="4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2,111,660</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1,359,537</w:t>
            </w:r>
          </w:p>
        </w:tc>
      </w:tr>
      <w:tr>
        <w:trPr>
          <w:trHeight w:val="18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184,998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129,576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92,057</w:t>
            </w:r>
          </w:p>
        </w:tc>
      </w:tr>
      <w:tr>
        <w:trPr>
          <w:trHeight w:val="171"/>
        </w:trPr>
        <w:tc>
          <w:tcPr>
            <w:tcW w:w="7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3,055,555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2,241,236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1,451,594</w:t>
            </w:r>
          </w:p>
        </w:tc>
      </w:tr>
      <w:tr>
        <w:trPr>
          <w:trHeight w:val="192"/>
        </w:trPr>
        <w:tc>
          <w:tcPr>
            <w:tcW w:w="7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630,745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511,684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321,904</w:t>
            </w:r>
          </w:p>
        </w:tc>
      </w:tr>
      <w:tr>
        <w:trPr>
          <w:trHeight w:val="180"/>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124,978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89,547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61,317</w:t>
            </w:r>
          </w:p>
        </w:tc>
      </w:tr>
      <w:tr>
        <w:trPr>
          <w:trHeight w:val="171"/>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cost of revenue</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755,723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601,231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383,221</w:t>
            </w:r>
          </w:p>
        </w:tc>
      </w:tr>
      <w:tr>
        <w:trPr>
          <w:trHeight w:val="192"/>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2,299,832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1,640,005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1,068,373</w:t>
            </w:r>
          </w:p>
        </w:tc>
      </w:tr>
      <w:tr>
        <w:trPr>
          <w:trHeight w:val="212"/>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7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1,140,566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904,409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616,546</w:t>
            </w:r>
          </w:p>
        </w:tc>
      </w:tr>
      <w:tr>
        <w:trPr>
          <w:trHeight w:val="18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608,364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371,283</w:t>
            </w:r>
          </w:p>
        </w:tc>
      </w:tr>
      <w:tr>
        <w:trPr>
          <w:trHeight w:val="180"/>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392,764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317,344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223,092</w:t>
            </w:r>
          </w:p>
        </w:tc>
      </w:tr>
      <w:tr>
        <w:trPr>
          <w:trHeight w:val="171"/>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2,301,827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1,830,117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1,210,921</w:t>
            </w:r>
          </w:p>
        </w:tc>
      </w:tr>
      <w:tr>
        <w:trPr>
          <w:trHeight w:val="192"/>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(142,548)</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(25,231)</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r>
      <w:tr>
        <w:trPr>
          <w:trHeight w:val="18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3,968</w:t>
            </w:r>
          </w:p>
        </w:tc>
      </w:tr>
      <w:tr>
        <w:trPr>
          <w:trHeight w:val="192"/>
        </w:trPr>
        <w:tc>
          <w:tcPr>
            <w:tcW w:w="7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(160,023)</w:t>
            </w:r>
          </w:p>
        </w:tc>
      </w:tr>
      <w:tr>
        <w:trPr>
          <w:trHeight w:val="212"/>
        </w:trPr>
        <w:tc>
          <w:tcPr>
            <w:tcW w:w="7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72,355</w:t>
            </w:r>
          </w:p>
        </w:tc>
      </w:tr>
      <w:tr>
        <w:trPr>
          <w:trHeight w:val="192"/>
        </w:trPr>
        <w:tc>
          <w:tcPr>
            <w:tcW w:w="7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(182,285)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(232,378)</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CrowdStrike</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89,327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(183,245)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(234,802)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3"/>
        </w:trPr>
        <w:tc>
          <w:tcPr>
            <w:tcW w:w="7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CrowdStrike common stockholders: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0"/>
        </w:trPr>
        <w:tc>
          <w:tcPr>
            <w:tcW w:w="7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3"/>
        </w:trPr>
        <w:tc>
          <w:tcPr>
            <w:tcW w:w="714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top w:val="single" w:sz="8" w:color="auto"/>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(0.79)</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(1.03)</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7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Weighted-average shares used in computing net income (loss) per share attributable to CrowdStrike common stockholders: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238,637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233,139</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227,142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7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243,635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233,139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227,142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67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(232,378)</w:t>
            </w:r>
          </w:p>
        </w:tc>
      </w:tr>
      <w:tr>
        <w:trPr>
          <w:trHeight w:val="180"/>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loss on short-term investments, net of tax</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r>
      <w:tr>
        <w:trPr>
          <w:trHeight w:val="18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w:t>
            </w:r>
          </w:p>
        </w:tc>
      </w:tr>
      <w:tr>
        <w:trPr>
          <w:trHeight w:val="19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comprehensive income (loss) attributable to CrowdStrike</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88,683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(183,024)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(238,361)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b w:val="1"/>
          <w:bCs w:val="1"/>
          <w:color w:val="auto"/>
        </w:rPr>
        <w:t>CrowdStrike Holdings, Inc.</w:t>
      </w:r>
    </w:p>
    <w:p>
      <w:pPr>
        <w:spacing w:after="0" w:line="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1"/>
          <w:szCs w:val="11"/>
          <w:b w:val="1"/>
          <w:bCs w:val="1"/>
          <w:color w:val="auto"/>
        </w:rPr>
        <w:t>Consolidated Statements of Stockholders’ Equity</w:t>
      </w:r>
    </w:p>
    <w:p>
      <w:pPr>
        <w:spacing w:after="0" w:line="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i w:val="1"/>
          <w:iCs w:val="1"/>
          <w:color w:val="auto"/>
        </w:rPr>
        <w:t>(in thousands)</w:t>
      </w:r>
    </w:p>
    <w:p>
      <w:pPr>
        <w:sectPr>
          <w:pgSz w:w="11900" w:h="16838" w:orient="portrait"/>
          <w:cols w:equalWidth="0" w:num="1">
            <w:col w:w="10980"/>
          </w:cols>
          <w:pgMar w:left="300" w:top="125" w:right="619" w:bottom="1440" w:gutter="0" w:footer="0" w:header="0"/>
        </w:sectPr>
      </w:pPr>
    </w:p>
    <w:p>
      <w:pPr>
        <w:spacing w:after="0" w:line="143" w:lineRule="exact"/>
        <w:rPr>
          <w:sz w:val="20"/>
          <w:szCs w:val="20"/>
          <w:color w:val="auto"/>
        </w:rPr>
      </w:pPr>
    </w:p>
    <w:tbl>
      <w:tblPr>
        <w:tblLayout w:type="fixed"/>
        <w:tblInd w:w="320" w:type="dxa"/>
        <w:tblCellMar>
          <w:top w:w="0" w:type="dxa"/>
          <w:left w:w="0" w:type="dxa"/>
          <w:bottom w:w="0" w:type="dxa"/>
          <w:right w:w="0" w:type="dxa"/>
        </w:tblCellMar>
      </w:tblPr>
      <w:tr>
        <w:trPr>
          <w:trHeight w:val="136"/>
        </w:trPr>
        <w:tc>
          <w:tcPr>
            <w:tcW w:w="3860" w:type="dxa"/>
            <w:vAlign w:val="bottom"/>
          </w:tcPr>
          <w:p>
            <w:pPr>
              <w:spacing w:after="0"/>
              <w:rPr>
                <w:sz w:val="11"/>
                <w:szCs w:val="11"/>
                <w:color w:val="auto"/>
              </w:rPr>
            </w:pPr>
          </w:p>
        </w:tc>
        <w:tc>
          <w:tcPr>
            <w:tcW w:w="172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rPr>
              <w:t>Common Stock</w:t>
            </w:r>
          </w:p>
        </w:tc>
      </w:tr>
      <w:tr>
        <w:trPr>
          <w:trHeight w:val="157"/>
        </w:trPr>
        <w:tc>
          <w:tcPr>
            <w:tcW w:w="3860" w:type="dxa"/>
            <w:vAlign w:val="bottom"/>
          </w:tcPr>
          <w:p>
            <w:pPr>
              <w:spacing w:after="0"/>
              <w:rPr>
                <w:sz w:val="13"/>
                <w:szCs w:val="13"/>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3"/>
                <w:szCs w:val="13"/>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30"/>
        </w:trPr>
        <w:tc>
          <w:tcPr>
            <w:tcW w:w="3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Balances at January 31, 2021</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223,724</w:t>
            </w:r>
          </w:p>
        </w:tc>
        <w:tc>
          <w:tcPr>
            <w:tcW w:w="60" w:type="dxa"/>
            <w:vAlign w:val="bottom"/>
          </w:tcPr>
          <w:p>
            <w:pPr>
              <w:spacing w:after="0"/>
              <w:rPr>
                <w:sz w:val="11"/>
                <w:szCs w:val="11"/>
                <w:color w:val="auto"/>
              </w:rPr>
            </w:pPr>
          </w:p>
        </w:tc>
        <w:tc>
          <w:tcPr>
            <w:tcW w:w="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112</w:t>
            </w:r>
          </w:p>
        </w:tc>
      </w:tr>
      <w:tr>
        <w:trPr>
          <w:trHeight w:val="133"/>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upon exercise of options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2,598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under RSU and PSU release</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3,408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under employee stock purchase plan</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904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for restricted stock awards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Vesting of early exercised options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for founders holdbacks related to acquisitions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Capitalized stock-based compensation</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Fair value of replacement equity awards attributable to pre-acquisition service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Net income (loss)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Non-controlling interest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Other comprehensive loss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3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Balances at January 31, 2022</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230,706</w:t>
            </w:r>
          </w:p>
        </w:tc>
        <w:tc>
          <w:tcPr>
            <w:tcW w:w="60" w:type="dxa"/>
            <w:vAlign w:val="bottom"/>
          </w:tcPr>
          <w:p>
            <w:pPr>
              <w:spacing w:after="0"/>
              <w:rPr>
                <w:sz w:val="11"/>
                <w:szCs w:val="11"/>
                <w:color w:val="auto"/>
              </w:rPr>
            </w:pPr>
          </w:p>
        </w:tc>
        <w:tc>
          <w:tcPr>
            <w:tcW w:w="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115</w:t>
            </w:r>
          </w:p>
        </w:tc>
      </w:tr>
      <w:tr>
        <w:trPr>
          <w:trHeight w:val="133"/>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upon exercise of options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1,032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under RSU and PSU release</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3,444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under employee stock purchase plan</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517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for restricted stock awards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Vesting of early exercised options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for founders holdbacks related to acquisitions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Capitalized stock-based compensation</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Fair value of replacement equity awards attributable to pre-acquisition service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Net income (loss)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Non-controlling interest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3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Balances at January 31, 2023</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235,777</w:t>
            </w:r>
          </w:p>
        </w:tc>
        <w:tc>
          <w:tcPr>
            <w:tcW w:w="60" w:type="dxa"/>
            <w:vAlign w:val="bottom"/>
          </w:tcPr>
          <w:p>
            <w:pPr>
              <w:spacing w:after="0"/>
              <w:rPr>
                <w:sz w:val="11"/>
                <w:szCs w:val="11"/>
                <w:color w:val="auto"/>
              </w:rPr>
            </w:pPr>
          </w:p>
        </w:tc>
        <w:tc>
          <w:tcPr>
            <w:tcW w:w="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118</w:t>
            </w:r>
          </w:p>
        </w:tc>
      </w:tr>
      <w:tr>
        <w:trPr>
          <w:trHeight w:val="144"/>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upon exercise of options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1,146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159"/>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under RSU and PSU release</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4,041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9"/>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under employee stock purchase plan</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747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159"/>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for restricted stock awards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9"/>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for founders holdbacks related to acquisitions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9"/>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Issuance of common stock for payment of board of director fees</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Capitalized stock-based compensation</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Fair value of replacement equity awards attributable to pre-acquisition service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Net income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Non-controlling interest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38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Other comprehensive loss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4"/>
        </w:trPr>
        <w:tc>
          <w:tcPr>
            <w:tcW w:w="3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Balances at January 31, 2024</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241,865</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121</w:t>
            </w:r>
          </w:p>
        </w:tc>
      </w:tr>
      <w:tr>
        <w:trPr>
          <w:trHeight w:val="20"/>
        </w:trPr>
        <w:tc>
          <w:tcPr>
            <w:tcW w:w="3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-3623945</wp:posOffset>
            </wp:positionV>
            <wp:extent cx="6771005"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1005" cy="9461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-3442335</wp:posOffset>
            </wp:positionV>
            <wp:extent cx="6771005" cy="87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-3267075</wp:posOffset>
            </wp:positionV>
            <wp:extent cx="6771005" cy="87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-3091815</wp:posOffset>
            </wp:positionV>
            <wp:extent cx="6771005" cy="87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-2916555</wp:posOffset>
            </wp:positionV>
            <wp:extent cx="6771005" cy="87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-2741295</wp:posOffset>
            </wp:positionV>
            <wp:extent cx="6771005" cy="87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-2566035</wp:posOffset>
            </wp:positionV>
            <wp:extent cx="6771005" cy="87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-2384425</wp:posOffset>
            </wp:positionV>
            <wp:extent cx="6771005" cy="87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-2209165</wp:posOffset>
            </wp:positionV>
            <wp:extent cx="6771005" cy="87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-2033905</wp:posOffset>
            </wp:positionV>
            <wp:extent cx="6771005" cy="87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-1858645</wp:posOffset>
            </wp:positionV>
            <wp:extent cx="6771005" cy="87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-1683385</wp:posOffset>
            </wp:positionV>
            <wp:extent cx="6771005" cy="87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-1508760</wp:posOffset>
            </wp:positionV>
            <wp:extent cx="6771005" cy="87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-1333500</wp:posOffset>
            </wp:positionV>
            <wp:extent cx="6771005"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1005" cy="9461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-1137920</wp:posOffset>
            </wp:positionV>
            <wp:extent cx="6771005" cy="1009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1005" cy="10096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-935990</wp:posOffset>
            </wp:positionV>
            <wp:extent cx="6771005" cy="1009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1005" cy="10096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-733425</wp:posOffset>
            </wp:positionV>
            <wp:extent cx="6771005" cy="87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-558800</wp:posOffset>
            </wp:positionV>
            <wp:extent cx="6771005" cy="87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-383540</wp:posOffset>
            </wp:positionV>
            <wp:extent cx="6771005" cy="87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-208280</wp:posOffset>
            </wp:positionV>
            <wp:extent cx="6771005" cy="87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1005"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8"/>
                <w:szCs w:val="8"/>
                <w:color w:val="auto"/>
              </w:rPr>
            </w:pPr>
          </w:p>
        </w:tc>
        <w:tc>
          <w:tcPr>
            <w:tcW w:w="92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8"/>
                <w:szCs w:val="8"/>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Non-controlling</w:t>
            </w:r>
          </w:p>
        </w:tc>
        <w:tc>
          <w:tcPr>
            <w:tcW w:w="60" w:type="dxa"/>
            <w:vAlign w:val="bottom"/>
          </w:tcPr>
          <w:p>
            <w:pPr>
              <w:spacing w:after="0"/>
              <w:rPr>
                <w:sz w:val="8"/>
                <w:szCs w:val="8"/>
                <w:color w:val="auto"/>
              </w:rPr>
            </w:pPr>
          </w:p>
        </w:tc>
        <w:tc>
          <w:tcPr>
            <w:tcW w:w="90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97"/>
              </w:rPr>
              <w:t>Total Stockholders’</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82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Income (Loss)</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60" w:type="dxa"/>
            <w:vAlign w:val="bottom"/>
          </w:tcPr>
          <w:p>
            <w:pPr>
              <w:spacing w:after="0"/>
              <w:rPr>
                <w:sz w:val="11"/>
                <w:szCs w:val="11"/>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25"/>
        </w:trPr>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1,598,259</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(730,116)</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2,319</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1,300</w:t>
            </w:r>
          </w:p>
        </w:tc>
        <w:tc>
          <w:tcPr>
            <w:tcW w:w="8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871,874</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15,899</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50,277</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3,165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3,528</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305,792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305,792</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10,879</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4,011</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(234,802)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(232,378)</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8,155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8,155</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0" w:type="dxa"/>
            <w:vAlign w:val="bottom"/>
          </w:tcPr>
          <w:p>
            <w:pPr>
              <w:spacing w:after="0"/>
              <w:rPr>
                <w:sz w:val="1"/>
                <w:szCs w:val="1"/>
                <w:color w:val="auto"/>
              </w:rPr>
            </w:pPr>
          </w:p>
        </w:tc>
      </w:tr>
      <w:tr>
        <w:trPr>
          <w:trHeight w:val="127"/>
        </w:trPr>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1,991,807</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(964,918)</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(1,240)</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11,879</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1,037,643</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8,655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59,419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59,419</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2,204</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10,645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519,735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519,735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20,193</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50</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(183,245)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(182,285)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10,954</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127"/>
        </w:trPr>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2,612,705</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(1,148,163)</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(1,019)</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23,793</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1,487,434</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8,695</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76,374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76,375</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4,314</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344</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626,861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626,861</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34,385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34,385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652</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89,327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90,585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8,088</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w:t>
            </w:r>
          </w:p>
        </w:tc>
        <w:tc>
          <w:tcPr>
            <w:tcW w:w="0" w:type="dxa"/>
            <w:vAlign w:val="bottom"/>
          </w:tcPr>
          <w:p>
            <w:pPr>
              <w:spacing w:after="0"/>
              <w:rPr>
                <w:sz w:val="1"/>
                <w:szCs w:val="1"/>
                <w:color w:val="auto"/>
              </w:rPr>
            </w:pPr>
          </w:p>
        </w:tc>
      </w:tr>
      <w:tr>
        <w:trPr>
          <w:trHeight w:val="131"/>
        </w:trPr>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3,364,328</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(1,058,836)</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(1,663)</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33,139</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2,337,089</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2">
            <w:col w:w="5900" w:space="80"/>
            <w:col w:w="5000"/>
          </w:cols>
          <w:pgMar w:left="300" w:top="125" w:right="619" w:bottom="1440" w:gutter="0" w:footer="0" w:header="0"/>
          <w:type w:val="continuous"/>
        </w:sectPr>
      </w:pPr>
    </w:p>
    <w:p>
      <w:pPr>
        <w:jc w:val="center"/>
        <w:ind w:right="-319"/>
        <w:spacing w:after="0"/>
        <w:rPr>
          <w:sz w:val="20"/>
          <w:szCs w:val="20"/>
          <w:color w:val="auto"/>
        </w:rPr>
      </w:pPr>
      <w:r>
        <w:rPr>
          <w:rFonts w:ascii="Times New Roman" w:cs="Times New Roman" w:eastAsia="Times New Roman" w:hAnsi="Times New Roman"/>
          <w:sz w:val="9"/>
          <w:szCs w:val="9"/>
          <w:color w:val="auto"/>
        </w:rPr>
        <w:t>The accompanying notes are an integral part of these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25" w:right="61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CrowdStrike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77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90,585</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(182,285)</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(232,378)</w:t>
            </w:r>
          </w:p>
        </w:tc>
      </w:tr>
      <w:tr>
        <w:trPr>
          <w:trHeight w:val="16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3"/>
        </w:trPr>
        <w:tc>
          <w:tcPr>
            <w:tcW w:w="77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126,838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77,245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55,908</w:t>
            </w:r>
          </w:p>
        </w:tc>
      </w:tr>
      <w:tr>
        <w:trPr>
          <w:trHeight w:val="16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12,902</w:t>
            </w:r>
          </w:p>
        </w:tc>
      </w:tr>
      <w:tr>
        <w:trPr>
          <w:trHeight w:val="153"/>
        </w:trPr>
        <w:tc>
          <w:tcPr>
            <w:tcW w:w="77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deferred contract acquisition costs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238,901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170,808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113,884</w:t>
            </w:r>
          </w:p>
        </w:tc>
      </w:tr>
      <w:tr>
        <w:trPr>
          <w:trHeight w:val="16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Non-cash operating lease cost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9,103</w:t>
            </w:r>
          </w:p>
        </w:tc>
      </w:tr>
      <w:tr>
        <w:trPr>
          <w:trHeight w:val="153"/>
        </w:trPr>
        <w:tc>
          <w:tcPr>
            <w:tcW w:w="77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631,519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526,504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309,952</w:t>
            </w:r>
          </w:p>
        </w:tc>
      </w:tr>
      <w:tr>
        <w:trPr>
          <w:trHeight w:val="16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income taxes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(13,956)</w:t>
            </w:r>
          </w:p>
        </w:tc>
      </w:tr>
      <w:tr>
        <w:trPr>
          <w:trHeight w:val="153"/>
        </w:trPr>
        <w:tc>
          <w:tcPr>
            <w:tcW w:w="77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Realized gains on strategic investments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Accretion of short-term investments purchased at a discount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7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Non-cash interest expense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2,469</w:t>
            </w:r>
          </w:p>
        </w:tc>
      </w:tr>
      <w:tr>
        <w:trPr>
          <w:trHeight w:val="16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fair value of strategic investments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(4,823)</w:t>
            </w:r>
          </w:p>
        </w:tc>
      </w:tr>
      <w:tr>
        <w:trPr>
          <w:trHeight w:val="153"/>
        </w:trPr>
        <w:tc>
          <w:tcPr>
            <w:tcW w:w="77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Changes in operating assets and liabilities, net of impact of acquisitions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5"/>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Accounts receivable, net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(217,699)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(258,109)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(125,354)</w:t>
            </w:r>
          </w:p>
        </w:tc>
      </w:tr>
      <w:tr>
        <w:trPr>
          <w:trHeight w:val="153"/>
        </w:trPr>
        <w:tc>
          <w:tcPr>
            <w:tcW w:w="77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Deferred contract acquisition costs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(371,649)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(298,716)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(234,308)</w:t>
            </w:r>
          </w:p>
        </w:tc>
      </w:tr>
      <w:tr>
        <w:trPr>
          <w:trHeight w:val="165"/>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(102,520)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(29,535)</w:t>
            </w:r>
          </w:p>
        </w:tc>
      </w:tr>
      <w:tr>
        <w:trPr>
          <w:trHeight w:val="153"/>
        </w:trPr>
        <w:tc>
          <w:tcPr>
            <w:tcW w:w="77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Accounts payable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(18,898)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33,248</w:t>
            </w:r>
          </w:p>
        </w:tc>
      </w:tr>
      <w:tr>
        <w:trPr>
          <w:trHeight w:val="165"/>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38,483</w:t>
            </w:r>
          </w:p>
        </w:tc>
      </w:tr>
      <w:tr>
        <w:trPr>
          <w:trHeight w:val="153"/>
        </w:trPr>
        <w:tc>
          <w:tcPr>
            <w:tcW w:w="77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Accrued payroll and benefits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65,102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32,681</w:t>
            </w:r>
          </w:p>
        </w:tc>
      </w:tr>
      <w:tr>
        <w:trPr>
          <w:trHeight w:val="165"/>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(9,900)</w:t>
            </w:r>
          </w:p>
        </w:tc>
      </w:tr>
      <w:tr>
        <w:trPr>
          <w:trHeight w:val="153"/>
        </w:trPr>
        <w:tc>
          <w:tcPr>
            <w:tcW w:w="7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Deferred revenue</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696,639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825,751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616,408</w:t>
            </w:r>
          </w:p>
        </w:tc>
      </w:tr>
      <w:tr>
        <w:trPr>
          <w:trHeight w:val="15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1,166,207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941,007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574,784</w:t>
            </w:r>
          </w:p>
        </w:tc>
      </w:tr>
      <w:tr>
        <w:trPr>
          <w:trHeight w:val="154"/>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4"/>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(235,019)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(112,143)</w:t>
            </w:r>
          </w:p>
        </w:tc>
      </w:tr>
      <w:tr>
        <w:trPr>
          <w:trHeight w:val="153"/>
        </w:trPr>
        <w:tc>
          <w:tcPr>
            <w:tcW w:w="7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Capitalized internal-use software and website development costs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(49,457)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(20,866)</w:t>
            </w:r>
          </w:p>
        </w:tc>
      </w:tr>
      <w:tr>
        <w:trPr>
          <w:trHeight w:val="16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Purchases of strategic investments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(16,309)</w:t>
            </w:r>
          </w:p>
        </w:tc>
      </w:tr>
      <w:tr>
        <w:trPr>
          <w:trHeight w:val="153"/>
        </w:trPr>
        <w:tc>
          <w:tcPr>
            <w:tcW w:w="7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sales of strategic investments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Business acquisitions, net of cash acquired</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(239,030)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(414,518)</w:t>
            </w:r>
          </w:p>
        </w:tc>
      </w:tr>
      <w:tr>
        <w:trPr>
          <w:trHeight w:val="153"/>
        </w:trPr>
        <w:tc>
          <w:tcPr>
            <w:tcW w:w="7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Purchases of intangible assets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w:t>
            </w:r>
          </w:p>
        </w:tc>
      </w:tr>
      <w:tr>
        <w:trPr>
          <w:trHeight w:val="16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Purchases of short-term investments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(195,581)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maturities and sales of short-term investments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348,281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Purchases of deferred compensation investments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7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(340,650)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(556,658)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(564,516)</w:t>
            </w: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3"/>
        </w:trPr>
        <w:tc>
          <w:tcPr>
            <w:tcW w:w="7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Payments of debt issuance costs related to revolving line of credit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r>
      <w:tr>
        <w:trPr>
          <w:trHeight w:val="16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Payments of debt issuance costs related to Senior Notes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(1,581)</w:t>
            </w:r>
          </w:p>
        </w:tc>
      </w:tr>
      <w:tr>
        <w:trPr>
          <w:trHeight w:val="153"/>
        </w:trPr>
        <w:tc>
          <w:tcPr>
            <w:tcW w:w="7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Repayment of loan payable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Proceeds from issuance of common stock upon exercise of stock options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15,899</w:t>
            </w:r>
          </w:p>
        </w:tc>
      </w:tr>
      <w:tr>
        <w:trPr>
          <w:trHeight w:val="153"/>
        </w:trPr>
        <w:tc>
          <w:tcPr>
            <w:tcW w:w="7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issuance of common stock under the employee stock purchase plan</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76,375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50,277</w:t>
            </w:r>
          </w:p>
        </w:tc>
      </w:tr>
      <w:tr>
        <w:trPr>
          <w:trHeight w:val="16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Capital contributions from non-controlling interest holders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8,088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10,954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8,155</w:t>
            </w:r>
          </w:p>
        </w:tc>
      </w:tr>
      <w:tr>
        <w:trPr>
          <w:trHeight w:val="144"/>
        </w:trPr>
        <w:tc>
          <w:tcPr>
            <w:tcW w:w="77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93,158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77,437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72,531</w:t>
            </w: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foreign exchange rates on cash, cash equivalents and restricted cash</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(4,774)</w:t>
            </w:r>
          </w:p>
        </w:tc>
      </w:tr>
      <w:tr>
        <w:trPr>
          <w:trHeight w:val="144"/>
        </w:trPr>
        <w:tc>
          <w:tcPr>
            <w:tcW w:w="77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Net increase in cash, cash equivalents and restricted cash</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920,673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460,291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78,025</w:t>
            </w: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2,456,924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1,996,633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1,918,608</w:t>
            </w:r>
          </w:p>
        </w:tc>
      </w:tr>
      <w:tr>
        <w:trPr>
          <w:trHeight w:val="144"/>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end of period</w:t>
            </w: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3,377,597</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2,456,924</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1,996,633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at the end of period:</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3"/>
        </w:trPr>
        <w:tc>
          <w:tcPr>
            <w:tcW w:w="7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3,375,069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2,455,369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1,996,633</w:t>
            </w:r>
          </w:p>
        </w:tc>
      </w:tr>
      <w:tr>
        <w:trPr>
          <w:trHeight w:val="16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Restricted cash included in prepaid expenses and other assets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cash, cash equivalents and restricted cash shown in the consolidated statements of cash flows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3,377,597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2,456,924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1,996,633</w:t>
            </w: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3"/>
        </w:trPr>
        <w:tc>
          <w:tcPr>
            <w:tcW w:w="77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Interest paid</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22,500</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22,551</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13,088</w:t>
            </w:r>
          </w:p>
        </w:tc>
      </w:tr>
      <w:tr>
        <w:trPr>
          <w:trHeight w:val="165"/>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Income taxes paid, net of refunds received</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22,608</w:t>
            </w:r>
          </w:p>
        </w:tc>
        <w:tc>
          <w:tcPr>
            <w:tcW w:w="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74,677</w:t>
            </w:r>
          </w:p>
        </w:tc>
      </w:tr>
      <w:tr>
        <w:trPr>
          <w:trHeight w:val="154"/>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investing and financing activities: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4"/>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(decrease) increase in property and equipment included in accounts payable and accrued expenses</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(3,081)</w:t>
            </w:r>
          </w:p>
        </w:tc>
        <w:tc>
          <w:tcPr>
            <w:tcW w:w="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6,522</w:t>
            </w:r>
          </w:p>
        </w:tc>
      </w:tr>
      <w:tr>
        <w:trPr>
          <w:trHeight w:val="153"/>
        </w:trPr>
        <w:tc>
          <w:tcPr>
            <w:tcW w:w="77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2,204</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3,165</w:t>
            </w:r>
          </w:p>
        </w:tc>
      </w:tr>
      <w:tr>
        <w:trPr>
          <w:trHeight w:val="165"/>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Equity consideration for acquisitions</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w:t>
            </w:r>
          </w:p>
        </w:tc>
        <w:tc>
          <w:tcPr>
            <w:tcW w:w="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4,011</w:t>
            </w:r>
          </w:p>
        </w:tc>
      </w:tr>
      <w:tr>
        <w:trPr>
          <w:trHeight w:val="153"/>
        </w:trPr>
        <w:tc>
          <w:tcPr>
            <w:tcW w:w="77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Operating lease liabilities arising from obtaining operating right of-use assets</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16,445</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18,464</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4,867</w:t>
            </w:r>
          </w:p>
        </w:tc>
      </w:tr>
      <w:tr>
        <w:trPr>
          <w:trHeight w:val="165"/>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Proceeds from sales of strategic investments not yet received</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8,774</w:t>
            </w:r>
          </w:p>
        </w:tc>
        <w:tc>
          <w:tcPr>
            <w:tcW w:w="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77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Stock-based compensation included in capitalized software development costs and fixed assets</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31,919</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20,193</w:t>
            </w:r>
          </w:p>
        </w:tc>
        <w:tc>
          <w:tcPr>
            <w:tcW w:w="10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10,879</w:t>
            </w:r>
          </w:p>
        </w:tc>
      </w:tr>
    </w:tbl>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right="7580" w:hanging="255"/>
        <w:spacing w:after="0" w:line="507" w:lineRule="auto"/>
        <w:tabs>
          <w:tab w:leader="none" w:pos="147" w:val="left"/>
        </w:tabs>
        <w:numPr>
          <w:ilvl w:val="0"/>
          <w:numId w:val="6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Description of Business and Significant Accounting Policies Business</w:t>
      </w:r>
    </w:p>
    <w:p>
      <w:pPr>
        <w:spacing w:after="0" w:line="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CrowdStrike Holdings, Inc. (the “Company”) was formed on November 7, 2011. The Company is a global cybersecurity leader that delivers cybersecurity’s AI-native platform for the XDR era, purpose-built to stop breaches. The Company’s unified platform provides cloud-delivered protection of endpoints, cloud workloads, identity, and data via a software as a service (“SaaS”) subscription-based model that spans multiple large security markets, including corporate endpoint security, security and IT operations, managed security services, next-gen SIEM, cloud security, identity protection, threat intelligence, data protection, exposure management and cybersecurity generative AI. The Company conducts its business in the United States, as well as locations internationally, including in Australia, Germany, India, Israel, Romania, and the United Kingdom.</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1"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conformity with U.S. generally accepted accounting principles (“U.S. GAAP”). Certain prior year information has been reclassified to conform to the current year presentation. These reclassifications had no effect on previously reported results of operations or accumulated deficit.</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All intercompany balances and transactions have been eliminated in consolidation.</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from these estimates and such differences could be material to the Company’s consolidated financial statements.</w:t>
      </w:r>
    </w:p>
    <w:p>
      <w:pPr>
        <w:spacing w:after="0" w:line="136"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 and Geographic Information</w:t>
      </w:r>
    </w:p>
    <w:p>
      <w:pPr>
        <w:spacing w:after="0" w:line="181"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24"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cash, cash equivalents, short-term investments, accounts receivable, and strategic investments. The Company’s cash is placed with high-credit-quality financial institutions and issuers, and at times exceed federally insured limits. The Company has not experienced any credit loss relating to its cash, cash equivalents, short-term investments, or strategic investments. The Company performs periodic credit evaluations of its customers and generally does not require collateral.</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channel partners or direct customers who represented 10% or more of the Company’s accounts receivable as of January 31, 2024 and January 31, 2023.</w:t>
      </w:r>
    </w:p>
    <w:p>
      <w:pPr>
        <w:spacing w:after="0" w:line="179" w:lineRule="exact"/>
        <w:rPr>
          <w:sz w:val="20"/>
          <w:szCs w:val="20"/>
          <w:color w:val="auto"/>
        </w:rPr>
      </w:pPr>
    </w:p>
    <w:p>
      <w:pPr>
        <w:ind w:right="540" w:firstLine="255"/>
        <w:spacing w:after="0" w:line="287" w:lineRule="auto"/>
        <w:rPr>
          <w:sz w:val="20"/>
          <w:szCs w:val="20"/>
          <w:color w:val="auto"/>
        </w:rPr>
      </w:pPr>
      <w:r>
        <w:rPr>
          <w:rFonts w:ascii="Times New Roman" w:cs="Times New Roman" w:eastAsia="Times New Roman" w:hAnsi="Times New Roman"/>
          <w:sz w:val="14"/>
          <w:szCs w:val="14"/>
          <w:color w:val="auto"/>
        </w:rPr>
        <w:t>There were no channel partners or direct customers who represented 10% or more of the Company’s total revenue during the fiscal years ended January 31, 2024, January 31, 2023, and January 31, 2022.</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Equivalents and Short-term Investments</w:t>
      </w:r>
    </w:p>
    <w:p>
      <w:pPr>
        <w:spacing w:after="0" w:line="18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original maturities of three months or less at the date of purchase to be cash equivalents. Cash equivalents are mainly comprised of money market funds, U.S. Treasury bills, and time deposits. The Company had $3.1 billion and $1.6 billion of cash equivalents as of January 31, 2024 and January 31, 2023, respectively.</w:t>
      </w:r>
    </w:p>
    <w:p>
      <w:pPr>
        <w:spacing w:after="0" w:line="124"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Short-term investments consist of U.S. Treasury bills and time deposits with original maturities greater than three months but less than one year. The Company had $99.6 million and $250.0 million of short-term investments as of January 31, 2024 and January 31, 2023, respectively. The Company classifies investments in U.S. Treasury bills as available-for-sale securities at the time of purchase and re-evaluates the designations as of each balance sheet date. The Company classifies its available-for-sale securities as short-term investments based on their nature and their availability for use in current operations. Available-for-sale securities are carried at fair value with unrealized gains and losses, if any, included in accumulated other comprehensive income (loss). Unrealized losses are recorded in other income (expense), net, for declines in fair value below the cost of an individual investment that is deemed to be other-than-temporary. The Company did not identify any available-for-sale securities as other-than-temporarily impaired as of January 31, 2024 and January 31, 2023. Realized gains and losses from the sale of available-for-sale securities are determined based on a specific identification method and are recorded in other income (expense), net.</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In July 2019, the Company agreed to commit up to $10.0 million to a newly formed entity, CrowdStrike Falcon Fund LLC (the “Original Falcon Fund”) in exchange for 50% of the sharing percentage of any distributions by the Original Falcon Fund. In December 2021, the Company agreed to commit an additional $50.0 million to a newly formed entity, CrowdStrike Falcon Fund II LLC (“Falcon Fund II”) in exchange for 50% of the sharing percentage of any distributions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CrowdStrike and its platform. The Company is the manager of the Falcon Funds and controls the investment decisions and day-to-day operations and accordingly has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49"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Company elected the measurement alternative for the non-marketable equity investments of the Falcon Funds where eligible. Under the measurement alternative, the non-marketable equity investments are measured at cost, less any impairment, plus or minus adjustments resulting from price changes from observable transactions of identical or similar securities of the same issuer. All gains and losses on strategic investments, realized and unrealized, are recognized in other income (expense), net. Strategic investments are classified within Level 3 in the fair value hierarchy as these investments do not have readily determinable market values. The carrying amount of strategic investments is adjusted based on observable price changes from observable transactions of identical or similar securities of the same issuer and other unobservable inputs including volatility, rights, and obligations of the investments, or by impairments when identified events and circumstances indicate a decline in value has occurred. The Company classifies the investments in the Falcon Funds as a non-current asset called strategic investments on the consolidated balance sheets.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81"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The Company’s financial instruments consist of cash equivalents, short-term investments, strategic investments, accounts receivable, accounts payable, accrued expenses, the Senior Notes, and investments for the Company’s deferred compensation plan. The carrying values of cash equivalents, short-term investments, accounts receivable, accounts payable, and accrued expenses approximate fair value due to their short-term nature. If these financial instruments were measured at fair value in the consolidated financial statements, money market funds, accounts receivable, accounts payable, accrued expenses, and investments for the Company’s deferred compensation plan would be classified as Level 1, and U.S. treasury securities included in cash equivalents and short-term investments would be classified as Level 2. The Senior Notes are carried at the initially allocated liability value less unamortized debt discount and issuance costs on the Company’s consolidated balance sheets. The Company discloses the fair value of the Senior Notes at each reporting period for disclosure purposes only. The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Company's investments related to the deferred compensation plan are invested within a Rabbi Trust. Participants in the deferred compensation plan may select the securities in which their compensation deferrals are invested within the confines of the Rabbi Trust. These securities are marked-to-market each reporting period. Refer to Note 2, Investments and Fair Value Measurements, regarding the fair value of the Company’s non-marketable securities and deferred compensation investments and Note 4, Debt, for the fair value of the Company’s Senior Notes.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Accounts receivable are recorded at the invoiced amount and are non-interest bearing. Accounts receivable are stated at their net realizable value, net of the allowance for credit losses.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credit losses by considering various factors including the age of each outstanding invoice, each customer’s expected ability to pay, historical loss rates, and expectations of forward-looking loss estimates to determine whether the allowance is appropriate. Amounts deemed uncollectible are written off against the allowance for credit losses.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81"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The Company’s chief operating decision maker (“CODM”) is its Chief Executive Officer. The CODM reviews financial information presented on a consolidated basis for the purposes of allocating resources and evaluating financial performance. Accordingly, management has determined that the Company operates as one operating and reportable segment.</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Company allocates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the Company believes the assumptions and estimates it has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statements of operations.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The Company evaluates and tests goodwill for impairment at least annually, on January 31, or more frequently if circumstances indicate that goodwill may not be recoverable. A qualitative assessment is performed to determine whether the existence of events or circumstances leads to a determination that it is more likely than not that the fair value of its one reporting unit is less than its carrying value.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If the Company determines it is more likely than not that the fair value of its one reporting unit is less than its carrying value, a quantitative test is performed by estimating the fair value of its reporting unit, including goodwill, and comparing it to its carrying value. If the fair value is lower than the carrying value, the excess is recognized as an impairment loss. No impairment losses were recorded during the fiscal years ended January 31, 2024, January 31, 2023, or January 31, 2022. See Note 3, Balance Sheet Components, and Note 11, Acquisitions, to the consolidated financial statements for more information.</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Acquired intangible assets mainly consisting of developed technology, customer relationships, intellectual property and other acquired intangible assets are stated at fair value at the acquisition date and are amortized on a straight-line basis over their estimated economic lives, which are generally one to 20 years. The Company reviews the carrying amounts of intangible assets for impairment whenever events or changes in circumstances indicate that the carrying amount of the assets may not be recoverable. The impairment to be recognized equals the amount by which the carrying value of the asset exceeds its fair value. No impairment indicators were identified by the Company and no impairment losses were recorded by the Company during the fiscal years ended January 31, 2024, January 31, 2023, and January 31, 2022.</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81" w:lineRule="exact"/>
        <w:rPr>
          <w:sz w:val="20"/>
          <w:szCs w:val="20"/>
          <w:color w:val="auto"/>
        </w:rPr>
      </w:pPr>
    </w:p>
    <w:p>
      <w:pPr>
        <w:ind w:right="360" w:firstLine="255"/>
        <w:spacing w:after="0" w:line="276" w:lineRule="auto"/>
        <w:rPr>
          <w:sz w:val="20"/>
          <w:szCs w:val="20"/>
          <w:color w:val="auto"/>
        </w:rPr>
      </w:pPr>
      <w:r>
        <w:rPr>
          <w:rFonts w:ascii="Times New Roman" w:cs="Times New Roman" w:eastAsia="Times New Roman" w:hAnsi="Times New Roman"/>
          <w:sz w:val="14"/>
          <w:szCs w:val="14"/>
          <w:color w:val="auto"/>
        </w:rPr>
        <w:t>Property and equipment, net, is stated at historical cost less accumulated depreciation and amortization. Depreciation and amortization are calculated using the straight-line method over the estimated useful lives of the assets as follows:</w:t>
      </w:r>
    </w:p>
    <w:p>
      <w:pPr>
        <w:sectPr>
          <w:pgSz w:w="11900" w:h="16838" w:orient="portrait"/>
          <w:cols w:equalWidth="0" w:num="1">
            <w:col w:w="11260"/>
          </w:cols>
          <w:pgMar w:left="300" w:top="125"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Data center and other computer equipment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Furniture and equipment</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Purchased software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Capitalized internal-use software and website development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Leasehold improvements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4"/>
          <w:szCs w:val="14"/>
          <w:color w:val="auto"/>
        </w:rPr>
        <w:t>3 –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-99060</wp:posOffset>
            </wp:positionV>
            <wp:extent cx="7161530" cy="128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 years</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3"/>
          <w:szCs w:val="13"/>
          <w:color w:val="auto"/>
        </w:rPr>
        <w:t>3 –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-93980</wp:posOffset>
            </wp:positionV>
            <wp:extent cx="7161530" cy="128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3"/>
          <w:szCs w:val="13"/>
          <w:color w:val="auto"/>
        </w:rPr>
        <w:t>3 years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useful life or term of the lease, whichever is shorter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-101600</wp:posOffset>
            </wp:positionV>
            <wp:extent cx="7161530" cy="114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500"/>
          </w:cols>
          <w:pgMar w:left="300" w:top="125" w:right="339" w:bottom="1440" w:gutter="0" w:footer="0" w:header="0"/>
          <w:type w:val="continuous"/>
        </w:sectPr>
      </w:pPr>
    </w:p>
    <w:p>
      <w:pPr>
        <w:spacing w:after="0" w:line="49"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Expenditures for routine maintenance and repairs are charged to operating expense as incurred. Major renewals and improvements are capitalized and depreciated over their estimated useful lives.</w:t>
      </w:r>
    </w:p>
    <w:p>
      <w:pPr>
        <w:spacing w:after="0" w:line="124"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4"/>
          <w:szCs w:val="14"/>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are less than its carrying amount. No impairment indicators were identified by the Company and no impairment losses were recorded by the Company during the fiscal years ended January 31, 2024, January 31, 2023, and January 31, 2022.</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Capitalized Internal-Use Software and Website Development Costs</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The Company capitalizes certain development costs incurred in connection with its internal-use software and website development. These capitalized costs are primarily related to the Company’s cloud-delivered solution for next-generation endpoint protection, as well as redefining, redesigning, and rebuilding crowdstrike.com. Costs incurred in the preliminary stages of development are expensed as incurred. Once an application has reached the development stage, internal and external costs, if direct, are capitalized until the internal-use software and website are substantially complete and ready for their intended use. The Company contracts with third party information technology providers for various service arrangements including software, platform, and information technology infrastructure. The Company capitalizes the implementation costs incurred to develop or obtain internal-use software in such arrangements, which are recorded as part of property and equipment, net in the consolidated balance sheets. All capitalized implementation costs are amortized over the term of the arrangement, which includes reasonably certain renewals. Costs incurred during the preliminary project and post-implementation stages are expensed as the activities are performed.</w:t>
      </w:r>
    </w:p>
    <w:p>
      <w:pPr>
        <w:spacing w:after="0" w:line="14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and website development costs are amortized to cost of revenue on a straight-line basis over its estimated useful life of three years. Management evaluates the useful lives of these assets on an annual basis and tests for impairment whenever events or changes in circumstances occur that could impact the recoverability of these assets.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Deferred Contract Acquisition Costs</w:t>
      </w:r>
    </w:p>
    <w:p>
      <w:pPr>
        <w:spacing w:after="0" w:line="18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Under ASC 340-40, Other Assets and Deferred Costs - Contracts with Customers, 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six months.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Deferred Revenue</w:t>
      </w:r>
    </w:p>
    <w:p>
      <w:pPr>
        <w:spacing w:after="0" w:line="181"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deferred revenue balance consists of subscription and professional services, which have been invoiced upfront, and are recognized as revenue only when the revenue recognition criteria are met. The Company’s subscription contracts are typically invoiced to its customers at the beginning of the term, or in some instances, such as in multi-year arrangements, in installments. Professional services are invoiced upfront, invoiced in installments, or invoiced as the services are performed. Accordingly, the Company’s deferred revenue balance does not include revenue for future years of multi-year non-cancellable contracts that have not yet been billed.</w:t>
      </w:r>
    </w:p>
    <w:p>
      <w:pPr>
        <w:spacing w:after="0" w:line="140"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The Company recognizes subscription revenue ratably over the contract term beginning on the commencement date of each contract, the date that services are made available to customers. The Company recognizes professional services revenue as services are delivered.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consolidated balance sheets, unless such amounts have been paid as of the balance sheet date.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1"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In accordance with ASU 2014-09, Revenue from Contracts with Customers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Identify the contract with a customer</w:t>
      </w:r>
    </w:p>
    <w:p>
      <w:pPr>
        <w:spacing w:after="0" w:line="179" w:lineRule="exact"/>
        <w:rPr>
          <w:sz w:val="20"/>
          <w:szCs w:val="20"/>
          <w:color w:val="auto"/>
        </w:rPr>
      </w:pPr>
    </w:p>
    <w:p>
      <w:pPr>
        <w:jc w:val="both"/>
        <w:ind w:right="320" w:firstLine="255"/>
        <w:spacing w:after="0" w:line="264" w:lineRule="auto"/>
        <w:rPr>
          <w:sz w:val="20"/>
          <w:szCs w:val="20"/>
          <w:color w:val="auto"/>
        </w:rPr>
      </w:pPr>
      <w:r>
        <w:rPr>
          <w:rFonts w:ascii="Times New Roman" w:cs="Times New Roman" w:eastAsia="Times New Roman" w:hAnsi="Times New Roman"/>
          <w:sz w:val="14"/>
          <w:szCs w:val="14"/>
          <w:color w:val="auto"/>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 Identify the performance obligations in the contract</w:t>
      </w:r>
    </w:p>
    <w:p>
      <w:pPr>
        <w:spacing w:after="0" w:line="179"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(3) Determine the transaction price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 transaction price is determined based on the consideration to which the Company is expected to be entitled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(4) Allocate the transaction price to performance obligations in the contract</w:t>
      </w:r>
    </w:p>
    <w:p>
      <w:pPr>
        <w:spacing w:after="0" w:line="179"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 Recognize revenue when or as performance obligations are satisfied</w:t>
      </w:r>
    </w:p>
    <w:p>
      <w:pPr>
        <w:spacing w:after="0" w:line="179"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Subscription Revenue</w:t>
      </w:r>
    </w:p>
    <w:p>
      <w:pPr>
        <w:spacing w:after="0" w:line="181"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The Company’s Falcon Platform technology solutions are subscription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40"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typical subscription term is one to three years. The Company’s contracts with customers typically include a fixed amount of consideration and are generally non-cancellable and without any refund-type provisions.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the Company’s SSP.</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Professional Services Revenue</w:t>
      </w:r>
    </w:p>
    <w:p>
      <w:pPr>
        <w:spacing w:after="0" w:line="181"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Company’s professional services are available through time and material and fixed fee agreements. Revenue for time and material agreements is recognized as services are performed. Fixed fee contracts account for an immaterial portion of the Company’s revenue.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Contracts with Multiple Performance Obligations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Variable Consideration</w:t>
      </w:r>
    </w:p>
    <w:p>
      <w:pPr>
        <w:spacing w:after="0" w:line="181"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Revenue from sales is recorded at the net sales price, which is the transaction price, and may include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consolidated financial statements is not material during the periods presented.</w:t>
      </w:r>
    </w:p>
    <w:p>
      <w:pPr>
        <w:spacing w:after="0" w:line="136"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Company provides rebates and other credits within its contracts with certain resellers, which are estimated based on the expected value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181" w:lineRule="exact"/>
        <w:rPr>
          <w:sz w:val="20"/>
          <w:szCs w:val="20"/>
          <w:color w:val="auto"/>
        </w:rPr>
      </w:pPr>
    </w:p>
    <w:p>
      <w:pPr>
        <w:jc w:val="both"/>
        <w:ind w:right="200" w:firstLine="255"/>
        <w:spacing w:after="0" w:line="287" w:lineRule="auto"/>
        <w:rPr>
          <w:sz w:val="20"/>
          <w:szCs w:val="20"/>
          <w:color w:val="auto"/>
        </w:rPr>
      </w:pPr>
      <w:r>
        <w:rPr>
          <w:rFonts w:ascii="Times New Roman" w:cs="Times New Roman" w:eastAsia="Times New Roman" w:hAnsi="Times New Roman"/>
          <w:sz w:val="14"/>
          <w:szCs w:val="14"/>
          <w:color w:val="auto"/>
        </w:rPr>
        <w:t>Research and development costs are expensed when incurred, except for certain internal-use software development costs, which may be capitalized as noted above. Research and development expenses consist primarily of personnel and related headcount costs, costs of professional services associated with the ongoing development of the Company’s technology, and allocated overhead.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Advertising</w:t>
      </w:r>
    </w:p>
    <w:p>
      <w:pPr>
        <w:spacing w:after="0" w:line="181"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Most advertising costs are expensed as incurred, except for certain production costs that are deferred and expensed at the first time the advertising takes place. The Company incurred $79.9 million, $53.8 million, and $50.5 million of advertising costs during the fiscal years ended January 31, 2024, January 31, 2023, and January 31, 2022, respectively.</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1"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Compensation related to stock-based awards to employees and directors is measured and recognized in the Company’s consolidated statements of operations based on the fair value of the awards granted. The Company estimates the fair value of its stock options using the Black-Scholes option-pricing model. The stock-based compensation expense relating to stock options is recognized on a straight-line basis over the period during which the employee or director is required to provide service in exchange for the award, usually the vesting period, which is generally four years.</w:t>
      </w:r>
    </w:p>
    <w:p>
      <w:pPr>
        <w:spacing w:after="0" w:line="136"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Restricted stock units (“RSUs”) are generally subject to a service-based vesting condition. The service-based vesting condition is generally four years. The valuation of these RSUs is based solely on the Company’s stock price on the date of grant, and the corresponding compensation expense is amortized on a straight-line basis.</w:t>
      </w:r>
    </w:p>
    <w:p>
      <w:pPr>
        <w:spacing w:after="0" w:line="124" w:lineRule="exact"/>
        <w:rPr>
          <w:sz w:val="20"/>
          <w:szCs w:val="20"/>
          <w:color w:val="auto"/>
        </w:rPr>
      </w:pPr>
    </w:p>
    <w:p>
      <w:pPr>
        <w:jc w:val="both"/>
        <w:ind w:right="240" w:firstLine="255"/>
        <w:spacing w:after="0" w:line="270" w:lineRule="auto"/>
        <w:rPr>
          <w:sz w:val="20"/>
          <w:szCs w:val="20"/>
          <w:color w:val="auto"/>
        </w:rPr>
      </w:pPr>
      <w:r>
        <w:rPr>
          <w:rFonts w:ascii="Times New Roman" w:cs="Times New Roman" w:eastAsia="Times New Roman" w:hAnsi="Times New Roman"/>
          <w:sz w:val="14"/>
          <w:szCs w:val="14"/>
          <w:color w:val="auto"/>
        </w:rPr>
        <w:t>Performance-based stock units (“PSUs”) are generally subject to both a service-based vesting condition and a performance-based vesting condition. The fair value of the award is equal to the Company’s stock price on the date of grant. PSUs generally vest over a four-year period,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36"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Special PSU Awards are subject to the Company’s achievement of specified stock price hurdles and a service-based vesting condition. The Company measured the fair value of the Special PSU Awards using a Monte Carlo simulation valuation model. The stock-based compensation expense relating to the Special PSU Awards is recognized using the accelerated attribution method over the longer of the derived service period and the explicit service period.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Employee Stock Purchase Plan (“ESPP”) grants are measured based on the fair value at grant date using the Black-Scholes option-pricing model. The resulting stock-based compensation expense is recognized using the accelerated attribution method over a two-year offering period and is accounted for as having four separate tranches starting on the same initial enrollment date. The requisite service periods for the four tranches are approximately 6, 12, 18, and 24 months.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accounts for forfeitures as they occur for all stock-based awards.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Deferred Compensation</w:t>
      </w:r>
    </w:p>
    <w:p>
      <w:pPr>
        <w:spacing w:after="0" w:line="18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In December 2022, the board of directors approved the CrowdStrike Inc. Deferred Compensation Plan (the “Plan”), effective January 1, 2023. The Plan is a non-qualified, deferred compensation arrangement that permits eligible employees to make 100% vested salary and incentive compensation deferrals within established limits. The Company does not make contributions to the Plan.</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Plan’s assets consist of marketable securities held in a Rabbi Trust and are included in other long-term assets in the consolidated balance sheets because they are intended to fund the Plan’s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liabilities. They are not available for use in the Company’s daily operations and are not intended to be sold within a short period of time after purchase. The marketable securities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recorded at fair value based on quoted market prices and were $2.3 million and immaterial as of January 31, 2024 and January 31, 2023, respectively. The deferred compensation liability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 million and immaterial as of January 31, 2024 and January 31, 2023, respectively, and is included in other liabilities, noncurrent in the consolidated balance sheets. Gains and losses on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 investments are included in other income (expense), net, and corresponding changes in the deferred compensation liability are included in operating expenses and cost of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fair value of the deferred compensation asset and liability were immaterial for the fiscal years ended January 31, 2024 and January 31, 2023,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consolidated balance sheets. The Company did not have any financing leases in any of the periods presented.</w:t>
      </w:r>
    </w:p>
    <w:p>
      <w:pPr>
        <w:spacing w:after="0" w:line="14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right-to-use (“ROU”)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spacing w:after="0" w:line="143" w:lineRule="exact"/>
        <w:rPr>
          <w:sz w:val="20"/>
          <w:szCs w:val="20"/>
          <w:color w:val="auto"/>
        </w:rPr>
      </w:pPr>
    </w:p>
    <w:p>
      <w:pPr>
        <w:jc w:val="both"/>
        <w:ind w:right="20" w:firstLine="255"/>
        <w:spacing w:after="0" w:line="287" w:lineRule="auto"/>
        <w:rPr>
          <w:sz w:val="20"/>
          <w:szCs w:val="20"/>
          <w:color w:val="auto"/>
        </w:rPr>
      </w:pPr>
      <w:r>
        <w:rPr>
          <w:rFonts w:ascii="Times New Roman" w:cs="Times New Roman" w:eastAsia="Times New Roman" w:hAnsi="Times New Roman"/>
          <w:sz w:val="14"/>
          <w:szCs w:val="14"/>
          <w:color w:val="auto"/>
        </w:rPr>
        <w:t>The Company uses the non-cancellable lease term when recognizing the ROU assets and lease liabilities, unless it is reasonably certain that a renewal or termination option will be exercised. The Company accounts for the lease and non-lease components as a single lease component.</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Leases with a term of twelve months or less are not recognized on the consolidated balance sheets but are recognized as expense on a straight-line basis over the term of the lease.</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81" w:lineRule="exact"/>
        <w:rPr>
          <w:sz w:val="20"/>
          <w:szCs w:val="20"/>
          <w:color w:val="auto"/>
        </w:rPr>
      </w:pPr>
    </w:p>
    <w:p>
      <w:pPr>
        <w:jc w:val="both"/>
        <w:ind w:right="20" w:firstLine="255"/>
        <w:spacing w:after="0" w:line="264" w:lineRule="auto"/>
        <w:rPr>
          <w:sz w:val="20"/>
          <w:szCs w:val="20"/>
          <w:color w:val="auto"/>
        </w:rPr>
      </w:pPr>
      <w:r>
        <w:rPr>
          <w:rFonts w:ascii="Times New Roman" w:cs="Times New Roman" w:eastAsia="Times New Roman" w:hAnsi="Times New Roman"/>
          <w:sz w:val="14"/>
          <w:szCs w:val="14"/>
          <w:color w:val="auto"/>
        </w:rPr>
        <w:t>Debt issuance costs incurred in connection with securing the Company’s financing arrangements are generally presented in the consolidated balance sheets as a direct deduction from the carrying amount of the outstanding borrowings, consistent with debt discounts. However, the Company has chosen to present debt issuance costs under other long-term assets for its revolving credit facility on the consolidated balance sheets regardless of whether the Company has any outstanding borrowings on the revolving credit facility. Debt issuance costs, net of accumulated amortization, were $4.0 million and $4.5 million as 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January 31, 2024 and January 31, 2023, respectively. Debt issuance costs associated with the Senior Notes are recorded as a reduction to the carrying value of the Senior Notes on the consolidated balance sheets. The unamortized issuance costs relating to the Senior Notes were $1.6 million and $2.0 million as of January 31, 2024 and January 31, 2023, respectively.</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All deferred financing costs are amortized to interest expense. The effective interest method is used for debt issuance costs related to the Senior Notes. Debt issuance costs related to the revolving credit facility are amortized over the term of the financing arrangement under the straight-line method. The Company’s amortization of these costs was $1.6 million, $1.3 million, and $1.0 million for the fiscal years ended January 31, 2024, 2023, and 2022, respectively.</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Transactions</w:t>
      </w:r>
    </w:p>
    <w:p>
      <w:pPr>
        <w:spacing w:after="0" w:line="181"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The functional currencies of the Company’s foreign subsidiaries are generally the country’s local currency. Assets and liabilities of the subsidiaries are translated into U.S. Dollars at exchange rates in effect at the reporting date. Amounts classified in stockholders’ equity (deficit) are translated at historical exchange rates. Revenue and expenses are translated at the average exchange rates during the period. The resulting translation adjustments are recorded in accumulated other comprehensive loss. Foreign currency transaction gains or losses, whether realized or unrealized, are reflected in the consolidated statements of operations within other income (expense), net, and have not been material for all periods presented.</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1"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3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Company’s assumptions, judgments, and estimates relative to the current provision for income taxes take into account current tax laws, the Company’s interpretation of current tax laws, and possible outcomes of current and future audits conducted by foreign and domestic tax authorities. The Company has established reserves for income taxes to address potential exposures involving tax positions that could be challenged by tax authorities. In addition, the Company is subject to the continual examination of its income tax returns by the U.S. Internal Revenue Service (“IRS”) and other domestic and foreign tax authorities. The Company regularly assesses the likelihood of outcomes resulting from these examinations to determine the adequacy of its provision for income taxes and have reserved for potential adjustments that may result from such examinations. The Company believes such estimates to be reasonable; however, the final determination of any of these examinations could significantly impact the amounts provided for income taxes in the Company’s consolidated financial statements.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per Share</w:t>
      </w:r>
    </w:p>
    <w:p>
      <w:pPr>
        <w:spacing w:after="0" w:line="181" w:lineRule="exact"/>
        <w:rPr>
          <w:sz w:val="20"/>
          <w:szCs w:val="20"/>
          <w:color w:val="auto"/>
        </w:rPr>
      </w:pPr>
    </w:p>
    <w:p>
      <w:pPr>
        <w:ind w:right="300" w:firstLine="255"/>
        <w:spacing w:after="0" w:line="270" w:lineRule="auto"/>
        <w:rPr>
          <w:sz w:val="20"/>
          <w:szCs w:val="20"/>
          <w:color w:val="auto"/>
        </w:rPr>
      </w:pPr>
      <w:r>
        <w:rPr>
          <w:rFonts w:ascii="Times New Roman" w:cs="Times New Roman" w:eastAsia="Times New Roman" w:hAnsi="Times New Roman"/>
          <w:sz w:val="14"/>
          <w:szCs w:val="14"/>
          <w:color w:val="auto"/>
        </w:rPr>
        <w:t>The Company computes basic and diluted net income (loss) per share attributable to common stockholders for Class A and Class B common stock using the two-class method required for participating securities. Under the two-class method, basic net income (loss) per share attributable to common stockholders is computed by dividing the net income (loss) attributable to common stockholders by the weighted-average number of shares of common stock outstanding during the period.</w:t>
      </w:r>
    </w:p>
    <w:p>
      <w:pPr>
        <w:spacing w:after="0" w:line="13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Diluted earnings per share attributable to common stockholders adjusts basic earnings per share for the potentially dilutive impact of outstanding stock options, RSUs, PSUs, Special PSUs, ESPP obligations, and founder holdbacks. The dilutive potential shares are computed using the treasury stock method. The effects of the outstanding stock options, RSUs, PSUs, Special PSUs, ESPP obligations, and founders holdbacks are excluded from the computation of the diluted earnings per share in periods in which the effect would be anti-dilutive.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October 2021, the FASB issued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was effective for fiscal years beginning after December 15, 2022, and interim periods within those fiscal years. The Company adopted this guidance on February 1, 2023, which did not have a material effect on its condensed consolidated financial statements.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The new standard is effective for annual periods beginning after December 15, 2024. The Company does not expect the adoption of this new guidance to have a material impact on its disclosures within the consolidated financial statements.</w:t>
      </w:r>
    </w:p>
    <w:p>
      <w:pPr>
        <w:spacing w:after="0" w:line="140"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The standard requires disclosure of significant segment expenses that are regularly provided to the CODM and included within each reported measure of segment profit or loss, an amount for other segment items required to reconcile the difference between segment revenue and segment expenses to segment profit or loss along with a description of their composition, and the title and position of the entity's CODM. The update also expands interim segment disclosure requirements. The new standard is effective for annual periods beginning after December 15, 2023, and interim periods within fiscal years beginning after December 15, 2024, with early adoption permitted, and will be applied retrospectively to all prior periods presented in the consolidated financial statements. The Company is currently evaluating the impact of this new guidance on its disclosures within the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 Investments and Fair Value Measurements</w:t>
      </w:r>
    </w:p>
    <w:p>
      <w:pPr>
        <w:spacing w:after="0" w:line="179"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The Company follows ASC 820</w:t>
      </w:r>
      <w:r>
        <w:rPr>
          <w:rFonts w:ascii="Times New Roman" w:cs="Times New Roman" w:eastAsia="Times New Roman" w:hAnsi="Times New Roman"/>
          <w:sz w:val="14"/>
          <w:szCs w:val="14"/>
          <w:i w:val="1"/>
          <w:iCs w:val="1"/>
          <w:color w:val="auto"/>
        </w:rPr>
        <w:t>, Fair Value Measurements</w:t>
      </w:r>
      <w:r>
        <w:rPr>
          <w:rFonts w:ascii="Times New Roman" w:cs="Times New Roman" w:eastAsia="Times New Roman" w:hAnsi="Times New Roman"/>
          <w:sz w:val="14"/>
          <w:szCs w:val="14"/>
          <w:color w:val="auto"/>
        </w:rPr>
        <w:t>, with respect to cash equivalents, short-term investments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hierarchy is broken down into three levels as follows:</w:t>
      </w:r>
    </w:p>
    <w:p>
      <w:pPr>
        <w:spacing w:after="0" w:line="17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1</w:t>
        <w:tab/>
        <w:t>Assets and liabilities whose values are based on unadjusted quoted market prices for identical assets and liabilities in active markets</w:t>
      </w:r>
    </w:p>
    <w:p>
      <w:pPr>
        <w:spacing w:after="0" w:line="17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2</w:t>
        <w:tab/>
        <w:t>Assets and liabilities whose values are based on quoted prices in markets that are not active or inputs that are observable for substantially the full term of the asset or liability</w:t>
      </w:r>
    </w:p>
    <w:p>
      <w:pPr>
        <w:spacing w:after="0" w:line="17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3</w:t>
        <w:tab/>
        <w:t>Assets and liabilities whose values are based on prices or valuation techniques that require inputs that are both unobservable and significant to the overall fair value measurement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Categorization within the valuation hierarchy is based upon the lowest level of input that is significant to the fair value measurement.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fair value hierarchy for its financial assets and liabilities that are measured at fair value on a recurring basis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January 31, 2024</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January 31, 2023</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61"/>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40" w:type="dxa"/>
            <w:vAlign w:val="bottom"/>
          </w:tcPr>
          <w:p>
            <w:pPr>
              <w:spacing w:after="0"/>
              <w:rPr>
                <w:sz w:val="14"/>
                <w:szCs w:val="14"/>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
        </w:trPr>
        <w:tc>
          <w:tcPr>
            <w:tcW w:w="28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r>
      <w:tr>
        <w:trPr>
          <w:trHeight w:val="17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0"/>
        </w:trPr>
        <w:tc>
          <w:tcPr>
            <w:tcW w:w="28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Cash equivalents</w:t>
            </w:r>
            <w:r>
              <w:rPr>
                <w:rFonts w:ascii="Times New Roman" w:cs="Times New Roman" w:eastAsia="Times New Roman" w:hAnsi="Times New Roman"/>
                <w:sz w:val="16"/>
                <w:szCs w:val="16"/>
                <w:color w:val="auto"/>
                <w:vertAlign w:val="superscript"/>
              </w:rPr>
              <w:t>(2)</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Money market funds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2,360,173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2,360,173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64,752</w:t>
            </w:r>
          </w:p>
        </w:tc>
      </w:tr>
      <w:tr>
        <w:trPr>
          <w:trHeight w:val="16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Treasury securities</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693,599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8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Short-term investments</w:t>
            </w:r>
            <w:r>
              <w:rPr>
                <w:rFonts w:ascii="Times New Roman" w:cs="Times New Roman" w:eastAsia="Times New Roman" w:hAnsi="Times New Roman"/>
                <w:sz w:val="16"/>
                <w:szCs w:val="16"/>
                <w:color w:val="auto"/>
                <w:vertAlign w:val="superscript"/>
              </w:rPr>
              <w:t>(1)</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Treasury securities</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99,591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compensation investments</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8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2,362,444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793,190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3,155,634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64,816</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w:t>
      </w:r>
    </w:p>
    <w:p>
      <w:pPr>
        <w:spacing w:after="0" w:line="184" w:lineRule="exact"/>
        <w:rPr>
          <w:sz w:val="20"/>
          <w:szCs w:val="20"/>
          <w:color w:val="auto"/>
        </w:rPr>
      </w:pPr>
    </w:p>
    <w:p>
      <w:pPr>
        <w:ind w:left="540" w:hanging="280"/>
        <w:spacing w:after="0"/>
        <w:tabs>
          <w:tab w:leader="none" w:pos="5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$250.0 million of time deposits, which are included in short-term investments, are excluded since they are carried at cost and approximate fair value as of January 31, 2023.</w:t>
      </w:r>
    </w:p>
    <w:p>
      <w:pPr>
        <w:spacing w:after="0" w:line="168" w:lineRule="exact"/>
        <w:rPr>
          <w:rFonts w:ascii="Times New Roman" w:cs="Times New Roman" w:eastAsia="Times New Roman" w:hAnsi="Times New Roman"/>
          <w:sz w:val="13"/>
          <w:szCs w:val="13"/>
          <w:color w:val="auto"/>
        </w:rPr>
      </w:pPr>
    </w:p>
    <w:p>
      <w:pPr>
        <w:ind w:left="540" w:hanging="280"/>
        <w:spacing w:after="0"/>
        <w:tabs>
          <w:tab w:leader="none" w:pos="5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equivalents exclude $1.6 billion of time deposits, which are carried at cost and approximate fair value as of January 31, 2023.</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transfers between the levels of the fair value hierarchy during the periods presented.</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January 31, 2024, the Company’s U.S. Treasury securities are carried at fair value and there were no material realized or unrealized gains or losses, either individually or in aggregate.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U.S. Treasury securities as of January 31, 2023.</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the changes in the net carrying value of strategic investments, which are Level 3, within the fair value hierarchy for the fiscal years ended January 31, 2024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31, 2023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20" w:type="dxa"/>
            <w:vAlign w:val="bottom"/>
            <w:tcBorders>
              <w:bottom w:val="single" w:sz="8" w:color="auto"/>
            </w:tcBorders>
          </w:tcPr>
          <w:p>
            <w:pPr>
              <w:spacing w:after="0"/>
              <w:rPr>
                <w:sz w:val="16"/>
                <w:szCs w:val="16"/>
                <w:color w:val="auto"/>
              </w:rPr>
            </w:pPr>
          </w:p>
        </w:tc>
      </w:tr>
      <w:tr>
        <w:trPr>
          <w:trHeight w:val="171"/>
        </w:trPr>
        <w:tc>
          <w:tcPr>
            <w:tcW w:w="8220" w:type="dxa"/>
            <w:vAlign w:val="bottom"/>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 beginning of period</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23,632</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related to non-marketable securities:</w:t>
            </w: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21,807</w:t>
            </w:r>
          </w:p>
        </w:tc>
      </w:tr>
      <w:tr>
        <w:trPr>
          <w:trHeight w:val="180"/>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net gains (loss) due to changes in fair value</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r>
      <w:tr>
        <w:trPr>
          <w:trHeight w:val="18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of investments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 end of period</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56,244</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Cumulative unrealized gains and losses on strategic investments held as of January 31, 2024 are $9.3 million and $4.4 million, respectively.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right="9300" w:hanging="255"/>
        <w:spacing w:after="0" w:line="507" w:lineRule="auto"/>
        <w:tabs>
          <w:tab w:leader="none" w:pos="147" w:val="left"/>
        </w:tabs>
        <w:numPr>
          <w:ilvl w:val="0"/>
          <w:numId w:val="6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Balance Sheet Components Property and Equipment, Net</w:t>
      </w:r>
    </w:p>
    <w:p>
      <w:pPr>
        <w:ind w:left="26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60" w:type="dxa"/>
            <w:vAlign w:val="bottom"/>
            <w:tcBorders>
              <w:bottom w:val="single" w:sz="8" w:color="auto"/>
            </w:tcBorders>
          </w:tcPr>
          <w:p>
            <w:pPr>
              <w:spacing w:after="0"/>
              <w:rPr>
                <w:sz w:val="16"/>
                <w:szCs w:val="16"/>
                <w:color w:val="auto"/>
              </w:rPr>
            </w:pPr>
          </w:p>
        </w:tc>
      </w:tr>
      <w:tr>
        <w:trPr>
          <w:trHeight w:val="171"/>
        </w:trPr>
        <w:tc>
          <w:tcPr>
            <w:tcW w:w="8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Data center and other computer equipment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525,890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297,585</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internal-use software and website development costs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183,117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113,276</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24,944</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software</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6,384</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7,412</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190,832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259,013</w:t>
            </w:r>
          </w:p>
        </w:tc>
      </w:tr>
      <w:tr>
        <w:trPr>
          <w:trHeight w:val="171"/>
        </w:trPr>
        <w:tc>
          <w:tcPr>
            <w:tcW w:w="8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958,438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708,614</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(338,266)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(216,279)</w:t>
            </w:r>
          </w:p>
        </w:tc>
      </w:tr>
      <w:tr>
        <w:trPr>
          <w:trHeight w:val="196"/>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620,172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492,335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Construction in progress primarily includes data center equipment purchased that has not yet been placed in service. Data center equipment that was purchased but not yet been placed into service was $167.5 million and $245.4 million as of January 31, 2024 and January 31, 2023, respectively.</w:t>
      </w:r>
    </w:p>
    <w:p>
      <w:pPr>
        <w:spacing w:after="0" w:line="124"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of property and equipment was $126.8 million, $77.2 million, and $54.4 million, during the fiscal years ended January 31, 2024, January 31, 2023, and January 31, 2022, respectively.</w:t>
      </w:r>
    </w:p>
    <w:p>
      <w:pPr>
        <w:spacing w:after="0" w:line="124"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The Company capitalized $77.9 million, $49.3 million, and $30.7 million in internal-use software and website development costs during the fiscal years ended January 31, 2024, January 31, 2023, and January 31, 2022, respectively. Amortization expense associated with internal-use software and website development costs totaled $37.3 million, $21.5 million, and $12.4 million during the fiscal years ended January 31, 2024, January 31, 2023, and January 31, 2022, respectively. The net book value of capitalized internal-use software and website development costs was $106.9 million and $66.3 million as of January 31, 2024 and January 31, 2023,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intangible assets, net consisted of the following (dollars in thousands):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January 31, 2024</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880" w:type="dxa"/>
            <w:vAlign w:val="bottom"/>
          </w:tcPr>
          <w:p>
            <w:pPr>
              <w:spacing w:after="0"/>
              <w:rPr>
                <w:sz w:val="24"/>
                <w:szCs w:val="24"/>
                <w:color w:val="auto"/>
              </w:rPr>
            </w:pP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4"/>
                <w:szCs w:val="24"/>
                <w:color w:val="auto"/>
              </w:rPr>
            </w:pPr>
          </w:p>
        </w:tc>
        <w:tc>
          <w:tcPr>
            <w:tcW w:w="128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Useful Life</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months)</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131,346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89,492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Intellectual property and other acquired intangible assets</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71"/>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164,215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114,518</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4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January 31, 2023</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4860" w:type="dxa"/>
            <w:vAlign w:val="bottom"/>
          </w:tcPr>
          <w:p>
            <w:pPr>
              <w:spacing w:after="0"/>
              <w:rPr>
                <w:sz w:val="24"/>
                <w:szCs w:val="24"/>
                <w:color w:val="auto"/>
              </w:rPr>
            </w:pP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4"/>
                <w:szCs w:val="24"/>
                <w:color w:val="auto"/>
              </w:rPr>
            </w:pPr>
          </w:p>
        </w:tc>
        <w:tc>
          <w:tcPr>
            <w:tcW w:w="13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Useful Life</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months)</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Intellectual property and other acquired intangible assets</w:t>
            </w: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71"/>
        </w:trPr>
        <w:tc>
          <w:tcPr>
            <w:tcW w:w="4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118,201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31,312</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86,889</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40" w:firstLine="255"/>
        <w:spacing w:after="0" w:line="287" w:lineRule="auto"/>
        <w:rPr>
          <w:sz w:val="20"/>
          <w:szCs w:val="20"/>
          <w:color w:val="auto"/>
        </w:rPr>
      </w:pPr>
      <w:r>
        <w:rPr>
          <w:rFonts w:ascii="Times New Roman" w:cs="Times New Roman" w:eastAsia="Times New Roman" w:hAnsi="Times New Roman"/>
          <w:sz w:val="14"/>
          <w:szCs w:val="14"/>
          <w:color w:val="auto"/>
        </w:rPr>
        <w:t>Amortization expense of intangible assets was $18.4 million, $16.6 million, and $12.9 million, during the fiscal years ended January 31, 2024, January 31, 2023, and January 31, 2022,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estimated aggregate future amortization expense of intangible assets as of January 31, 2024 was as follows (in thousands):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7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23,089</w:t>
            </w:r>
          </w:p>
        </w:tc>
        <w:tc>
          <w:tcPr>
            <w:tcW w:w="0" w:type="dxa"/>
            <w:vAlign w:val="bottom"/>
          </w:tcPr>
          <w:p>
            <w:pPr>
              <w:spacing w:after="0"/>
              <w:rPr>
                <w:sz w:val="1"/>
                <w:szCs w:val="1"/>
                <w:color w:val="auto"/>
              </w:rPr>
            </w:pP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21,990</w:t>
            </w:r>
          </w:p>
        </w:tc>
        <w:tc>
          <w:tcPr>
            <w:tcW w:w="0" w:type="dxa"/>
            <w:vAlign w:val="bottom"/>
          </w:tcPr>
          <w:p>
            <w:pPr>
              <w:spacing w:after="0"/>
              <w:rPr>
                <w:sz w:val="1"/>
                <w:szCs w:val="1"/>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19,817</w:t>
            </w:r>
          </w:p>
        </w:tc>
        <w:tc>
          <w:tcPr>
            <w:tcW w:w="0" w:type="dxa"/>
            <w:vAlign w:val="bottom"/>
          </w:tcPr>
          <w:p>
            <w:pPr>
              <w:spacing w:after="0"/>
              <w:rPr>
                <w:sz w:val="1"/>
                <w:szCs w:val="1"/>
                <w:color w:val="auto"/>
              </w:rPr>
            </w:pP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19,326</w:t>
            </w:r>
          </w:p>
        </w:tc>
        <w:tc>
          <w:tcPr>
            <w:tcW w:w="0" w:type="dxa"/>
            <w:vAlign w:val="bottom"/>
          </w:tcPr>
          <w:p>
            <w:pPr>
              <w:spacing w:after="0"/>
              <w:rPr>
                <w:sz w:val="1"/>
                <w:szCs w:val="1"/>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16,573</w:t>
            </w:r>
          </w:p>
        </w:tc>
        <w:tc>
          <w:tcPr>
            <w:tcW w:w="0" w:type="dxa"/>
            <w:vAlign w:val="bottom"/>
          </w:tcPr>
          <w:p>
            <w:pPr>
              <w:spacing w:after="0"/>
              <w:rPr>
                <w:sz w:val="1"/>
                <w:szCs w:val="1"/>
                <w:color w:val="auto"/>
              </w:rPr>
            </w:pPr>
          </w:p>
        </w:tc>
      </w:tr>
      <w:tr>
        <w:trPr>
          <w:trHeight w:val="18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13,723</w:t>
            </w:r>
          </w:p>
        </w:tc>
        <w:tc>
          <w:tcPr>
            <w:tcW w:w="0" w:type="dxa"/>
            <w:vAlign w:val="bottom"/>
          </w:tcPr>
          <w:p>
            <w:pPr>
              <w:spacing w:after="0"/>
              <w:rPr>
                <w:sz w:val="1"/>
                <w:szCs w:val="1"/>
                <w:color w:val="auto"/>
              </w:rPr>
            </w:pPr>
          </w:p>
        </w:tc>
      </w:tr>
      <w:tr>
        <w:trPr>
          <w:trHeight w:val="196"/>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amortization expense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114,518</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change in goodwill during the fiscal year ended January 31, 2024 consisted of the following (in thousands):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7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71"/>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as of January 31, 2023</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430,645</w:t>
            </w:r>
          </w:p>
        </w:tc>
        <w:tc>
          <w:tcPr>
            <w:tcW w:w="0" w:type="dxa"/>
            <w:vAlign w:val="bottom"/>
          </w:tcPr>
          <w:p>
            <w:pPr>
              <w:spacing w:after="0"/>
              <w:rPr>
                <w:sz w:val="1"/>
                <w:szCs w:val="1"/>
                <w:color w:val="auto"/>
              </w:rPr>
            </w:pPr>
          </w:p>
        </w:tc>
      </w:tr>
      <w:tr>
        <w:trPr>
          <w:trHeight w:val="180"/>
        </w:trPr>
        <w:tc>
          <w:tcPr>
            <w:tcW w:w="976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Goodwill acquired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207,450</w:t>
            </w:r>
          </w:p>
        </w:tc>
        <w:tc>
          <w:tcPr>
            <w:tcW w:w="0" w:type="dxa"/>
            <w:vAlign w:val="bottom"/>
          </w:tcPr>
          <w:p>
            <w:pPr>
              <w:spacing w:after="0"/>
              <w:rPr>
                <w:sz w:val="1"/>
                <w:szCs w:val="1"/>
                <w:color w:val="auto"/>
              </w:rPr>
            </w:pPr>
          </w:p>
        </w:tc>
      </w:tr>
      <w:tr>
        <w:trPr>
          <w:trHeight w:val="180"/>
        </w:trPr>
        <w:tc>
          <w:tcPr>
            <w:tcW w:w="9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as of January 31, 2024</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638,041</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w:t>
      </w:r>
    </w:p>
    <w:p>
      <w:pPr>
        <w:spacing w:after="0" w:line="184"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Goodwill acquired resulted from the acquisition of Bionic Technology. Refer to Note 11 for additional information.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8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 hosting services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40,706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65,589</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purchases of property and equipment</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marketing</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11,435</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partner commissions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13,281</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expense</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10,375</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health benefits and claims</w:t>
            </w: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125,896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137,884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Accrued Payroll and Benefits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1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payroll and benefits consisted of the following (in thousands):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commissions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77,287</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58,579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bonuses</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34,098</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22,315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17,475</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234,624</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168,767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 Debt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Secured Revolving Credit Facility</w:t>
      </w:r>
    </w:p>
    <w:p>
      <w:pPr>
        <w:spacing w:after="0" w:line="18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2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will be charged a commitment fee of 0.15% to 0.25% per year for committed but unused amounts, depending on the senior</w:t>
      </w:r>
    </w:p>
    <w:p>
      <w:pPr>
        <w:spacing w:after="0" w:line="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secured leverage ratio. The financial covenants require the Company to maintain a minimum consolidated interest coverage ratio of 3.00:1.00 and a maximum total leverage ratio of 5.50:1.00 stepping down to 3.50:1.00 over time. The Company was in compliance with all of its financial covenants as of January 31, 2024.</w:t>
      </w:r>
    </w:p>
    <w:p>
      <w:pPr>
        <w:spacing w:after="0" w:line="124"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amounts were outstanding under the Amended A&amp;R Credit Agreement as of January 31, 2024.</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20, 2021, the Company issued $750.0 million in aggregate principal amount of 3.00% Senior Notes maturing in February 2029. The Senior Notes are guaranteed by the Company’s</w:t>
      </w:r>
    </w:p>
    <w:p>
      <w:pPr>
        <w:spacing w:after="0" w:line="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47"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$24.0 million during both fiscal years ended January 31, 2024 and January 31, 2023.</w:t>
      </w:r>
    </w:p>
    <w:p>
      <w:pPr>
        <w:spacing w:after="0" w:line="136"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24"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January 31, 2024, the Company was in compliance with all of its financial covenants under the Indenture associated with the Senior Notes.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Based on the trading prices of the Senior Notes, the fair value of the Senior Notes was approximately $671.2 million and $645.4 million as of January 31, 2024 and January 31, 2023,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5. Income Taxes</w:t>
      </w:r>
    </w:p>
    <w:p>
      <w:pPr>
        <w:spacing w:after="0" w:line="181" w:lineRule="exact"/>
        <w:rPr>
          <w:sz w:val="20"/>
          <w:szCs w:val="20"/>
          <w:color w:val="auto"/>
        </w:rPr>
      </w:pPr>
    </w:p>
    <w:p>
      <w:pPr>
        <w:ind w:right="100" w:firstLine="255"/>
        <w:spacing w:after="0" w:line="275" w:lineRule="auto"/>
        <w:rPr>
          <w:sz w:val="20"/>
          <w:szCs w:val="20"/>
          <w:color w:val="auto"/>
        </w:rPr>
      </w:pPr>
      <w:r>
        <w:rPr>
          <w:rFonts w:ascii="Times New Roman" w:cs="Times New Roman" w:eastAsia="Times New Roman" w:hAnsi="Times New Roman"/>
          <w:sz w:val="14"/>
          <w:szCs w:val="14"/>
          <w:color w:val="auto"/>
        </w:rPr>
        <w:t>The Company’s geographical breakdown of its income (loss) before provision for income taxes for the fiscal years ended January 31, 2024, January 31, 2023, and January 31, 2022 is as follows (in thousands):</w:t>
      </w: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6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(179,334)</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35,159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19,311</w:t>
            </w:r>
          </w:p>
        </w:tc>
      </w:tr>
      <w:tr>
        <w:trPr>
          <w:trHeight w:val="196"/>
        </w:trPr>
        <w:tc>
          <w:tcPr>
            <w:tcW w:w="6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122,817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(160,023)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the provision for income taxes during the fiscal years ended January 31, 2024, January 31, 2023, and January 31, 2022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6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30,885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85,700</w:t>
            </w:r>
          </w:p>
        </w:tc>
      </w:tr>
      <w:tr>
        <w:trPr>
          <w:trHeight w:val="171"/>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86,311</w:t>
            </w: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(13,530)</w:t>
            </w:r>
          </w:p>
        </w:tc>
      </w:tr>
      <w:tr>
        <w:trPr>
          <w:trHeight w:val="171"/>
        </w:trPr>
        <w:tc>
          <w:tcPr>
            <w:tcW w:w="6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(13,956)</w:t>
            </w:r>
          </w:p>
        </w:tc>
      </w:tr>
      <w:tr>
        <w:trPr>
          <w:trHeight w:val="196"/>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a reconciliation between income taxes computed at the federal statutory rate and the provision for income taxes during the fiscal years ended January 31, 2024</w:t>
      </w:r>
      <w:r>
        <w:rPr>
          <w:rFonts w:ascii="Arial" w:cs="Arial" w:eastAsia="Arial" w:hAnsi="Arial"/>
          <w:sz w:val="14"/>
          <w:szCs w:val="14"/>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31, 2023, and January 31, 2022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 at statutory rate</w:t>
            </w:r>
          </w:p>
        </w:tc>
        <w:tc>
          <w:tcPr>
            <w:tcW w:w="346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(33,605)</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benefits</w:t>
            </w: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2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other credits</w:t>
            </w: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(19,113)</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(145,964)</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expenses</w:t>
            </w: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210,680</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impact of restructuring</w:t>
            </w: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57,236</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71"/>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72,355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80" w:type="dxa"/>
            <w:vAlign w:val="bottom"/>
            <w:vMerge w:val="restart"/>
          </w:tcPr>
          <w:p>
            <w:pPr>
              <w:jc w:val="right"/>
              <w:ind w:right="709"/>
              <w:spacing w:after="0"/>
              <w:rPr>
                <w:sz w:val="20"/>
                <w:szCs w:val="20"/>
                <w:color w:val="auto"/>
              </w:rPr>
            </w:pPr>
            <w:r>
              <w:rPr>
                <w:rFonts w:ascii="Times New Roman" w:cs="Times New Roman" w:eastAsia="Times New Roman" w:hAnsi="Times New Roman"/>
                <w:sz w:val="14"/>
                <w:szCs w:val="14"/>
                <w:color w:val="auto"/>
              </w:rPr>
              <w:t>99</w:t>
            </w: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0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The Company recognized income tax expense of $32.2 million, $22.4 million, and $72.4 million for the fiscal years January 31, 2024, January 31, 2023 and January 31, 2022, respectively. The tax expense for the fiscal year ended January 31, 2024 was primarily attributable to pre-tax earnings and withholding taxes related to customer payments in certain foreign jurisdictions in which the Company conducts business. The tax expense for the fiscal years ended January 31, 2023 and January 31, 2022 was primarily attributable to pre-tax foreign earnings and withholding taxes related to customer payments in certain foreign jurisdictions and intercompany sales of intellectual property from acquisitions. Although the transfers of the intellectual property between consolidated entities did not result in any gain in the consolidated statements of operations, the Company generated a taxable gain in the respective foreign jurisdiction, resulting in an additional tax expense of $4.7 million and $57.2 million for the fiscal years ended January 31, 2023 and January 31, 2022, respectively.</w:t>
      </w:r>
    </w:p>
    <w:p>
      <w:pPr>
        <w:spacing w:after="0" w:line="146"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 of assets and liabilities for financial reporting purposes and the amounts used for income tax purposes.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Significant components of the Company’s deferred tax assets and liabilities as of January 31, 2024 and January 31, 2023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80" w:type="dxa"/>
            <w:vAlign w:val="bottom"/>
            <w:tcBorders>
              <w:bottom w:val="single" w:sz="8" w:color="auto"/>
            </w:tcBorders>
          </w:tcPr>
          <w:p>
            <w:pPr>
              <w:spacing w:after="0"/>
              <w:rPr>
                <w:sz w:val="16"/>
                <w:szCs w:val="16"/>
                <w:color w:val="auto"/>
              </w:rPr>
            </w:pPr>
          </w:p>
        </w:tc>
      </w:tr>
      <w:tr>
        <w:trPr>
          <w:trHeight w:val="171"/>
        </w:trPr>
        <w:tc>
          <w:tcPr>
            <w:tcW w:w="81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420,803</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441,352</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other credit carryforwards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75,712</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62,650</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44,861</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169,777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109,919</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17,890</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13,013</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research and development</w:t>
            </w:r>
          </w:p>
        </w:tc>
        <w:tc>
          <w:tcPr>
            <w:tcW w:w="9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320,708</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286,124</w:t>
            </w:r>
          </w:p>
        </w:tc>
      </w:tr>
      <w:tr>
        <w:trPr>
          <w:trHeight w:val="171"/>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deferred assets</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1,171,295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1,051,521</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9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(957,710)</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(910,070)</w:t>
            </w: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213,585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141,451</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(24,096)</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commissions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(128,302)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(99,397)</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(12,285)</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r>
      <w:tr>
        <w:trPr>
          <w:trHeight w:val="171"/>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9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(206,359)</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(136,998)</w:t>
            </w:r>
          </w:p>
        </w:tc>
      </w:tr>
      <w:tr>
        <w:trPr>
          <w:trHeight w:val="171"/>
        </w:trPr>
        <w:tc>
          <w:tcPr>
            <w:tcW w:w="8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deferred tax assets</w:t>
            </w: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7,226</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4,453</w:t>
            </w:r>
          </w:p>
        </w:tc>
      </w:tr>
      <w:tr>
        <w:trPr>
          <w:trHeight w:val="20"/>
        </w:trPr>
        <w:tc>
          <w:tcPr>
            <w:tcW w:w="8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The Company maintains a full valuation allowance on U.S. federal and state and certain foreign deferred tax assets, including net operating loss carryforwards and tax credits, which the Company has determined are not realizable on a more-likely-than-not basis. The Company regularly evaluates the need for a valuation allowance. Due to recent profitability, a material reversal of the Company’s valuation allowance in U.S. jurisdictions in the foreseeable future is reasonably possible. During the fiscal years ended January 31, 2024, January 31, 2023, and January 31, 2022, the valuation allowance increased by $47.6 million, $139.2 million, and $357.0 million, respectively. The increases in the valuation allowance during the fiscal years ended January 31, 2024 and January 31, 2023 were primarily driven by U.S. operations. As of January 31, 2024, January 31, 2023, and January 31, 2022 the valuation allowance for deferred taxes was $957.7 million, $910.1 million, and $770.9 million, respectively.</w:t>
      </w:r>
    </w:p>
    <w:p>
      <w:pPr>
        <w:spacing w:after="0" w:line="14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As of January 31, 2024, the Company had aggregate federal and California net operating loss carryforwards of $1.5 billion and $243.9 million, respectively, which may be available to offset future taxable income for income tax purposes. The federal net operating losses are carried forward indefinitely, and California net operating loss carryforwards begin to expire in 2032 through 2043. As of January 31, 2024, net operating loss carryforwards for other states totaled $0.8 billion, which begin to expire in fiscal 2025 through fiscal 2043. As of January 31, 2024, net operating loss carryforwards for the U.K. totaled $78.0 million and Israel totaled $51.5 million, which are carried forward indefinitely.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As of January 31, 2024, the Company had federal and California research and development (“R&amp;D”) credit carryforwards of $113.9 million and $27.4 million, respectively. The federal R&amp;D credit carryforwards will begin to expire in fiscal 2036 though fiscal 2044. The California R&amp;D credits are carried forward indefinitely.</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Internal Revenue Code imposes limitations on a corporation’s ability to utilize net operating loss (“NOLs”) and credit carryovers if it experiences an ownership change as defined in Section</w:t>
      </w:r>
    </w:p>
    <w:p>
      <w:pPr>
        <w:spacing w:after="0" w:line="23" w:lineRule="exact"/>
        <w:rPr>
          <w:sz w:val="20"/>
          <w:szCs w:val="20"/>
          <w:color w:val="auto"/>
        </w:rPr>
      </w:pPr>
    </w:p>
    <w:p>
      <w:pPr>
        <w:ind w:right="120" w:firstLine="5"/>
        <w:spacing w:after="0" w:line="259" w:lineRule="auto"/>
        <w:tabs>
          <w:tab w:leader="none" w:pos="28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terms, an ownership change may result from transactions increasing the ownership of certain stockholders in the stock of a corporation by more than 50% over a three-year period. If an ownership change has occurred, or were to occur, utilization of the Company’s NOLs and credit carryovers could be restricted. The Company’s net operating losses and credit carryovers are not currently subject to a limitation due to an ownership change.</w:t>
      </w:r>
    </w:p>
    <w:p>
      <w:pPr>
        <w:spacing w:after="0" w:line="144"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Total gross unrecognized tax benefits as of January 31, 2024, January 31, 2023, and January 31, 2022 were $58.9 million, $36.9 million, and $26.3 million, respectively. As of January 31, 2024, the Company had $12.7 million of unrecognized tax benefits, which, if recognized, would affect the Company’s effective tax rate due to the full valuation allowance. The Company’s policy is to classify interest and penalties related to unrecognized tax benefits as part of the income tax provision in the consolidated statements of operations. Cumulatively, the Company had incurred $1.4 million of interest and penalties related to unrecognized tax benefits as of January 31, 2024, and an insignificant amount of interest and penalties related to unrecognized tax benefits as of January 31, 2023, and January 31, 2022. During the fiscal year ended January 31, 2024, January 31, 2023, and January 31, 2022 the net increase in uncertain tax benefits was a result of research and development credits. The potential change in unrecognized tax benefits during the next 12 months is not expected to be material.</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rollforward of the total gross unrecognized tax benefits for the fiscal years ended January 31, 2024, January 31, 2023, and January 31, 2022 (in thousands):</w:t>
      </w:r>
    </w:p>
    <w:p>
      <w:pPr>
        <w:sectPr>
          <w:pgSz w:w="11900" w:h="16838" w:orient="portrait"/>
          <w:cols w:equalWidth="0" w:num="1">
            <w:col w:w="11260"/>
          </w:cols>
          <w:pgMar w:left="300" w:top="125" w:right="339" w:bottom="1440" w:gutter="0" w:footer="0" w:header="0"/>
        </w:sect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as of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Increases in prior period tax positions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Increases in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12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as of January 31,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Decreases in prior period tax positions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Increases in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as of January 31, 2023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Decreases in prior period tax positions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Increases in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as of January 31, 2024</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304" w:hanging="1304"/>
        <w:spacing w:after="0"/>
        <w:tabs>
          <w:tab w:leader="none" w:pos="130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24,447</w:t>
      </w:r>
    </w:p>
    <w:p>
      <w:pPr>
        <w:spacing w:after="0" w:line="23" w:lineRule="exact"/>
        <w:rPr>
          <w:rFonts w:ascii="Times New Roman" w:cs="Times New Roman" w:eastAsia="Times New Roman" w:hAnsi="Times New Roman"/>
          <w:sz w:val="14"/>
          <w:szCs w:val="14"/>
          <w:color w:val="auto"/>
        </w:rPr>
      </w:pPr>
    </w:p>
    <w:p>
      <w:pPr>
        <w:ind w:left="148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(9,772)</w:t>
      </w:r>
    </w:p>
    <w:p>
      <w:pPr>
        <w:spacing w:after="0" w:line="1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4"/>
          <w:szCs w:val="14"/>
          <w:color w:val="auto"/>
        </w:rPr>
        <w:t>11,463</w:t>
      </w:r>
    </w:p>
    <w:p>
      <w:pPr>
        <w:spacing w:after="0" w:line="26"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4"/>
          <w:szCs w:val="14"/>
          <w:color w:val="auto"/>
        </w:rPr>
        <w:t>26,324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(2,122)</w:t>
      </w:r>
    </w:p>
    <w:p>
      <w:pPr>
        <w:spacing w:after="0" w:line="1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4"/>
          <w:szCs w:val="14"/>
          <w:color w:val="auto"/>
        </w:rPr>
        <w:t>12,699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111823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36,901</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4,757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(1,321)</w:t>
      </w: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18,538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111823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6" w:lineRule="exact"/>
        <w:rPr>
          <w:sz w:val="20"/>
          <w:szCs w:val="20"/>
          <w:color w:val="auto"/>
        </w:rPr>
      </w:pPr>
    </w:p>
    <w:p>
      <w:pPr>
        <w:ind w:left="1304" w:hanging="1304"/>
        <w:spacing w:after="0"/>
        <w:tabs>
          <w:tab w:leader="none" w:pos="130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111823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823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111823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816" w:space="720"/>
            <w:col w:w="1724"/>
          </w:cols>
          <w:pgMar w:left="300" w:top="125" w:right="339" w:bottom="1440" w:gutter="0" w:footer="0" w:header="0"/>
          <w:type w:val="continuous"/>
        </w:sectPr>
      </w:pP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files income tax returns in the U.S. federal, foreign, and various state jurisdictions. Tax years 2011 and onwards remain subject to examination by taxing authorities.</w:t>
      </w:r>
    </w:p>
    <w:p>
      <w:pPr>
        <w:spacing w:after="0" w:line="179"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Company does not provide for federal and state income taxes on the undistributed earnings of its foreign subsidiaries as such earnings are to be reinvested offshore indefinitely. If the Company repatriated these earnings, the tax impact of future distributions of foreign earnings would generally be limited to withholding tax from foreign jurisdictions, and the resulting income tax liability would be insignificant.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6. Leases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18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Company has entered into non-cancellable operating lease agreements with various expiration dates through fiscal 2033. Certain lease agreements include options to renew or terminate the lease, which are not reasonably certain to be exercised and therefore are not factored into the determination of lease payments.</w:t>
      </w:r>
    </w:p>
    <w:p>
      <w:pPr>
        <w:spacing w:after="0" w:line="124" w:lineRule="exact"/>
        <w:rPr>
          <w:sz w:val="20"/>
          <w:szCs w:val="20"/>
          <w:color w:val="auto"/>
        </w:rPr>
      </w:pPr>
    </w:p>
    <w:p>
      <w:pPr>
        <w:jc w:val="both"/>
        <w:ind w:right="240" w:firstLine="255"/>
        <w:spacing w:after="0" w:line="270" w:lineRule="auto"/>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were $15.4 million, $12.0 million, and $11.8 million for the fiscal years ended January 31, 2024, January 31, 2023, and January 31, 2022, respectively. Operating lease liabilities arising from obtaining operating right of-use assets were $16.4 million and $18.5 million for the fiscal years ended January 31, 2024 and January 31, 2023, respectively.</w:t>
      </w:r>
    </w:p>
    <w:p>
      <w:pPr>
        <w:spacing w:after="0" w:line="136"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weighted-average remaining lease terms were 3.7 years and 3.5 years as of January 31, 2024 and January 31, 2023, respectively. The weighted-average discount rates were 5.7% and 4.5% as of January 31, 2024 and January 31, 2023,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components of lease costs were as follows (in thousands):</w:t>
            </w: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2"/>
        </w:trPr>
        <w:tc>
          <w:tcPr>
            <w:tcW w:w="58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1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18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11,084</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11,262</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4,874</w:t>
            </w: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1180" w:type="dxa"/>
            <w:vAlign w:val="bottom"/>
            <w:tcBorders>
              <w:bottom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21,707</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Sublease income for fiscal year ended January 31, 2024 was immaterial. There was no sublease income for the fiscal years ended January 31, 2023, or January 31, 2022. As of January 31, 2024, the Company has not entered into non-cancellable operating leases with terms greater than 12 months that have not yet commenced.</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maturities of the Company’s non-cancellable operating lease liabilities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3"/>
        </w:trPr>
        <w:tc>
          <w:tcPr>
            <w:tcW w:w="40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w:t>
            </w:r>
          </w:p>
        </w:tc>
        <w:tc>
          <w:tcPr>
            <w:tcW w:w="57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13,567</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5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8,585</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5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0" w:type="dxa"/>
            <w:vAlign w:val="bottom"/>
          </w:tcPr>
          <w:p>
            <w:pPr>
              <w:spacing w:after="0"/>
              <w:rPr>
                <w:sz w:val="1"/>
                <w:szCs w:val="1"/>
                <w:color w:val="auto"/>
              </w:rPr>
            </w:pPr>
          </w:p>
        </w:tc>
      </w:tr>
      <w:tr>
        <w:trPr>
          <w:trHeight w:val="17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5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56,271</w:t>
            </w: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5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5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689"/>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00" w:type="dxa"/>
            <w:vAlign w:val="bottom"/>
            <w:tcBorders>
              <w:bottom w:val="single" w:sz="8" w:color="9A9A9A"/>
            </w:tcBorders>
          </w:tcPr>
          <w:p>
            <w:pPr>
              <w:spacing w:after="0"/>
              <w:rPr>
                <w:sz w:val="7"/>
                <w:szCs w:val="7"/>
                <w:color w:val="auto"/>
              </w:rPr>
            </w:pPr>
          </w:p>
        </w:tc>
        <w:tc>
          <w:tcPr>
            <w:tcW w:w="5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right="9540" w:hanging="255"/>
        <w:spacing w:after="0" w:line="507" w:lineRule="auto"/>
        <w:tabs>
          <w:tab w:leader="none" w:pos="147" w:val="left"/>
        </w:tabs>
        <w:numPr>
          <w:ilvl w:val="0"/>
          <w:numId w:val="6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Stock-Based Compensation Stock Incentive Plan</w:t>
      </w:r>
    </w:p>
    <w:p>
      <w:pPr>
        <w:spacing w:after="0" w:line="1" w:lineRule="exact"/>
        <w:rPr>
          <w:sz w:val="20"/>
          <w:szCs w:val="20"/>
          <w:color w:val="auto"/>
        </w:rPr>
      </w:pPr>
    </w:p>
    <w:p>
      <w:pPr>
        <w:ind w:right="140" w:firstLine="255"/>
        <w:spacing w:after="0" w:line="259" w:lineRule="auto"/>
        <w:rPr>
          <w:sz w:val="20"/>
          <w:szCs w:val="20"/>
          <w:color w:val="auto"/>
        </w:rPr>
      </w:pPr>
      <w:r>
        <w:rPr>
          <w:rFonts w:ascii="Times New Roman" w:cs="Times New Roman" w:eastAsia="Times New Roman" w:hAnsi="Times New Roman"/>
          <w:sz w:val="14"/>
          <w:szCs w:val="14"/>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spacing w:after="0" w:line="146"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81"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Stock options granted during both fiscal years ended January 31, 2024 and January 31, 2023 were immaterial.</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stock options was generally estimated on the date of grant using the following assumptions during the fiscal year ended January 31, 2022:</w:t>
      </w:r>
    </w:p>
    <w:p>
      <w:pPr>
        <w:spacing w:after="0" w:line="208"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Year Ended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15875</wp:posOffset>
            </wp:positionV>
            <wp:extent cx="132080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2080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14540" cy="1282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454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14540" cy="128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454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 yield</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is a summary of stock option activity for the fiscal year ended January 31, 2024:</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3.82 – 5.63</w:t>
            </w:r>
          </w:p>
        </w:tc>
      </w:tr>
      <w:tr>
        <w:trPr>
          <w:trHeight w:val="202"/>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0.6% – 1.0%</w:t>
            </w:r>
          </w:p>
        </w:tc>
      </w:tr>
      <w:tr>
        <w:trPr>
          <w:trHeight w:val="202"/>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36.1% – 37.1%</w:t>
            </w:r>
          </w:p>
        </w:tc>
      </w:tr>
      <w:tr>
        <w:trPr>
          <w:trHeight w:val="202"/>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 %</w:t>
            </w:r>
          </w:p>
        </w:tc>
      </w:tr>
      <w:tr>
        <w:trPr>
          <w:trHeight w:val="563"/>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28"/>
        </w:trPr>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Average</w:t>
            </w:r>
          </w:p>
        </w:tc>
      </w:tr>
      <w:tr>
        <w:trPr>
          <w:trHeight w:val="148"/>
        </w:trPr>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Exercise Price</w:t>
            </w:r>
          </w:p>
        </w:tc>
      </w:tr>
      <w:tr>
        <w:trPr>
          <w:trHeight w:val="179"/>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 Share</w:t>
            </w:r>
          </w:p>
        </w:tc>
      </w:tr>
      <w:tr>
        <w:trPr>
          <w:trHeight w:val="159"/>
        </w:trPr>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0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bl>
    <w:p>
      <w:pPr>
        <w:spacing w:after="0" w:line="20" w:lineRule="exact"/>
        <w:rPr>
          <w:sz w:val="20"/>
          <w:szCs w:val="20"/>
          <w:color w:val="auto"/>
        </w:rPr>
      </w:pPr>
    </w:p>
    <w:p>
      <w:pPr>
        <w:sectPr>
          <w:pgSz w:w="11900" w:h="16838" w:orient="portrait"/>
          <w:cols w:equalWidth="0" w:num="2">
            <w:col w:w="7420" w:space="720"/>
            <w:col w:w="314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January 31, 2023</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7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7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7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7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January 31, 2024</w:t>
            </w:r>
          </w:p>
        </w:tc>
        <w:tc>
          <w:tcPr>
            <w:tcW w:w="368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720" w:type="dxa"/>
            <w:vAlign w:val="bottom"/>
            <w:tcBorders>
              <w:top w:val="single" w:sz="8" w:color="CCEEFF"/>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Options vested and expected to vest at January 31, 2024</w:t>
            </w:r>
          </w:p>
        </w:tc>
        <w:tc>
          <w:tcPr>
            <w:tcW w:w="368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1,754</w:t>
            </w:r>
          </w:p>
        </w:tc>
        <w:tc>
          <w:tcPr>
            <w:tcW w:w="720" w:type="dxa"/>
            <w:vAlign w:val="bottom"/>
          </w:tcPr>
          <w:p>
            <w:pPr>
              <w:jc w:val="right"/>
              <w:ind w:right="469"/>
              <w:spacing w:after="0" w:line="14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at January 31, 2024</w:t>
            </w:r>
          </w:p>
        </w:tc>
        <w:tc>
          <w:tcPr>
            <w:tcW w:w="36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7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309"/>
              <w:spacing w:after="0"/>
              <w:rPr>
                <w:sz w:val="20"/>
                <w:szCs w:val="20"/>
                <w:color w:val="auto"/>
              </w:rPr>
            </w:pPr>
            <w:r>
              <w:rPr>
                <w:rFonts w:ascii="Times New Roman" w:cs="Times New Roman" w:eastAsia="Times New Roman" w:hAnsi="Times New Roman"/>
                <w:sz w:val="14"/>
                <w:szCs w:val="14"/>
                <w:color w:val="auto"/>
              </w:rPr>
              <w:t>103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6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Options outstanding include 131,996 options that were unvested and exercisable as of January 31, 2024.</w:t>
      </w:r>
    </w:p>
    <w:p>
      <w:pPr>
        <w:spacing w:after="0" w:line="179"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The aggregate intrinsic value of options vested and exercisable was $451.0 million, $247.2 million, and $480.5 million as of January 31, 2024, January 31, 2023, and January 31, 2022, respectively. The weighted-average remaining contractual term of options vested and exercisable was 4.2 years, 4.8 years, and 5.7 years as of January 31, 2024, January 31, 2023, and January 31, 2022, respectively.</w:t>
      </w:r>
    </w:p>
    <w:p>
      <w:pPr>
        <w:spacing w:after="0" w:line="136"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weighted-average grant date fair values of all options granted was $126.16, $116.26, and $180.08 per share during the fiscal years ended January 31, 2024, January 31, 2023, and January 31, 2022, respectively. The total intrinsic value of all options exercised was $190.1 million, $166.8 million, and $570.9 million during the fiscal years ended January 31, 2024, January 31, 2023, and January 31, 2022, respectively.</w:t>
      </w:r>
    </w:p>
    <w:p>
      <w:pPr>
        <w:spacing w:after="0" w:line="13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aggregate intrinsic value of stock options outstanding as of January 31, 2024, January 31, 2023, and January 31, 2022 was $496.7 million, $279.4 million, and $678.0 million, respectively, which represents the excess of the fair value of the Company’s common stock over the exercise price of the options, multiplied by the number of options outstanding. The weighted-average remaining contractual term of stock options outstanding was 4.3 years, 5.0 years, and 6.1 years as of January 31, 2024, January 31, 2023, and January 31, 2022, respectively.</w:t>
      </w:r>
    </w:p>
    <w:p>
      <w:pPr>
        <w:spacing w:after="0" w:line="136"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options was $4.3 million as of January 31, 2024. This expense is expected to be amortized over a weighted-average vesting period of 1.0 year.</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Early Exercise of Employee Options</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during the fiscal year ended January 31, 2024 or January 31, 2023. As of January 31, 2024 and January 31, 2023, there were no shares of common stock related to early exercised stock options subject to repurchase. Common stock purchased pursuant to an early exercise of stock options is not deemed to be outstanding for accounting purposes until those shares vest. The Company includes unvested shares subject to repurchase in the number of shares outstanding in the consolidated balance sheets and statements of stockholders’ equity.</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8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RSUs granted under the 2019 Plan are generally subject to only a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 in eight equal quarterly installments, subject to continued service, or (iv)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pacing w:after="0" w:line="143"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RSUs was $1.5 billion as of January 31, 2024. This expense is expected to be amortized over a weighted-average vesting period of 2.8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Stock Units</w:t>
      </w:r>
    </w:p>
    <w:p>
      <w:pPr>
        <w:spacing w:after="0" w:line="181"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PSUs was $76.0 million as of January 31, 2024. This expense is expected to be amortized over a weighted-average vesting period of 1.2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Special PSU Awards</w:t>
      </w:r>
    </w:p>
    <w:p>
      <w:pPr>
        <w:spacing w:after="0" w:line="18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(i.e., February 1, 2022, February 1, 2023, February 1, 2024, and February 1, 2025) and (ii) the remaining PSUs with respect to such tranche will thereafter service vest in four equal quarterly installments of 12.5%.</w:t>
      </w:r>
    </w:p>
    <w:p>
      <w:pPr>
        <w:spacing w:after="0" w:line="146"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Company measured the fair value of the Special PSU Awards on the grant date using a Monte Carlo simulation valuation model. The risk-free interest rates used were 0.85% - 1.51%,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2.21 - 2.58 year look-back from the grant date and 50% weight based on the Company’s implied volatility as of the grant date.</w:t>
      </w:r>
    </w:p>
    <w:p>
      <w:pPr>
        <w:spacing w:after="0" w:line="140"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the unvested portion of the Special PSU Awards was $30.7 million as of January 31, 2024. This expense is expected to be amortized over a weighted-average vesting period of 1.6 years.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is a summary of RSUs, PSUs, and the Special PSU Awards activities for the fiscal year ended January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38"/>
        </w:trPr>
        <w:tc>
          <w:tcPr>
            <w:tcW w:w="814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91"/>
              <w:spacing w:after="0" w:line="138"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38"/>
        </w:trPr>
        <w:tc>
          <w:tcPr>
            <w:tcW w:w="81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91"/>
              <w:spacing w:after="0" w:line="13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9"/>
        </w:trPr>
        <w:tc>
          <w:tcPr>
            <w:tcW w:w="81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0" w:type="dxa"/>
            <w:vAlign w:val="bottom"/>
          </w:tcPr>
          <w:p>
            <w:pPr>
              <w:spacing w:after="0"/>
              <w:rPr>
                <w:sz w:val="1"/>
                <w:szCs w:val="1"/>
                <w:color w:val="auto"/>
              </w:rPr>
            </w:pPr>
          </w:p>
        </w:tc>
      </w:tr>
      <w:tr>
        <w:trPr>
          <w:trHeight w:val="160"/>
        </w:trPr>
        <w:tc>
          <w:tcPr>
            <w:tcW w:w="81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January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158.08</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136.75</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Performance adjustment </w:t>
            </w:r>
            <w:r>
              <w:rPr>
                <w:rFonts w:ascii="Times New Roman" w:cs="Times New Roman" w:eastAsia="Times New Roman" w:hAnsi="Times New Roman"/>
                <w:sz w:val="18"/>
                <w:szCs w:val="18"/>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211.22</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163.54</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January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167.84</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40" w:type="dxa"/>
            <w:vAlign w:val="bottom"/>
            <w:tcBorders>
              <w:bottom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b w:val="1"/>
                <w:bCs w:val="1"/>
                <w:color w:val="auto"/>
              </w:rPr>
              <w:t>RSUs and PSUs expected to vest at January 31, 2024</w:t>
            </w:r>
            <w:r>
              <w:rPr>
                <w:rFonts w:ascii="Times New Roman" w:cs="Times New Roman" w:eastAsia="Times New Roman" w:hAnsi="Times New Roman"/>
                <w:sz w:val="18"/>
                <w:szCs w:val="18"/>
                <w:b w:val="1"/>
                <w:bCs w:val="1"/>
                <w:color w:val="auto"/>
                <w:vertAlign w:val="superscript"/>
              </w:rPr>
              <w:t>(2)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w:t>
      </w:r>
    </w:p>
    <w:p>
      <w:pPr>
        <w:spacing w:after="0" w:line="184" w:lineRule="exact"/>
        <w:rPr>
          <w:sz w:val="20"/>
          <w:szCs w:val="20"/>
          <w:color w:val="auto"/>
        </w:rPr>
      </w:pPr>
    </w:p>
    <w:p>
      <w:pPr>
        <w:ind w:left="520" w:right="600" w:hanging="260"/>
        <w:spacing w:after="0" w:line="264" w:lineRule="auto"/>
        <w:tabs>
          <w:tab w:leader="none" w:pos="539"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adjustment represents adjustments in shares outstanding due to the actual achievement of performance-based awards, the achievement of which was based upon pre-defined financial performance targets.</w:t>
      </w:r>
    </w:p>
    <w:p>
      <w:pPr>
        <w:spacing w:after="0" w:line="137" w:lineRule="exact"/>
        <w:rPr>
          <w:rFonts w:ascii="Times New Roman" w:cs="Times New Roman" w:eastAsia="Times New Roman" w:hAnsi="Times New Roman"/>
          <w:sz w:val="13"/>
          <w:szCs w:val="13"/>
          <w:color w:val="auto"/>
        </w:rPr>
      </w:pPr>
    </w:p>
    <w:p>
      <w:pPr>
        <w:ind w:left="540" w:hanging="280"/>
        <w:spacing w:after="0"/>
        <w:tabs>
          <w:tab w:leader="none" w:pos="5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in progress PSUs and Special PSUs where pre-defined targets have not yet been achieved.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1"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4"/>
          <w:szCs w:val="14"/>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47"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36"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During the fiscal year ended January 31, 2023, there were ESPP rollovers because the Company’s closing stock price on the purchase date was lower than the Company’s closing stock price on the first day of the offering periods. As a result, these offering dates were rolled over to a new 24-month offering period through December 12, 2024. These rollovers were accounted for as a modification to the original offerings. The total incremental expense as a result of the rollover and contribution modifications was $58.6 million, which will be recognized over the new or remaining offering periods. Total incremental expense as a result of contribution modifications during the fiscal year ended January 31, 2024 was $7.3 million, which will be recognized over the remaining offering periods.</w:t>
      </w:r>
    </w:p>
    <w:p>
      <w:pPr>
        <w:spacing w:after="0" w:line="146"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Employee payroll contributions ultimately used to purchase shares are reclassified to Stockholders’ equity on the purchase date. ESPP employee payroll contributions accrued as of January 31, 2024 and January 31, 2023 totaled $22.3 million and $17.5 million, respectively, and are included within accrued payroll and benefits in the consolidated balance sheets.</w:t>
      </w:r>
    </w:p>
    <w:p>
      <w:pPr>
        <w:spacing w:after="0" w:line="124" w:lineRule="exact"/>
        <w:rPr>
          <w:sz w:val="20"/>
          <w:szCs w:val="20"/>
          <w:color w:val="auto"/>
        </w:rPr>
      </w:pPr>
    </w:p>
    <w:p>
      <w:pPr>
        <w:ind w:right="320" w:firstLine="255"/>
        <w:spacing w:after="0" w:line="275" w:lineRule="auto"/>
        <w:rPr>
          <w:sz w:val="20"/>
          <w:szCs w:val="20"/>
          <w:color w:val="auto"/>
        </w:rPr>
      </w:pPr>
      <w:r>
        <w:rPr>
          <w:rFonts w:ascii="Times New Roman" w:cs="Times New Roman" w:eastAsia="Times New Roman" w:hAnsi="Times New Roman"/>
          <w:sz w:val="14"/>
          <w:szCs w:val="14"/>
          <w:color w:val="auto"/>
        </w:rPr>
        <w:t>The following table summarizes the assumptions used in the Black-Scholes option-pricing model to determine the fair value of employee stock purchase rights granted under the Company’s stock plan:</w:t>
      </w: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600" w:type="dxa"/>
            <w:vAlign w:val="bottom"/>
            <w:tcBorders>
              <w:bottom w:val="single" w:sz="8" w:color="auto"/>
            </w:tcBorders>
          </w:tcPr>
          <w:p>
            <w:pPr>
              <w:spacing w:after="0"/>
              <w:rPr>
                <w:sz w:val="16"/>
                <w:szCs w:val="16"/>
                <w:color w:val="auto"/>
              </w:rPr>
            </w:pPr>
          </w:p>
        </w:tc>
      </w:tr>
      <w:tr>
        <w:trPr>
          <w:trHeight w:val="171"/>
        </w:trPr>
        <w:tc>
          <w:tcPr>
            <w:tcW w:w="36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6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3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26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0.5 – 2.0</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0.5 – 2.0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 2.0</w:t>
            </w: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64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0.2% – 5.3%</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 – 4.7%</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 1.9%</w:t>
            </w: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26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40.8% – 61.2%</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39.6% – 67.4%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 – 55.9%</w:t>
            </w:r>
          </w:p>
        </w:tc>
      </w:tr>
      <w:tr>
        <w:trPr>
          <w:trHeight w:val="184"/>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640" w:type="dxa"/>
            <w:vAlign w:val="bottom"/>
          </w:tcPr>
          <w:p>
            <w:pPr>
              <w:spacing w:after="0"/>
              <w:rPr>
                <w:sz w:val="16"/>
                <w:szCs w:val="16"/>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707"/>
        </w:trPr>
        <w:tc>
          <w:tcPr>
            <w:tcW w:w="3640" w:type="dxa"/>
            <w:vAlign w:val="bottom"/>
          </w:tcPr>
          <w:p>
            <w:pPr>
              <w:spacing w:after="0"/>
              <w:rPr>
                <w:sz w:val="24"/>
                <w:szCs w:val="24"/>
                <w:color w:val="auto"/>
              </w:rPr>
            </w:pPr>
          </w:p>
        </w:tc>
        <w:tc>
          <w:tcPr>
            <w:tcW w:w="26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106</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87"/>
        </w:trPr>
        <w:tc>
          <w:tcPr>
            <w:tcW w:w="364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0"/>
        </w:trPr>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 included in the consolidated statements of operations is as follows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2"/>
        </w:trPr>
        <w:tc>
          <w:tcPr>
            <w:tcW w:w="65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71"/>
        </w:trPr>
        <w:tc>
          <w:tcPr>
            <w:tcW w:w="65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6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cost of revenue</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22,044</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cost of revenue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10,050</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89,634</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102,027</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152,091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86,197</w:t>
            </w:r>
          </w:p>
        </w:tc>
      </w:tr>
      <w:tr>
        <w:trPr>
          <w:trHeight w:val="171"/>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631,519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526,504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309,952</w:t>
            </w:r>
          </w:p>
        </w:tc>
      </w:tr>
      <w:tr>
        <w:trPr>
          <w:trHeight w:val="20"/>
        </w:trPr>
        <w:tc>
          <w:tcPr>
            <w:tcW w:w="6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8. Revenue, Deferred Revenue and Remaining Performance Obligations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revenue by region based on the shipping address of customers who have contracted to use the Company’s platform or service (in thousands, except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Year Ended January 31,</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1"/>
        </w:trPr>
        <w:tc>
          <w:tcPr>
            <w:tcW w:w="3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20" w:type="dxa"/>
            <w:vAlign w:val="bottom"/>
            <w:tcBorders>
              <w:bottom w:val="single" w:sz="8" w:color="auto"/>
            </w:tcBorders>
          </w:tcPr>
          <w:p>
            <w:pPr>
              <w:spacing w:after="0"/>
              <w:rPr>
                <w:sz w:val="14"/>
                <w:szCs w:val="14"/>
                <w:color w:val="auto"/>
              </w:rPr>
            </w:pPr>
          </w:p>
        </w:tc>
      </w:tr>
      <w:tr>
        <w:trPr>
          <w:trHeight w:val="160"/>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3"/>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 Revenue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 Revenue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 Revenue</w:t>
            </w:r>
          </w:p>
        </w:tc>
      </w:tr>
      <w:tr>
        <w:trPr>
          <w:trHeight w:val="24"/>
        </w:trPr>
        <w:tc>
          <w:tcPr>
            <w:tcW w:w="34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2,088,054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1,563,567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1,046,474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184,049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62,236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6"/>
        </w:trPr>
        <w:tc>
          <w:tcPr>
            <w:tcW w:w="3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3,055,555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2,241,236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1,451,594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single country other than the United States represented 10% or more of the Company’s total revenue during the fiscal years ended January 31, 2024, January 31, 2023, and January 31, 2022.</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81"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Contract liabilities consist of deferred revenue and include payments received in advance of performance under the contract. Such amounts are recognized as revenue over the contractual period. The Company recognized revenue of $1,718.5 million and $1,126.9 million for the fiscal years ended January 31, 2024 and January 31, 2023, respectively, which was included in the corresponding contract liability balance at the beginning of the period.</w:t>
      </w:r>
    </w:p>
    <w:p>
      <w:pPr>
        <w:spacing w:after="0" w:line="136"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deferred revenue were as follows (in thousands):</w:t>
      </w:r>
    </w:p>
    <w:p>
      <w:pPr>
        <w:spacing w:after="0" w:line="39"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48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ind w:left="431"/>
              <w:spacing w:after="0"/>
              <w:rPr>
                <w:sz w:val="20"/>
                <w:szCs w:val="20"/>
                <w:color w:val="auto"/>
              </w:rPr>
            </w:pPr>
            <w:r>
              <w:rPr>
                <w:rFonts w:ascii="Times New Roman" w:cs="Times New Roman" w:eastAsia="Times New Roman" w:hAnsi="Times New Roman"/>
                <w:sz w:val="14"/>
                <w:szCs w:val="14"/>
                <w:color w:val="auto"/>
                <w:w w:val="99"/>
              </w:rPr>
              <w:t>2,355,113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w w:val="99"/>
              </w:rPr>
              <w:t>1,529,321</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deferred revenue</w:t>
            </w:r>
          </w:p>
        </w:tc>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3,754,541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w w:val="99"/>
              </w:rPr>
              <w:t>3,067,028</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deferred revenue</w:t>
            </w:r>
          </w:p>
        </w:tc>
        <w:tc>
          <w:tcPr>
            <w:tcW w:w="44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4"/>
                <w:szCs w:val="14"/>
                <w:color w:val="auto"/>
              </w:rPr>
              <w:t>(3,055,555)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rPr>
              <w:t>(2,241,236)</w:t>
            </w:r>
          </w:p>
        </w:tc>
        <w:tc>
          <w:tcPr>
            <w:tcW w:w="0" w:type="dxa"/>
            <w:vAlign w:val="bottom"/>
          </w:tcPr>
          <w:p>
            <w:pPr>
              <w:spacing w:after="0"/>
              <w:rPr>
                <w:sz w:val="1"/>
                <w:szCs w:val="1"/>
                <w:color w:val="auto"/>
              </w:rPr>
            </w:pPr>
          </w:p>
        </w:tc>
      </w:tr>
      <w:tr>
        <w:trPr>
          <w:trHeight w:val="17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44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4"/>
                <w:szCs w:val="14"/>
                <w:color w:val="auto"/>
              </w:rPr>
              <w:t>3,054,099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4"/>
                <w:szCs w:val="14"/>
                <w:color w:val="auto"/>
                <w:w w:val="99"/>
              </w:rPr>
              <w:t>2,355,113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440" w:type="dxa"/>
            <w:vAlign w:val="bottom"/>
            <w:vMerge w:val="restart"/>
          </w:tcPr>
          <w:p>
            <w:pPr>
              <w:jc w:val="right"/>
              <w:ind w:right="2309"/>
              <w:spacing w:after="0"/>
              <w:rPr>
                <w:sz w:val="20"/>
                <w:szCs w:val="20"/>
                <w:color w:val="auto"/>
              </w:rPr>
            </w:pPr>
            <w:r>
              <w:rPr>
                <w:rFonts w:ascii="Times New Roman" w:cs="Times New Roman" w:eastAsia="Times New Roman" w:hAnsi="Times New Roman"/>
                <w:sz w:val="14"/>
                <w:szCs w:val="14"/>
                <w:color w:val="auto"/>
              </w:rPr>
              <w:t>107</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7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0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181"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Company’s subscription contracts with its customers have a typical term of one to three years, and most subscription contracts are non-cancellable. Customers generally have the right to terminate their contracts for cause as a result of the Company’s failure to perform. As of January 31, 2024, the aggregate amount of the transaction price allocated to remaining performance obligations was $4.6 billion. The Company expects to recognize approximately 60% of the remaining performance obligations in the 12 months following January 31, 2024 and 38% of the remaining performance obligations between 13 to 36 months, with the remainder to be recognized thereafter.</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Costs to Obtain and Fulfill a Contract</w:t>
      </w:r>
    </w:p>
    <w:p>
      <w:pPr>
        <w:spacing w:after="0" w:line="181"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consolidated balance sheets.</w:t>
      </w:r>
    </w:p>
    <w:p>
      <w:pPr>
        <w:spacing w:after="0" w:line="13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six months and are included in sales and marketing expense in the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year ended January 31, 2024.</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activity of deferred contract acquisition costs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484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447,088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319,180</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Capitalization of contract acquisition costs</w:t>
            </w:r>
          </w:p>
        </w:tc>
        <w:tc>
          <w:tcPr>
            <w:tcW w:w="3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374,116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298,716</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39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(238,901)</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(170,808)</w:t>
            </w: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92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582,303</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447,088</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2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4840" w:type="dxa"/>
            <w:vAlign w:val="bottom"/>
            <w:gridSpan w:val="2"/>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246,370</w:t>
            </w:r>
          </w:p>
        </w:tc>
        <w:tc>
          <w:tcPr>
            <w:tcW w:w="10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186,855</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39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335,933</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260,233</w:t>
            </w:r>
          </w:p>
        </w:tc>
        <w:tc>
          <w:tcPr>
            <w:tcW w:w="0" w:type="dxa"/>
            <w:vAlign w:val="bottom"/>
          </w:tcPr>
          <w:p>
            <w:pPr>
              <w:spacing w:after="0"/>
              <w:rPr>
                <w:sz w:val="1"/>
                <w:szCs w:val="1"/>
                <w:color w:val="auto"/>
              </w:rPr>
            </w:pPr>
          </w:p>
        </w:tc>
      </w:tr>
      <w:tr>
        <w:trPr>
          <w:trHeight w:val="171"/>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deferred contract acquisition costs</w:t>
            </w:r>
          </w:p>
        </w:tc>
        <w:tc>
          <w:tcPr>
            <w:tcW w:w="392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582,303</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447,088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920" w:type="dxa"/>
            <w:vAlign w:val="bottom"/>
            <w:vMerge w:val="restart"/>
          </w:tcPr>
          <w:p>
            <w:pPr>
              <w:jc w:val="right"/>
              <w:ind w:right="2309"/>
              <w:spacing w:after="0"/>
              <w:rPr>
                <w:sz w:val="20"/>
                <w:szCs w:val="20"/>
                <w:color w:val="auto"/>
              </w:rPr>
            </w:pPr>
            <w:r>
              <w:rPr>
                <w:rFonts w:ascii="Times New Roman" w:cs="Times New Roman" w:eastAsia="Times New Roman" w:hAnsi="Times New Roman"/>
                <w:sz w:val="14"/>
                <w:szCs w:val="14"/>
                <w:color w:val="auto"/>
              </w:rPr>
              <w:t>108</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2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9. Commitments and Contingencies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p>
      <w:pPr>
        <w:spacing w:after="0" w:line="181" w:lineRule="exact"/>
        <w:rPr>
          <w:sz w:val="20"/>
          <w:szCs w:val="20"/>
          <w:color w:val="auto"/>
        </w:rPr>
      </w:pPr>
    </w:p>
    <w:p>
      <w:pPr>
        <w:jc w:val="both"/>
        <w:ind w:right="40" w:firstLine="255"/>
        <w:spacing w:after="0" w:line="267" w:lineRule="auto"/>
        <w:rPr>
          <w:sz w:val="20"/>
          <w:szCs w:val="20"/>
          <w:color w:val="auto"/>
        </w:rPr>
      </w:pPr>
      <w:r>
        <w:rPr>
          <w:rFonts w:ascii="Times New Roman" w:cs="Times New Roman" w:eastAsia="Times New Roman" w:hAnsi="Times New Roman"/>
          <w:sz w:val="14"/>
          <w:szCs w:val="14"/>
          <w:color w:val="auto"/>
        </w:rPr>
        <w:t>In the normal course of business, the Company enters into non-cancellable purchase commitments with various parties to purchase products and services such as data center capacity, advertising, technology, equipment, office renovations, corporate events, and consulting services. A summary of non-cancellable purchase obligations in excess of one year as of January 31, 2024, with expected date of payment is as follows (in thousands):</w:t>
      </w:r>
    </w:p>
    <w:tbl>
      <w:tblPr>
        <w:tblLayout w:type="fixed"/>
        <w:tblInd w:w="0" w:type="dxa"/>
        <w:tblCellMar>
          <w:top w:w="0" w:type="dxa"/>
          <w:left w:w="0" w:type="dxa"/>
          <w:bottom w:w="0" w:type="dxa"/>
          <w:right w:w="0" w:type="dxa"/>
        </w:tblCellMar>
      </w:tblPr>
      <w:tr>
        <w:trPr>
          <w:trHeight w:val="146"/>
        </w:trPr>
        <w:tc>
          <w:tcPr>
            <w:tcW w:w="9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529"/>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9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25"/>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220,707</w:t>
            </w: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163,323</w:t>
            </w: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124,015</w:t>
            </w: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118,754</w:t>
            </w: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95,956</w:t>
            </w:r>
          </w:p>
        </w:tc>
      </w:tr>
      <w:tr>
        <w:trPr>
          <w:trHeight w:val="18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24,876</w:t>
            </w:r>
          </w:p>
        </w:tc>
      </w:tr>
      <w:tr>
        <w:trPr>
          <w:trHeight w:val="196"/>
        </w:trPr>
        <w:tc>
          <w:tcPr>
            <w:tcW w:w="9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purchase commitments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747,631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Subsequent to January 31, 2024, the Company has committed to an additional $1.8 billion of non-cancellable purchase obligations from fiscal 2025 to fiscal 2031. These commitments are excluded from the table above and will be included in the table in subsequent periods.</w:t>
      </w:r>
    </w:p>
    <w:p>
      <w:pPr>
        <w:spacing w:after="0" w:line="124" w:lineRule="exact"/>
        <w:rPr>
          <w:sz w:val="20"/>
          <w:szCs w:val="20"/>
          <w:color w:val="auto"/>
        </w:rPr>
      </w:pPr>
    </w:p>
    <w:p>
      <w:pPr>
        <w:ind w:right="600" w:firstLine="255"/>
        <w:spacing w:after="0" w:line="287" w:lineRule="auto"/>
        <w:rPr>
          <w:sz w:val="20"/>
          <w:szCs w:val="20"/>
          <w:color w:val="auto"/>
        </w:rPr>
      </w:pPr>
      <w:r>
        <w:rPr>
          <w:rFonts w:ascii="Times New Roman" w:cs="Times New Roman" w:eastAsia="Times New Roman" w:hAnsi="Times New Roman"/>
          <w:sz w:val="14"/>
          <w:szCs w:val="14"/>
          <w:color w:val="auto"/>
        </w:rPr>
        <w:t>On March 3, 2024, a wholly owned subsidiary of the Company entered into a definitive agreement to purchase Flow Security Ltd., a privately held company. The purchase price for the transaction will be approximately $115.0 million, subject to customary closing adjustments. The acquisition is expected to close in the first quarter of fiscal 2025.</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Letters of Credit</w:t>
      </w:r>
    </w:p>
    <w:p>
      <w:pPr>
        <w:spacing w:after="0" w:line="18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Company has unused unsecured standby letters of credit for securing its facilities in Tel Aviv, Israel, Sunnyvale, California and Austin, Texas. As of January 31, 2024 and January 31, 2023, the unused standby letters of credit were immaterial.</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81"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In June 2022, the Company and Fair Isaac Corporation (“FICO”) resolved a trademark dispute that was pending before the Trademark Trial and Appellate Board (“TTAB”) at the U.S. Patent and Trademark Office. The TTAB dismissed all proceedings between the parties in July 2022.</w:t>
      </w:r>
    </w:p>
    <w:p>
      <w:pPr>
        <w:spacing w:after="0" w:line="124" w:lineRule="exact"/>
        <w:rPr>
          <w:sz w:val="20"/>
          <w:szCs w:val="20"/>
          <w:color w:val="auto"/>
        </w:rPr>
      </w:pPr>
    </w:p>
    <w:p>
      <w:pPr>
        <w:ind w:right="40" w:firstLine="255"/>
        <w:spacing w:after="0" w:line="268" w:lineRule="auto"/>
        <w:rPr>
          <w:sz w:val="20"/>
          <w:szCs w:val="20"/>
          <w:color w:val="auto"/>
        </w:rPr>
      </w:pPr>
      <w:r>
        <w:rPr>
          <w:rFonts w:ascii="Times New Roman" w:cs="Times New Roman" w:eastAsia="Times New Roman" w:hAnsi="Times New Roman"/>
          <w:sz w:val="14"/>
          <w:szCs w:val="14"/>
          <w:color w:val="auto"/>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of its patents. In the filing, CrowdStrike, Inc. sought unspecified damages, reasonable fees and costs,</w:t>
      </w:r>
    </w:p>
    <w:p>
      <w:pPr>
        <w:spacing w:after="0" w:line="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and a permanent injunction. In September 2022, Webroot amended its complaint to assert six additional patents. In November 2023, CrowdStrike, Inc. entered into an agreement that provided for, among other things, the settlement and dismissal of the parties’claims and filed for dismissal. The amount attributable to the settlement was not material.</w:t>
      </w:r>
    </w:p>
    <w:p>
      <w:pPr>
        <w:spacing w:after="0" w:line="124"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reasonably possible to have a material effect on its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period to period are difficult to estimate, subject to change and could adversely affect the Company’s consolidated financial statements.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Warranties and Indemnification</w:t>
      </w:r>
    </w:p>
    <w:p>
      <w:pPr>
        <w:spacing w:after="0" w:line="181"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24"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consolidated financial statements.</w:t>
      </w:r>
    </w:p>
    <w:p>
      <w:pPr>
        <w:spacing w:after="0" w:line="140"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4"/>
          <w:szCs w:val="14"/>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January 31, 2024 or January 31, 2023</w:t>
      </w:r>
      <w:r>
        <w:rPr>
          <w:rFonts w:ascii="Arial" w:cs="Arial" w:eastAsia="Arial" w:hAnsi="Arial"/>
          <w:sz w:val="14"/>
          <w:szCs w:val="14"/>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10. Geographic Information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property and equipment, net and operating lease right-of-use assets, are summarized by geographic area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40" w:type="dxa"/>
            <w:vAlign w:val="bottom"/>
            <w:tcBorders>
              <w:bottom w:val="single" w:sz="8" w:color="auto"/>
            </w:tcBorders>
          </w:tcPr>
          <w:p>
            <w:pPr>
              <w:spacing w:after="0"/>
              <w:rPr>
                <w:sz w:val="16"/>
                <w:szCs w:val="16"/>
                <w:color w:val="auto"/>
              </w:rPr>
            </w:pPr>
          </w:p>
        </w:tc>
      </w:tr>
      <w:tr>
        <w:trPr>
          <w:trHeight w:val="171"/>
        </w:trPr>
        <w:tc>
          <w:tcPr>
            <w:tcW w:w="81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539,580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433,756</w:t>
            </w: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67,278</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countries</w:t>
            </w: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44,315</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31,237</w:t>
            </w:r>
          </w:p>
        </w:tc>
      </w:tr>
      <w:tr>
        <w:trPr>
          <w:trHeight w:val="171"/>
        </w:trPr>
        <w:tc>
          <w:tcPr>
            <w:tcW w:w="8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property and equipment, net and operating lease right-of-use assets</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668,383</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532,271</w:t>
            </w:r>
          </w:p>
        </w:tc>
      </w:tr>
      <w:tr>
        <w:trPr>
          <w:trHeight w:val="20"/>
        </w:trPr>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right"/>
        <w:ind w:left="520" w:right="10340" w:hanging="515"/>
        <w:spacing w:after="0" w:line="507" w:lineRule="auto"/>
        <w:tabs>
          <w:tab w:leader="none" w:pos="215" w:val="left"/>
        </w:tabs>
        <w:numPr>
          <w:ilvl w:val="0"/>
          <w:numId w:val="7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Acquisitions Bionic</w:t>
      </w:r>
    </w:p>
    <w:p>
      <w:pPr>
        <w:spacing w:after="0" w:line="1"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On September 28, 2023, the Company acquired 100% of the equity interest of Bionic Stork, Ltd. (“Bionic”), a privately-held company that provides an Application Security Posture Management platform designed to proactively reduce and mitigate security, data privacy, and operational risks by analyzing application architecture and dependencies that run in production.</w:t>
      </w:r>
    </w:p>
    <w:p>
      <w:pPr>
        <w:spacing w:after="0" w:line="124"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The acquisition has been accounted for as a business combination. The total consideration transferred consisted of $239.0 million in cash, net of $25.7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identified intangible assets, which include developed technology and customer relationships of $34.9 million, net tangible liabilities acquired of $2.7 million, and goodwill of $207.5 million, which was allocated to the Company’s one reporting unit and represents the excess of the purchase price over the fair value of net tangible and intangible assets acquired. The goodwill was primarily attributable to the assembled workforce of Bionic, planned growth in new markets, and synergies expected to be achieved from the integration of Bionic. Goodwill is not deductible for income tax purposes.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Per the terms of the share purchase agreement with Bionic, certain unvested stock options held by Bionic employees were canceled and exchanged for replacement stock options under the 2019 Plan. Additionally, certain shares of Bionic stock held by Bionic employees were exchanged for shares of the Company’s Class A common stock, subject to service-based vesting and other conditions. Further, the Company granted RSUs and PSUs under the 2019 Plan to certain continuing employees. The awards that are subject to continued service are recognized ratably as stock-based compensation expense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components of identifiable intangible assets acquired and their estimated useful lives as of the date of acquisition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6"/>
                <w:szCs w:val="16"/>
                <w:color w:val="auto"/>
              </w:rPr>
            </w:pPr>
          </w:p>
        </w:tc>
        <w:tc>
          <w:tcPr>
            <w:tcW w:w="1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7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(in months)</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 acquired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34,900</w:t>
            </w:r>
          </w:p>
        </w:tc>
        <w:tc>
          <w:tcPr>
            <w:tcW w:w="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Acquisition costs during the fiscal year ended January 31, 2024 were $4.1 million and are recorded in general and administrative and research and development expenses on the Company’s consolidated statements of operations.</w:t>
      </w:r>
    </w:p>
    <w:p>
      <w:pPr>
        <w:spacing w:after="0" w:line="124"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acquisition have been included in the Company’s consolidated financial statements from the date of acquisition. The acquisition of Bionic did not have a material impact on the Company’s consolidated financial statements, and therefore historical and pro forma disclosures have not been presented.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Reposify Ltd.</w:t>
      </w:r>
    </w:p>
    <w:p>
      <w:pPr>
        <w:spacing w:after="0" w:line="18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On October 3, 2022, the Company acquired 100% of the equity interest of Reposify Ltd. (“Reposify”), a privately-held company that provides an external attack surface management platform that scans the internet for exposed assets of an organization to detect and eliminate risk from vulnerable and unknown assets before attackers can exploit them. The acquisition has been accounted for as a business combination. The total consideration transferred consisted of $18.9 million, net of cash acquired of $0.5 million, and an immaterial amount representing the fair value of replacement equity awards attributable to pre-acquisition service. The remaining fair value of these replacement awards is subject to the recipient’s continued service and thus was excluded from the purchase price. The purchase price was allocated to developed technology of $3.8 million, net tangible assets acquired of $0.9 million, and goodwill of $14.2 million, which was allocated to the Company’s one reporting unit and represents the excess of the purchase price over the fair value of net tangible and intangible assets acquired. The goodwill was primarily attributable to the assembled workforce of Reposify, planned growth in new markets, and synergies expected to be achieved from the integration of Reposify. Goodwill was not deductible for income tax purposes.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the developed technology acquired was $3.8 million with a useful life of 72 months.</w:t>
      </w:r>
    </w:p>
    <w:p>
      <w:pPr>
        <w:spacing w:after="0" w:line="179" w:lineRule="exact"/>
        <w:rPr>
          <w:sz w:val="20"/>
          <w:szCs w:val="20"/>
          <w:color w:val="auto"/>
        </w:rPr>
      </w:pPr>
    </w:p>
    <w:p>
      <w:pPr>
        <w:ind w:right="620" w:firstLine="255"/>
        <w:spacing w:after="0" w:line="287" w:lineRule="auto"/>
        <w:rPr>
          <w:sz w:val="20"/>
          <w:szCs w:val="20"/>
          <w:color w:val="auto"/>
        </w:rPr>
      </w:pPr>
      <w:r>
        <w:rPr>
          <w:rFonts w:ascii="Times New Roman" w:cs="Times New Roman" w:eastAsia="Times New Roman" w:hAnsi="Times New Roman"/>
          <w:sz w:val="14"/>
          <w:szCs w:val="14"/>
          <w:color w:val="auto"/>
        </w:rPr>
        <w:t>Acquisition costs during the fiscal year ended January 31, 2024 were not material and are recorded in research and development expenses on the Company’s consolidated statements of operations.</w:t>
      </w:r>
    </w:p>
    <w:p>
      <w:pPr>
        <w:spacing w:after="0" w:line="124"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above acquisitions have been included in the Company’s consolidated financial statements from the date of acquisition. The acquisitions did not have material impact on the Company’s consolidated financial statements, and therefore historical and pro forma disclosures have not been presented.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12. Net Income (Loss) Per Share Attributable to Common Stockholders</w:t>
      </w:r>
    </w:p>
    <w:p>
      <w:pPr>
        <w:spacing w:after="0" w:line="18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weighted-average number of dilutive common share equivalents during the period. The dilutive potential shares of common stock are comprised of outstanding stock options, RSUs, PSUs, Special PSUs, ESPP obligations, and founder holdbacks, and are computed using the treasury stock method. The effects of the outstanding stock options, RSUs, PSUs, Special PSUs, ESPP obligations, and founders holdbacks are excluded from the computation of the diluted net income per share in periods in which the effect would be anti-dilutive.</w:t>
      </w:r>
    </w:p>
    <w:p>
      <w:pPr>
        <w:spacing w:after="0" w:line="316"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(loss) per share attributable to CrowdStrike common stockholders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6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 attributable to Class A and Class B CrowdStrike common stockholders</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89,327</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(183,245)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(234,802)</w:t>
            </w:r>
          </w:p>
        </w:tc>
      </w:tr>
      <w:tr>
        <w:trPr>
          <w:trHeight w:val="192"/>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38"/>
        </w:trPr>
        <w:tc>
          <w:tcPr>
            <w:tcW w:w="650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Weighted-average shares used in computing net income (loss) per share attributable to Class A and Class B of</w:t>
            </w: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1"/>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CrowdStrike common stockholders, basic</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227,142</w:t>
            </w:r>
          </w:p>
        </w:tc>
      </w:tr>
      <w:tr>
        <w:trPr>
          <w:trHeight w:val="181"/>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Dilutive effect of common stock equivalents</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18"/>
        </w:trPr>
        <w:tc>
          <w:tcPr>
            <w:tcW w:w="65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Weighted-average shares used in computing net income (loss) per share attributable to Class A and Class B of</w:t>
            </w:r>
          </w:p>
        </w:tc>
        <w:tc>
          <w:tcPr>
            <w:tcW w:w="9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r>
      <w:tr>
        <w:trPr>
          <w:trHeight w:val="19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CrowdStrike common stockholders, dilutive</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243,635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233,139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227,142</w:t>
            </w:r>
          </w:p>
        </w:tc>
      </w:tr>
      <w:tr>
        <w:trPr>
          <w:trHeight w:val="196"/>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Class A and Class B CrowdStrike common stockholders, basic</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50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income (loss) per share attributable to Class A and Class B CrowdStrike common stockholders, diluted</w:t>
            </w:r>
          </w:p>
        </w:tc>
        <w:tc>
          <w:tcPr>
            <w:tcW w:w="960" w:type="dxa"/>
            <w:vAlign w:val="bottom"/>
            <w:tcBorders>
              <w:bottom w:val="single" w:sz="8" w:color="auto"/>
            </w:tcBorders>
          </w:tcPr>
          <w:p>
            <w:pPr>
              <w:jc w:val="right"/>
              <w:ind w:right="7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(0.79)</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(1.03)</w:t>
            </w:r>
          </w:p>
        </w:tc>
      </w:tr>
      <w:tr>
        <w:trPr>
          <w:trHeight w:val="20"/>
        </w:trPr>
        <w:tc>
          <w:tcPr>
            <w:tcW w:w="6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40" w:firstLine="255"/>
        <w:spacing w:after="0" w:line="275" w:lineRule="auto"/>
        <w:rPr>
          <w:sz w:val="20"/>
          <w:szCs w:val="20"/>
          <w:color w:val="auto"/>
        </w:rPr>
      </w:pPr>
      <w:r>
        <w:rPr>
          <w:rFonts w:ascii="Times New Roman" w:cs="Times New Roman" w:eastAsia="Times New Roman" w:hAnsi="Times New Roman"/>
          <w:sz w:val="14"/>
          <w:szCs w:val="14"/>
          <w:color w:val="auto"/>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ind w:left="816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6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subject to repurchase from outstanding stock options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8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and PSUs subject to future vesting</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7,886</w:t>
            </w:r>
          </w:p>
        </w:tc>
        <w:tc>
          <w:tcPr>
            <w:tcW w:w="0" w:type="dxa"/>
            <w:vAlign w:val="bottom"/>
          </w:tcPr>
          <w:p>
            <w:pPr>
              <w:spacing w:after="0"/>
              <w:rPr>
                <w:sz w:val="1"/>
                <w:szCs w:val="1"/>
                <w:color w:val="auto"/>
              </w:rPr>
            </w:pPr>
          </w:p>
        </w:tc>
      </w:tr>
      <w:tr>
        <w:trPr>
          <w:trHeight w:val="180"/>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issuable from stock options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0" w:type="dxa"/>
            <w:vAlign w:val="bottom"/>
          </w:tcPr>
          <w:p>
            <w:pPr>
              <w:spacing w:after="0"/>
              <w:rPr>
                <w:sz w:val="1"/>
                <w:szCs w:val="1"/>
                <w:color w:val="auto"/>
              </w:rPr>
            </w:pPr>
          </w:p>
        </w:tc>
      </w:tr>
      <w:tr>
        <w:trPr>
          <w:trHeight w:val="18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 purchase rights under the Employee Stock Purchase Plan</w:t>
            </w: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91"/>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Potential common shares excluded from diluted net income (loss) per share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17,400</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4"/>
                <w:szCs w:val="14"/>
                <w:color w:val="auto"/>
              </w:rPr>
              <w:t>112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5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5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above table excludes founder holdbacks related to business combinations where a variable number of shares will be issued upon vesting to settle a fixed monetary amount of $3.6 million, contingent upon continued employment with the Company. The share price will be determined based on the Company’s average stock price or the volume weighted average stock price five days prior to each vesting date. During the fiscal year ended January 31, 2024, 27,330 shares were issued to settle founder holdbacks at a weighted average price of $157.85 per share.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January 31, 2024, the above table also excludes 689,358 weighted average shares of in progress PSUs and Special PSUs where pre-defined targets have not yet been achieved.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1"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43"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our disclosure controls and procedures as of January 31, 2024. Based on such evaluation, our Chief Executive Officer and Chief Financial Officer have concluded that, as of such date, our disclosure controls and procedures were effective at the reasonable assurance level.</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Management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s Report on Internal Control Over Financial Reporting</w:t>
      </w:r>
    </w:p>
    <w:p>
      <w:pPr>
        <w:spacing w:after="0" w:line="181"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2024 based on the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w:t>
      </w:r>
      <w:r>
        <w:rPr>
          <w:rFonts w:ascii="Times New Roman" w:cs="Times New Roman" w:eastAsia="Times New Roman" w:hAnsi="Times New Roman"/>
          <w:sz w:val="14"/>
          <w:szCs w:val="14"/>
          <w:color w:val="auto"/>
        </w:rPr>
        <w:t>(2013) issued by the Committee of Sponsoring Organizations of the Treadway Commission.</w:t>
      </w:r>
    </w:p>
    <w:p>
      <w:pPr>
        <w:spacing w:after="0" w:line="136"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Based on the results of its evaluation, management concluded that our internal control over financial reporting was effective as of January 31, 2024. The effectiveness of our internal control over financial reporting as of January 31, 2024 has been audited by PricewaterhouseCoopers LLP, an independent registered public accounting firm, as stated in its report which is included in Part II, Item 8 of this Annual Report on Form 10-K.</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1" w:lineRule="exact"/>
        <w:rPr>
          <w:sz w:val="20"/>
          <w:szCs w:val="20"/>
          <w:color w:val="auto"/>
        </w:rPr>
      </w:pPr>
    </w:p>
    <w:p>
      <w:pPr>
        <w:ind w:right="520" w:firstLine="255"/>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identified in connection with the evaluation required by Rule 13a-15(d) and Rule 15d-15(d) of the Exchange Act that occurred during the fiscal quarter ended January 31, 2024 that has materially affected, or is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on Effectiveness of Controls</w:t>
      </w:r>
    </w:p>
    <w:p>
      <w:pPr>
        <w:spacing w:after="0" w:line="18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10b5-1 and Non-Rule 10b5-1 Trading Arrangements</w:t>
      </w:r>
    </w:p>
    <w:p>
      <w:pPr>
        <w:spacing w:after="0" w:line="181" w:lineRule="exact"/>
        <w:rPr>
          <w:sz w:val="20"/>
          <w:szCs w:val="20"/>
          <w:color w:val="auto"/>
        </w:rPr>
      </w:pPr>
    </w:p>
    <w:p>
      <w:pPr>
        <w:ind w:right="120" w:firstLine="255"/>
        <w:spacing w:after="0" w:line="278" w:lineRule="auto"/>
        <w:rPr>
          <w:sz w:val="20"/>
          <w:szCs w:val="20"/>
          <w:color w:val="auto"/>
        </w:rPr>
      </w:pPr>
      <w:r>
        <w:rPr>
          <w:rFonts w:ascii="Times New Roman" w:cs="Times New Roman" w:eastAsia="Times New Roman" w:hAnsi="Times New Roman"/>
          <w:sz w:val="14"/>
          <w:szCs w:val="14"/>
          <w:color w:val="auto"/>
        </w:rPr>
        <w:t>During the three months ended January 31, 2024, certain of our officers or directors listed below adopted or terminated trading arrangements for the sale of shares of our Class A common stock in amounts and prices determined in accordance with a formula set forth in each such plan:</w:t>
      </w:r>
    </w:p>
    <w:p>
      <w:pPr>
        <w:jc w:val="center"/>
        <w:spacing w:after="0"/>
        <w:rPr>
          <w:sz w:val="20"/>
          <w:szCs w:val="20"/>
          <w:color w:val="auto"/>
        </w:rPr>
      </w:pPr>
      <w:r>
        <w:rPr>
          <w:rFonts w:ascii="Times New Roman" w:cs="Times New Roman" w:eastAsia="Times New Roman" w:hAnsi="Times New Roman"/>
          <w:sz w:val="13"/>
          <w:szCs w:val="13"/>
          <w:b w:val="1"/>
          <w:bCs w:val="1"/>
          <w:color w:val="auto"/>
        </w:rPr>
        <w:t>Plans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60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Name and Title</w:t>
            </w:r>
          </w:p>
        </w:tc>
        <w:tc>
          <w:tcPr>
            <w:tcW w:w="1180" w:type="dxa"/>
            <w:vAlign w:val="bottom"/>
            <w:tcBorders>
              <w:top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Action</w:t>
            </w:r>
          </w:p>
        </w:tc>
        <w:tc>
          <w:tcPr>
            <w:tcW w:w="176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6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Rule 10b5-1</w:t>
            </w:r>
            <w:r>
              <w:rPr>
                <w:rFonts w:ascii="Times New Roman" w:cs="Times New Roman" w:eastAsia="Times New Roman" w:hAnsi="Times New Roman"/>
                <w:sz w:val="16"/>
                <w:szCs w:val="16"/>
                <w:b w:val="1"/>
                <w:bCs w:val="1"/>
                <w:color w:val="auto"/>
                <w:w w:val="95"/>
                <w:vertAlign w:val="superscript"/>
              </w:rPr>
              <w:t>(1)</w:t>
            </w:r>
          </w:p>
        </w:tc>
        <w:tc>
          <w:tcPr>
            <w:tcW w:w="1060" w:type="dxa"/>
            <w:vAlign w:val="bottom"/>
            <w:tcBorders>
              <w:top w:val="single" w:sz="8" w:color="auto"/>
            </w:tcBorders>
            <w:gridSpan w:val="2"/>
          </w:tcPr>
          <w:p>
            <w:pPr>
              <w:jc w:val="center"/>
              <w:ind w:right="80"/>
              <w:spacing w:after="0" w:line="123" w:lineRule="exact"/>
              <w:rPr>
                <w:sz w:val="20"/>
                <w:szCs w:val="20"/>
                <w:color w:val="auto"/>
              </w:rPr>
            </w:pPr>
            <w:r>
              <w:rPr>
                <w:rFonts w:ascii="Times New Roman" w:cs="Times New Roman" w:eastAsia="Times New Roman" w:hAnsi="Times New Roman"/>
                <w:sz w:val="13"/>
                <w:szCs w:val="13"/>
                <w:b w:val="1"/>
                <w:bCs w:val="1"/>
                <w:color w:val="auto"/>
                <w:w w:val="97"/>
              </w:rPr>
              <w:t>Non-Rule 10b5-</w:t>
            </w:r>
          </w:p>
        </w:tc>
        <w:tc>
          <w:tcPr>
            <w:tcW w:w="1600" w:type="dxa"/>
            <w:vAlign w:val="bottom"/>
            <w:tcBorders>
              <w:top w:val="single" w:sz="8" w:color="auto"/>
            </w:tcBorders>
            <w:gridSpan w:val="2"/>
          </w:tcPr>
          <w:p>
            <w:pPr>
              <w:ind w:left="100"/>
              <w:spacing w:after="0" w:line="123" w:lineRule="exact"/>
              <w:rPr>
                <w:sz w:val="20"/>
                <w:szCs w:val="20"/>
                <w:color w:val="auto"/>
              </w:rPr>
            </w:pPr>
            <w:r>
              <w:rPr>
                <w:rFonts w:ascii="Times New Roman" w:cs="Times New Roman" w:eastAsia="Times New Roman" w:hAnsi="Times New Roman"/>
                <w:sz w:val="13"/>
                <w:szCs w:val="13"/>
                <w:b w:val="1"/>
                <w:bCs w:val="1"/>
                <w:color w:val="auto"/>
              </w:rPr>
              <w:t>Number of Shares to be</w:t>
            </w:r>
          </w:p>
        </w:tc>
        <w:tc>
          <w:tcPr>
            <w:tcW w:w="3120" w:type="dxa"/>
            <w:vAlign w:val="bottom"/>
            <w:tcBorders>
              <w:top w:val="single" w:sz="8" w:color="auto"/>
            </w:tcBorders>
            <w:vMerge w:val="restart"/>
          </w:tcPr>
          <w:p>
            <w:pPr>
              <w:ind w:left="126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0"/>
        </w:trPr>
        <w:tc>
          <w:tcPr>
            <w:tcW w:w="16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tcPr>
          <w:p>
            <w:pPr>
              <w:jc w:val="center"/>
              <w:ind w:right="330"/>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1</w:t>
            </w:r>
            <w:r>
              <w:rPr>
                <w:rFonts w:ascii="Times New Roman" w:cs="Times New Roman" w:eastAsia="Times New Roman" w:hAnsi="Times New Roman"/>
                <w:sz w:val="7"/>
                <w:szCs w:val="7"/>
                <w:b w:val="1"/>
                <w:bCs w:val="1"/>
                <w:color w:val="auto"/>
              </w:rPr>
              <w:t>(2)</w:t>
            </w:r>
          </w:p>
        </w:tc>
        <w:tc>
          <w:tcPr>
            <w:tcW w:w="100" w:type="dxa"/>
            <w:vAlign w:val="bottom"/>
          </w:tcPr>
          <w:p>
            <w:pPr>
              <w:spacing w:after="0"/>
              <w:rPr>
                <w:sz w:val="14"/>
                <w:szCs w:val="14"/>
                <w:color w:val="auto"/>
              </w:rPr>
            </w:pP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Sold</w:t>
            </w:r>
          </w:p>
        </w:tc>
        <w:tc>
          <w:tcPr>
            <w:tcW w:w="3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Up to 250,000 (175,000</w:t>
            </w:r>
          </w:p>
        </w:tc>
        <w:tc>
          <w:tcPr>
            <w:tcW w:w="100" w:type="dxa"/>
            <w:vAlign w:val="bottom"/>
            <w:tcBorders>
              <w:top w:val="single" w:sz="8" w:color="CCEEFF"/>
            </w:tcBorders>
            <w:shd w:val="clear" w:color="auto" w:fill="CCEEFF"/>
          </w:tcPr>
          <w:p>
            <w:pPr>
              <w:spacing w:after="0"/>
              <w:rPr>
                <w:sz w:val="10"/>
                <w:szCs w:val="10"/>
                <w:color w:val="auto"/>
              </w:rPr>
            </w:pPr>
          </w:p>
        </w:tc>
        <w:tc>
          <w:tcPr>
            <w:tcW w:w="312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w w:val="99"/>
              </w:rPr>
              <w:t>Plan is terminated. Was scheduled to expire upon the earlier</w:t>
            </w:r>
          </w:p>
        </w:tc>
        <w:tc>
          <w:tcPr>
            <w:tcW w:w="0" w:type="dxa"/>
            <w:vAlign w:val="bottom"/>
          </w:tcPr>
          <w:p>
            <w:pPr>
              <w:spacing w:after="0"/>
              <w:rPr>
                <w:sz w:val="1"/>
                <w:szCs w:val="1"/>
                <w:color w:val="auto"/>
              </w:rPr>
            </w:pPr>
          </w:p>
        </w:tc>
      </w:tr>
      <w:tr>
        <w:trPr>
          <w:trHeight w:val="127"/>
        </w:trPr>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Godfrey Sullivan, Director</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Termination</w:t>
            </w:r>
          </w:p>
        </w:tc>
        <w:tc>
          <w:tcPr>
            <w:tcW w:w="1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December 12, 2023</w:t>
            </w:r>
          </w:p>
        </w:tc>
        <w:tc>
          <w:tcPr>
            <w:tcW w:w="9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shares were sold under the</w:t>
            </w:r>
          </w:p>
        </w:tc>
        <w:tc>
          <w:tcPr>
            <w:tcW w:w="31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of the date when all shares under plan were sold and</w:t>
            </w:r>
          </w:p>
        </w:tc>
        <w:tc>
          <w:tcPr>
            <w:tcW w:w="0" w:type="dxa"/>
            <w:vAlign w:val="bottom"/>
          </w:tcPr>
          <w:p>
            <w:pPr>
              <w:spacing w:after="0"/>
              <w:rPr>
                <w:sz w:val="1"/>
                <w:szCs w:val="1"/>
                <w:color w:val="auto"/>
              </w:rPr>
            </w:pPr>
          </w:p>
        </w:tc>
      </w:tr>
      <w:tr>
        <w:trPr>
          <w:trHeight w:val="170"/>
        </w:trPr>
        <w:tc>
          <w:tcPr>
            <w:tcW w:w="1600" w:type="dxa"/>
            <w:vAlign w:val="bottom"/>
            <w:gridSpan w:val="2"/>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w:t>
            </w: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2024</w:t>
            </w:r>
          </w:p>
        </w:tc>
        <w:tc>
          <w:tcPr>
            <w:tcW w:w="0" w:type="dxa"/>
            <w:vAlign w:val="bottom"/>
          </w:tcPr>
          <w:p>
            <w:pPr>
              <w:spacing w:after="0"/>
              <w:rPr>
                <w:sz w:val="1"/>
                <w:szCs w:val="1"/>
                <w:color w:val="auto"/>
              </w:rPr>
            </w:pPr>
          </w:p>
        </w:tc>
      </w:tr>
      <w:tr>
        <w:trPr>
          <w:trHeight w:val="127"/>
        </w:trPr>
        <w:tc>
          <w:tcPr>
            <w:tcW w:w="160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Shawn Henry, Chief</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Adoption</w:t>
            </w:r>
          </w:p>
        </w:tc>
        <w:tc>
          <w:tcPr>
            <w:tcW w:w="1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December 20, 2023</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Up to 119,224</w:t>
            </w:r>
            <w:r>
              <w:rPr>
                <w:rFonts w:ascii="Times New Roman" w:cs="Times New Roman" w:eastAsia="Times New Roman" w:hAnsi="Times New Roman"/>
                <w:sz w:val="16"/>
                <w:szCs w:val="16"/>
                <w:color w:val="auto"/>
                <w:vertAlign w:val="superscript"/>
              </w:rPr>
              <w:t>(3)</w:t>
            </w:r>
          </w:p>
        </w:tc>
        <w:tc>
          <w:tcPr>
            <w:tcW w:w="31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w w:val="98"/>
              </w:rPr>
              <w:t>Earlier of when all shares under plan are sold and March 17,</w:t>
            </w:r>
          </w:p>
        </w:tc>
        <w:tc>
          <w:tcPr>
            <w:tcW w:w="0" w:type="dxa"/>
            <w:vAlign w:val="bottom"/>
          </w:tcPr>
          <w:p>
            <w:pPr>
              <w:spacing w:after="0"/>
              <w:rPr>
                <w:sz w:val="1"/>
                <w:szCs w:val="1"/>
                <w:color w:val="auto"/>
              </w:rPr>
            </w:pPr>
          </w:p>
        </w:tc>
      </w:tr>
      <w:tr>
        <w:trPr>
          <w:trHeight w:val="17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Security Officer</w:t>
            </w:r>
          </w:p>
        </w:tc>
        <w:tc>
          <w:tcPr>
            <w:tcW w:w="118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27"/>
        </w:trPr>
        <w:tc>
          <w:tcPr>
            <w:tcW w:w="16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Burt Podbere, Chief</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Adoption</w:t>
            </w:r>
          </w:p>
        </w:tc>
        <w:tc>
          <w:tcPr>
            <w:tcW w:w="1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December 29, 2023</w:t>
            </w:r>
          </w:p>
        </w:tc>
        <w:tc>
          <w:tcPr>
            <w:tcW w:w="9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Up to 100,000</w:t>
            </w:r>
          </w:p>
        </w:tc>
        <w:tc>
          <w:tcPr>
            <w:tcW w:w="31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w w:val="98"/>
              </w:rPr>
              <w:t>Earlier of when all shares under plan are sold and March 31,</w:t>
            </w:r>
          </w:p>
        </w:tc>
        <w:tc>
          <w:tcPr>
            <w:tcW w:w="0" w:type="dxa"/>
            <w:vAlign w:val="bottom"/>
          </w:tcPr>
          <w:p>
            <w:pPr>
              <w:spacing w:after="0"/>
              <w:rPr>
                <w:sz w:val="1"/>
                <w:szCs w:val="1"/>
                <w:color w:val="auto"/>
              </w:rPr>
            </w:pPr>
          </w:p>
        </w:tc>
      </w:tr>
      <w:tr>
        <w:trPr>
          <w:trHeight w:val="170"/>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Officer</w:t>
            </w:r>
          </w:p>
        </w:tc>
        <w:tc>
          <w:tcPr>
            <w:tcW w:w="1180" w:type="dxa"/>
            <w:vAlign w:val="bottom"/>
            <w:gridSpan w:val="2"/>
            <w:vMerge w:val="continue"/>
            <w:shd w:val="clear" w:color="auto" w:fill="CCEEFF"/>
          </w:tcPr>
          <w:p>
            <w:pPr>
              <w:spacing w:after="0"/>
              <w:rPr>
                <w:sz w:val="14"/>
                <w:szCs w:val="14"/>
                <w:color w:val="auto"/>
              </w:rPr>
            </w:pPr>
          </w:p>
        </w:tc>
        <w:tc>
          <w:tcPr>
            <w:tcW w:w="1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gridSpan w:val="2"/>
            <w:vMerge w:val="continue"/>
            <w:shd w:val="clear" w:color="auto" w:fill="CCEEFF"/>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20" w:hanging="260"/>
        <w:spacing w:after="0"/>
        <w:tabs>
          <w:tab w:leader="none" w:pos="5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Intended to satisfy the affirmative defense conditions of Rule 10b5-1(c).</w:t>
      </w:r>
    </w:p>
    <w:p>
      <w:pPr>
        <w:spacing w:after="0" w:line="168" w:lineRule="exact"/>
        <w:rPr>
          <w:rFonts w:ascii="Times New Roman" w:cs="Times New Roman" w:eastAsia="Times New Roman" w:hAnsi="Times New Roman"/>
          <w:sz w:val="13"/>
          <w:szCs w:val="13"/>
          <w:color w:val="auto"/>
        </w:rPr>
      </w:pPr>
    </w:p>
    <w:p>
      <w:pPr>
        <w:ind w:left="540" w:hanging="280"/>
        <w:spacing w:after="0"/>
        <w:tabs>
          <w:tab w:leader="none" w:pos="5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intended to satisfy the affirmative defense conditions of Rule 10b5-1(c).</w:t>
      </w:r>
    </w:p>
    <w:p>
      <w:pPr>
        <w:spacing w:after="0" w:line="168" w:lineRule="exact"/>
        <w:rPr>
          <w:rFonts w:ascii="Times New Roman" w:cs="Times New Roman" w:eastAsia="Times New Roman" w:hAnsi="Times New Roman"/>
          <w:sz w:val="13"/>
          <w:szCs w:val="13"/>
          <w:color w:val="auto"/>
        </w:rPr>
      </w:pPr>
    </w:p>
    <w:p>
      <w:pPr>
        <w:ind w:left="520" w:right="380" w:hanging="260"/>
        <w:spacing w:after="0" w:line="281" w:lineRule="auto"/>
        <w:tabs>
          <w:tab w:leader="none" w:pos="5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Intended to permit Mr. Henry to sell (i) 50,000 shares, (ii) 29,109 shares subject to RSUs and (iii) 40,115 shares subject to PSUs. The actual number of shares subject to PSUs that may be sold is subject to satisfaction of the applicable performance conditions and may be equal to, greater than or less than 40,115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have adopted a code of business conduct and ethics (the “Code of Conduct”) that applies to all of our employees, executive officers and directors. The full text of the Code of Conduct is available on our website at ir.crowdstrike.com.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Select Market.</w:t>
      </w:r>
    </w:p>
    <w:p>
      <w:pPr>
        <w:spacing w:after="0" w:line="140"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Certain information required by this Item with respect to our executive officers is set forth under Item 1 of Part I of this Annual Report on Form 10-K under the section entitled “Information about our Executive Officers.”</w:t>
      </w:r>
    </w:p>
    <w:p>
      <w:pPr>
        <w:spacing w:after="0" w:line="124"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information otherwise required by this Item will be included in our definitive proxy statement for our 2024 annual meeting of stockholders (the “2024 Proxy Statement”), which will be filed with the SEC within 120 days after the end of our fiscal year ended January 31, 2024,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2024 Proxy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2024 Proxy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2024 Proxy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2024 Proxy Statement.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(a)(1) Financial Statements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Index to consolidated financial statements in Part II, Item 8 of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(a)(2) Financial Statement Schedule</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All financial statement schedules have been omitted as the information is not required under the related instructions or is not applicable or because the information required is already included in the consolidated financial statements or the notes to those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(a)(3) Exhibits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filed the exhibits listed on the accompanying Exhibit Index, which is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45"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p>
      <w:pPr>
        <w:sectPr>
          <w:pgSz w:w="11900" w:h="16838" w:orient="portrait"/>
          <w:cols w:equalWidth="0" w:num="1">
            <w:col w:w="11220"/>
          </w:cols>
          <w:pgMar w:left="300" w:top="125" w:right="379" w:bottom="1440" w:gutter="0" w:footer="0" w:header="0"/>
        </w:sectPr>
      </w:pP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27940</wp:posOffset>
            </wp:positionV>
            <wp:extent cx="62674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67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160" w:val="left"/>
          <w:tab w:leader="none" w:pos="4080" w:val="left"/>
          <w:tab w:leader="none" w:pos="5060" w:val="left"/>
          <w:tab w:leader="none" w:pos="6180" w:val="left"/>
          <w:tab w:leader="none" w:pos="7380" w:val="left"/>
        </w:tabs>
        <w:rPr>
          <w:sz w:val="20"/>
          <w:szCs w:val="20"/>
          <w:color w:val="auto"/>
        </w:rPr>
      </w:pPr>
      <w:r>
        <w:rPr>
          <w:rFonts w:ascii="Times New Roman" w:cs="Times New Roman" w:eastAsia="Times New Roman" w:hAnsi="Times New Roman"/>
          <w:sz w:val="13"/>
          <w:szCs w:val="13"/>
          <w:b w:val="1"/>
          <w:bCs w:val="1"/>
          <w:color w:val="auto"/>
        </w:rPr>
        <w:t>Exhibit Description</w:t>
      </w:r>
      <w:r>
        <w:rPr>
          <w:sz w:val="20"/>
          <w:szCs w:val="20"/>
          <w:color w:val="auto"/>
        </w:rPr>
        <w:tab/>
      </w:r>
      <w:r>
        <w:rPr>
          <w:rFonts w:ascii="Times New Roman" w:cs="Times New Roman" w:eastAsia="Times New Roman" w:hAnsi="Times New Roman"/>
          <w:sz w:val="13"/>
          <w:szCs w:val="13"/>
          <w:b w:val="1"/>
          <w:bCs w:val="1"/>
          <w:color w:val="auto"/>
        </w:rPr>
        <w:t>Form</w:t>
      </w:r>
      <w:r>
        <w:rPr>
          <w:sz w:val="20"/>
          <w:szCs w:val="20"/>
          <w:color w:val="auto"/>
        </w:rPr>
        <w:tab/>
      </w:r>
      <w:r>
        <w:rPr>
          <w:rFonts w:ascii="Times New Roman" w:cs="Times New Roman" w:eastAsia="Times New Roman" w:hAnsi="Times New Roman"/>
          <w:sz w:val="13"/>
          <w:szCs w:val="13"/>
          <w:b w:val="1"/>
          <w:bCs w:val="1"/>
          <w:color w:val="auto"/>
        </w:rPr>
        <w:t>File No.</w:t>
      </w:r>
      <w:r>
        <w:rPr>
          <w:sz w:val="20"/>
          <w:szCs w:val="20"/>
          <w:color w:val="auto"/>
        </w:rPr>
        <w:tab/>
      </w:r>
      <w:r>
        <w:rPr>
          <w:rFonts w:ascii="Times New Roman" w:cs="Times New Roman" w:eastAsia="Times New Roman" w:hAnsi="Times New Roman"/>
          <w:sz w:val="13"/>
          <w:szCs w:val="13"/>
          <w:b w:val="1"/>
          <w:bCs w:val="1"/>
          <w:color w:val="auto"/>
        </w:rPr>
        <w:t>Exhibit</w:t>
      </w:r>
      <w:r>
        <w:rPr>
          <w:sz w:val="20"/>
          <w:szCs w:val="20"/>
          <w:color w:val="auto"/>
        </w:rPr>
        <w:tab/>
      </w:r>
      <w:r>
        <w:rPr>
          <w:rFonts w:ascii="Times New Roman" w:cs="Times New Roman" w:eastAsia="Times New Roman" w:hAnsi="Times New Roman"/>
          <w:sz w:val="13"/>
          <w:szCs w:val="13"/>
          <w:b w:val="1"/>
          <w:bCs w:val="1"/>
          <w:color w:val="auto"/>
        </w:rPr>
        <w:t>Filing Date</w:t>
      </w:r>
      <w:r>
        <w:rPr>
          <w:sz w:val="20"/>
          <w:szCs w:val="20"/>
          <w:color w:val="auto"/>
        </w:rPr>
        <w:tab/>
      </w:r>
      <w:r>
        <w:rPr>
          <w:rFonts w:ascii="Times New Roman" w:cs="Times New Roman" w:eastAsia="Times New Roman" w:hAnsi="Times New Roman"/>
          <w:sz w:val="12"/>
          <w:szCs w:val="12"/>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20955</wp:posOffset>
            </wp:positionV>
            <wp:extent cx="644779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47790" cy="6985"/>
                    </a:xfrm>
                    <a:prstGeom prst="rect">
                      <a:avLst/>
                    </a:prstGeom>
                    <a:noFill/>
                  </pic:spPr>
                </pic:pic>
              </a:graphicData>
            </a:graphic>
          </wp:anchor>
        </w:drawing>
        <w:drawing>
          <wp:anchor simplePos="0" relativeHeight="251657728" behindDoc="1" locked="0" layoutInCell="0" allowOverlap="1">
            <wp:simplePos x="0" y="0"/>
            <wp:positionH relativeFrom="column">
              <wp:posOffset>1870710</wp:posOffset>
            </wp:positionH>
            <wp:positionV relativeFrom="paragraph">
              <wp:posOffset>-92710</wp:posOffset>
            </wp:positionV>
            <wp:extent cx="280289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2280" w:space="720"/>
            <w:col w:w="8220"/>
          </w:cols>
          <w:pgMar w:left="300" w:top="125" w:right="379" w:bottom="1440" w:gutter="0" w:footer="0" w:header="0"/>
          <w:type w:val="continuous"/>
        </w:sectPr>
      </w:pPr>
    </w:p>
    <w:p>
      <w:pPr>
        <w:spacing w:after="0" w:line="11" w:lineRule="exact"/>
        <w:rPr>
          <w:sz w:val="20"/>
          <w:szCs w:val="20"/>
          <w:color w:val="auto"/>
        </w:rPr>
      </w:pPr>
    </w:p>
    <w:p>
      <w:pPr>
        <w:ind w:left="440"/>
        <w:spacing w:after="0"/>
        <w:rPr>
          <w:rFonts w:ascii="Times New Roman" w:cs="Times New Roman" w:eastAsia="Times New Roman" w:hAnsi="Times New Roman"/>
          <w:sz w:val="12"/>
          <w:szCs w:val="12"/>
          <w:u w:val="single" w:color="auto"/>
          <w:color w:val="0000FF"/>
        </w:rPr>
      </w:pPr>
      <w:hyperlink r:id="rId179">
        <w:r>
          <w:rPr>
            <w:rFonts w:ascii="Times New Roman" w:cs="Times New Roman" w:eastAsia="Times New Roman" w:hAnsi="Times New Roman"/>
            <w:sz w:val="12"/>
            <w:szCs w:val="12"/>
            <w:u w:val="single" w:color="auto"/>
            <w:color w:val="0000FF"/>
          </w:rPr>
          <w:t>3.1</w:t>
        </w:r>
      </w:hyperlink>
    </w:p>
    <w:p>
      <w:pPr>
        <w:spacing w:after="0" w:line="53" w:lineRule="exact"/>
        <w:rPr>
          <w:sz w:val="20"/>
          <w:szCs w:val="20"/>
          <w:color w:val="auto"/>
        </w:rPr>
      </w:pPr>
    </w:p>
    <w:p>
      <w:pPr>
        <w:ind w:left="440"/>
        <w:spacing w:after="0"/>
        <w:rPr>
          <w:rFonts w:ascii="Times New Roman" w:cs="Times New Roman" w:eastAsia="Times New Roman" w:hAnsi="Times New Roman"/>
          <w:sz w:val="12"/>
          <w:szCs w:val="12"/>
          <w:u w:val="single" w:color="auto"/>
          <w:color w:val="0000FF"/>
        </w:rPr>
      </w:pPr>
      <w:hyperlink r:id="rId180">
        <w:r>
          <w:rPr>
            <w:rFonts w:ascii="Times New Roman" w:cs="Times New Roman" w:eastAsia="Times New Roman" w:hAnsi="Times New Roman"/>
            <w:sz w:val="12"/>
            <w:szCs w:val="12"/>
            <w:u w:val="single" w:color="auto"/>
            <w:color w:val="0000FF"/>
          </w:rPr>
          <w:t>3.2</w:t>
        </w:r>
      </w:hyperlink>
    </w:p>
    <w:p>
      <w:pPr>
        <w:spacing w:after="0" w:line="170" w:lineRule="exact"/>
        <w:rPr>
          <w:sz w:val="20"/>
          <w:szCs w:val="20"/>
          <w:color w:val="auto"/>
        </w:rPr>
      </w:pPr>
    </w:p>
    <w:p>
      <w:pPr>
        <w:ind w:left="440"/>
        <w:spacing w:after="0"/>
        <w:rPr>
          <w:rFonts w:ascii="Times New Roman" w:cs="Times New Roman" w:eastAsia="Times New Roman" w:hAnsi="Times New Roman"/>
          <w:sz w:val="12"/>
          <w:szCs w:val="12"/>
          <w:u w:val="single" w:color="auto"/>
          <w:color w:val="0000FF"/>
        </w:rPr>
      </w:pPr>
      <w:hyperlink r:id="rId181">
        <w:r>
          <w:rPr>
            <w:rFonts w:ascii="Times New Roman" w:cs="Times New Roman" w:eastAsia="Times New Roman" w:hAnsi="Times New Roman"/>
            <w:sz w:val="12"/>
            <w:szCs w:val="12"/>
            <w:u w:val="single" w:color="auto"/>
            <w:color w:val="0000FF"/>
          </w:rPr>
          <w:t>4.1</w:t>
        </w:r>
      </w:hyperlink>
    </w:p>
    <w:p>
      <w:pPr>
        <w:spacing w:after="0" w:line="223" w:lineRule="exact"/>
        <w:rPr>
          <w:sz w:val="20"/>
          <w:szCs w:val="20"/>
          <w:color w:val="auto"/>
        </w:rPr>
      </w:pPr>
    </w:p>
    <w:p>
      <w:pPr>
        <w:ind w:left="440"/>
        <w:spacing w:after="0"/>
        <w:rPr>
          <w:rFonts w:ascii="Times New Roman" w:cs="Times New Roman" w:eastAsia="Times New Roman" w:hAnsi="Times New Roman"/>
          <w:sz w:val="12"/>
          <w:szCs w:val="12"/>
          <w:u w:val="single" w:color="auto"/>
          <w:color w:val="0000FF"/>
        </w:rPr>
      </w:pPr>
      <w:hyperlink r:id="rId182">
        <w:r>
          <w:rPr>
            <w:rFonts w:ascii="Times New Roman" w:cs="Times New Roman" w:eastAsia="Times New Roman" w:hAnsi="Times New Roman"/>
            <w:sz w:val="12"/>
            <w:szCs w:val="12"/>
            <w:u w:val="single" w:color="auto"/>
            <w:color w:val="0000FF"/>
          </w:rPr>
          <w:t>4.2</w:t>
        </w:r>
      </w:hyperlink>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3"/>
          <w:szCs w:val="13"/>
          <w:u w:val="single" w:color="auto"/>
          <w:color w:val="0000FF"/>
        </w:rPr>
      </w:pPr>
      <w:hyperlink r:id="rId179">
        <w:r>
          <w:rPr>
            <w:rFonts w:ascii="Times New Roman" w:cs="Times New Roman" w:eastAsia="Times New Roman" w:hAnsi="Times New Roman"/>
            <w:sz w:val="13"/>
            <w:szCs w:val="13"/>
            <w:u w:val="single" w:color="auto"/>
            <w:color w:val="0000FF"/>
          </w:rPr>
          <w:t>Amended and Restated Certificate of Incorporation of the Registrant, as currently in effect.</w:t>
        </w:r>
      </w:hyperlink>
    </w:p>
    <w:p>
      <w:pPr>
        <w:spacing w:after="0" w:line="3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80">
        <w:r>
          <w:rPr>
            <w:rFonts w:ascii="Times New Roman" w:cs="Times New Roman" w:eastAsia="Times New Roman" w:hAnsi="Times New Roman"/>
            <w:sz w:val="13"/>
            <w:szCs w:val="13"/>
            <w:u w:val="single" w:color="auto"/>
            <w:color w:val="0000FF"/>
          </w:rPr>
          <w:t>Amended and Restated Bylaws of the Registrant, as currently in effect.</w:t>
        </w:r>
      </w:hyperlink>
    </w:p>
    <w:p>
      <w:pPr>
        <w:spacing w:after="0" w:line="41" w:lineRule="exact"/>
        <w:rPr>
          <w:sz w:val="20"/>
          <w:szCs w:val="20"/>
          <w:color w:val="auto"/>
        </w:rPr>
      </w:pPr>
    </w:p>
    <w:p>
      <w:pPr>
        <w:jc w:val="both"/>
        <w:spacing w:after="0" w:line="224" w:lineRule="auto"/>
        <w:rPr>
          <w:rFonts w:ascii="Times New Roman" w:cs="Times New Roman" w:eastAsia="Times New Roman" w:hAnsi="Times New Roman"/>
          <w:sz w:val="13"/>
          <w:szCs w:val="13"/>
          <w:u w:val="single" w:color="auto"/>
          <w:color w:val="0000FF"/>
        </w:rPr>
      </w:pPr>
      <w:hyperlink r:id="rId181">
        <w:r>
          <w:rPr>
            <w:rFonts w:ascii="Times New Roman" w:cs="Times New Roman" w:eastAsia="Times New Roman" w:hAnsi="Times New Roman"/>
            <w:sz w:val="13"/>
            <w:szCs w:val="13"/>
            <w:u w:val="single" w:color="auto"/>
            <w:color w:val="0000FF"/>
          </w:rPr>
          <w:t>Amended and Restated Stockholders Agreement among the Registrant and certain holders of</w:t>
        </w:r>
      </w:hyperlink>
      <w:r>
        <w:rPr>
          <w:rFonts w:ascii="Times New Roman" w:cs="Times New Roman" w:eastAsia="Times New Roman" w:hAnsi="Times New Roman"/>
          <w:sz w:val="13"/>
          <w:szCs w:val="13"/>
          <w:u w:val="single" w:color="auto"/>
          <w:color w:val="0000FF"/>
        </w:rPr>
        <w:t xml:space="preserve"> </w:t>
      </w:r>
      <w:hyperlink r:id="rId181">
        <w:r>
          <w:rPr>
            <w:rFonts w:ascii="Times New Roman" w:cs="Times New Roman" w:eastAsia="Times New Roman" w:hAnsi="Times New Roman"/>
            <w:sz w:val="13"/>
            <w:szCs w:val="13"/>
            <w:u w:val="single" w:color="auto"/>
            <w:color w:val="0000FF"/>
          </w:rPr>
          <w:t>its capital stock, dated as of June 21, 2018, as amended on September 25, 2018 and April 17,</w:t>
        </w:r>
      </w:hyperlink>
      <w:r>
        <w:rPr>
          <w:rFonts w:ascii="Times New Roman" w:cs="Times New Roman" w:eastAsia="Times New Roman" w:hAnsi="Times New Roman"/>
          <w:sz w:val="13"/>
          <w:szCs w:val="13"/>
          <w:u w:val="single" w:color="auto"/>
          <w:color w:val="0000FF"/>
        </w:rPr>
        <w:t xml:space="preserve"> </w:t>
      </w:r>
      <w:hyperlink r:id="rId181">
        <w:r>
          <w:rPr>
            <w:rFonts w:ascii="Times New Roman" w:cs="Times New Roman" w:eastAsia="Times New Roman" w:hAnsi="Times New Roman"/>
            <w:sz w:val="13"/>
            <w:szCs w:val="13"/>
            <w:u w:val="single" w:color="auto"/>
            <w:color w:val="0000FF"/>
          </w:rPr>
          <w:t>2019.</w:t>
        </w:r>
      </w:hyperlink>
    </w:p>
    <w:p>
      <w:pPr>
        <w:spacing w:after="0" w:line="6" w:lineRule="exact"/>
        <w:rPr>
          <w:rFonts w:ascii="Times New Roman" w:cs="Times New Roman" w:eastAsia="Times New Roman" w:hAnsi="Times New Roman"/>
          <w:sz w:val="13"/>
          <w:szCs w:val="13"/>
          <w:u w:val="single" w:color="auto"/>
          <w:color w:val="0000FF"/>
        </w:rPr>
      </w:pPr>
    </w:p>
    <w:p>
      <w:pPr>
        <w:ind w:right="220"/>
        <w:spacing w:after="0" w:line="235" w:lineRule="auto"/>
        <w:rPr>
          <w:rFonts w:ascii="Times New Roman" w:cs="Times New Roman" w:eastAsia="Times New Roman" w:hAnsi="Times New Roman"/>
          <w:sz w:val="13"/>
          <w:szCs w:val="13"/>
          <w:u w:val="single" w:color="auto"/>
          <w:color w:val="0000FF"/>
        </w:rPr>
      </w:pPr>
      <w:hyperlink r:id="rId182">
        <w:r>
          <w:rPr>
            <w:rFonts w:ascii="Times New Roman" w:cs="Times New Roman" w:eastAsia="Times New Roman" w:hAnsi="Times New Roman"/>
            <w:sz w:val="13"/>
            <w:szCs w:val="13"/>
            <w:u w:val="single" w:color="auto"/>
            <w:color w:val="0000FF"/>
          </w:rPr>
          <w:t>Amended and Restated Registration Rights Agreement among the Registrant and certain</w:t>
        </w:r>
      </w:hyperlink>
      <w:r>
        <w:rPr>
          <w:rFonts w:ascii="Times New Roman" w:cs="Times New Roman" w:eastAsia="Times New Roman" w:hAnsi="Times New Roman"/>
          <w:sz w:val="13"/>
          <w:szCs w:val="13"/>
          <w:u w:val="single" w:color="auto"/>
          <w:color w:val="0000FF"/>
        </w:rPr>
        <w:t xml:space="preserve"> </w:t>
      </w:r>
      <w:hyperlink r:id="rId182">
        <w:r>
          <w:rPr>
            <w:rFonts w:ascii="Times New Roman" w:cs="Times New Roman" w:eastAsia="Times New Roman" w:hAnsi="Times New Roman"/>
            <w:sz w:val="13"/>
            <w:szCs w:val="13"/>
            <w:u w:val="single" w:color="auto"/>
            <w:color w:val="0000FF"/>
          </w:rPr>
          <w:t>holders of its capital stock, dated as of June 21, 2018.</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3.1</w:t>
            </w:r>
          </w:p>
        </w:tc>
        <w:tc>
          <w:tcPr>
            <w:tcW w:w="1140" w:type="dxa"/>
            <w:vAlign w:val="bottom"/>
          </w:tcPr>
          <w:p>
            <w:pPr>
              <w:jc w:val="center"/>
              <w:ind w:left="336"/>
              <w:spacing w:after="0"/>
              <w:rPr>
                <w:sz w:val="20"/>
                <w:szCs w:val="20"/>
                <w:color w:val="auto"/>
              </w:rPr>
            </w:pPr>
            <w:r>
              <w:rPr>
                <w:rFonts w:ascii="Times New Roman" w:cs="Times New Roman" w:eastAsia="Times New Roman" w:hAnsi="Times New Roman"/>
                <w:sz w:val="13"/>
                <w:szCs w:val="13"/>
                <w:color w:val="auto"/>
                <w:w w:val="96"/>
              </w:rPr>
              <w:t>June 14, 2019</w:t>
            </w:r>
          </w:p>
        </w:tc>
      </w:tr>
      <w:tr>
        <w:trPr>
          <w:trHeight w:val="191"/>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3.2</w:t>
            </w:r>
          </w:p>
        </w:tc>
        <w:tc>
          <w:tcPr>
            <w:tcW w:w="1140" w:type="dxa"/>
            <w:vAlign w:val="bottom"/>
          </w:tcPr>
          <w:p>
            <w:pPr>
              <w:jc w:val="center"/>
              <w:ind w:left="336"/>
              <w:spacing w:after="0"/>
              <w:rPr>
                <w:sz w:val="20"/>
                <w:szCs w:val="20"/>
                <w:color w:val="auto"/>
              </w:rPr>
            </w:pPr>
            <w:r>
              <w:rPr>
                <w:rFonts w:ascii="Times New Roman" w:cs="Times New Roman" w:eastAsia="Times New Roman" w:hAnsi="Times New Roman"/>
                <w:sz w:val="13"/>
                <w:szCs w:val="13"/>
                <w:color w:val="auto"/>
                <w:w w:val="97"/>
              </w:rPr>
              <w:t>March 3, 2023</w:t>
            </w:r>
          </w:p>
        </w:tc>
      </w:tr>
      <w:tr>
        <w:trPr>
          <w:trHeight w:val="318"/>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333-231461</w:t>
            </w: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4.1</w:t>
            </w:r>
          </w:p>
        </w:tc>
        <w:tc>
          <w:tcPr>
            <w:tcW w:w="1140" w:type="dxa"/>
            <w:vAlign w:val="bottom"/>
          </w:tcPr>
          <w:p>
            <w:pPr>
              <w:jc w:val="center"/>
              <w:ind w:left="336"/>
              <w:spacing w:after="0"/>
              <w:rPr>
                <w:sz w:val="20"/>
                <w:szCs w:val="20"/>
                <w:color w:val="auto"/>
              </w:rPr>
            </w:pPr>
            <w:r>
              <w:rPr>
                <w:rFonts w:ascii="Times New Roman" w:cs="Times New Roman" w:eastAsia="Times New Roman" w:hAnsi="Times New Roman"/>
                <w:sz w:val="13"/>
                <w:szCs w:val="13"/>
                <w:color w:val="auto"/>
                <w:w w:val="96"/>
              </w:rPr>
              <w:t>May 14, 2019</w:t>
            </w:r>
          </w:p>
        </w:tc>
      </w:tr>
      <w:tr>
        <w:trPr>
          <w:trHeight w:val="361"/>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333-231461</w:t>
            </w: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4.2</w:t>
            </w:r>
          </w:p>
        </w:tc>
        <w:tc>
          <w:tcPr>
            <w:tcW w:w="1140" w:type="dxa"/>
            <w:vAlign w:val="bottom"/>
          </w:tcPr>
          <w:p>
            <w:pPr>
              <w:jc w:val="center"/>
              <w:ind w:left="336"/>
              <w:spacing w:after="0"/>
              <w:rPr>
                <w:sz w:val="20"/>
                <w:szCs w:val="20"/>
                <w:color w:val="auto"/>
              </w:rPr>
            </w:pPr>
            <w:r>
              <w:rPr>
                <w:rFonts w:ascii="Times New Roman" w:cs="Times New Roman" w:eastAsia="Times New Roman" w:hAnsi="Times New Roman"/>
                <w:sz w:val="13"/>
                <w:szCs w:val="13"/>
                <w:color w:val="auto"/>
                <w:w w:val="96"/>
              </w:rPr>
              <w:t>May 14, 2019</w:t>
            </w:r>
          </w:p>
        </w:tc>
      </w:tr>
    </w:tbl>
    <w:p>
      <w:pPr>
        <w:spacing w:after="0" w:line="67" w:lineRule="exact"/>
        <w:rPr>
          <w:sz w:val="20"/>
          <w:szCs w:val="20"/>
          <w:color w:val="auto"/>
        </w:rPr>
      </w:pPr>
    </w:p>
    <w:p>
      <w:pPr>
        <w:sectPr>
          <w:pgSz w:w="11900" w:h="16838" w:orient="portrait"/>
          <w:cols w:equalWidth="0" w:num="3">
            <w:col w:w="600" w:space="520"/>
            <w:col w:w="4740" w:space="380"/>
            <w:col w:w="4980"/>
          </w:cols>
          <w:pgMar w:left="300" w:top="125" w:right="379" w:bottom="1440" w:gutter="0" w:footer="0" w:header="0"/>
          <w:type w:val="continuous"/>
        </w:sectPr>
      </w:pPr>
    </w:p>
    <w:p>
      <w:pPr>
        <w:ind w:left="440"/>
        <w:spacing w:after="0"/>
        <w:rPr>
          <w:rFonts w:ascii="Times New Roman" w:cs="Times New Roman" w:eastAsia="Times New Roman" w:hAnsi="Times New Roman"/>
          <w:sz w:val="13"/>
          <w:szCs w:val="13"/>
          <w:u w:val="single" w:color="auto"/>
          <w:color w:val="0000FF"/>
        </w:rPr>
      </w:pPr>
      <w:hyperlink r:id="rId183">
        <w:r>
          <w:rPr>
            <w:rFonts w:ascii="Times New Roman" w:cs="Times New Roman" w:eastAsia="Times New Roman" w:hAnsi="Times New Roman"/>
            <w:sz w:val="13"/>
            <w:szCs w:val="13"/>
            <w:u w:val="single" w:color="auto"/>
            <w:color w:val="0000FF"/>
          </w:rPr>
          <w:t>4.3</w:t>
        </w:r>
      </w:hyperlink>
    </w:p>
    <w:p>
      <w:pPr>
        <w:spacing w:after="0" w:line="20" w:lineRule="exact"/>
        <w:rPr>
          <w:sz w:val="20"/>
          <w:szCs w:val="20"/>
          <w:color w:val="auto"/>
        </w:rPr>
      </w:pPr>
    </w:p>
    <w:p>
      <w:pPr>
        <w:ind w:left="440"/>
        <w:spacing w:after="0"/>
        <w:rPr>
          <w:rFonts w:ascii="Times New Roman" w:cs="Times New Roman" w:eastAsia="Times New Roman" w:hAnsi="Times New Roman"/>
          <w:sz w:val="13"/>
          <w:szCs w:val="13"/>
          <w:u w:val="single" w:color="auto"/>
          <w:color w:val="0000FF"/>
        </w:rPr>
      </w:pPr>
      <w:hyperlink r:id="rId184">
        <w:r>
          <w:rPr>
            <w:rFonts w:ascii="Times New Roman" w:cs="Times New Roman" w:eastAsia="Times New Roman" w:hAnsi="Times New Roman"/>
            <w:sz w:val="13"/>
            <w:szCs w:val="13"/>
            <w:u w:val="single" w:color="auto"/>
            <w:color w:val="0000FF"/>
          </w:rPr>
          <w:t>4.4</w:t>
        </w:r>
      </w:hyperlink>
    </w:p>
    <w:p>
      <w:pPr>
        <w:spacing w:after="0" w:line="105" w:lineRule="exact"/>
        <w:rPr>
          <w:sz w:val="20"/>
          <w:szCs w:val="20"/>
          <w:color w:val="auto"/>
        </w:rPr>
      </w:pPr>
    </w:p>
    <w:p>
      <w:pPr>
        <w:ind w:left="440"/>
        <w:spacing w:after="0"/>
        <w:rPr>
          <w:rFonts w:ascii="Times New Roman" w:cs="Times New Roman" w:eastAsia="Times New Roman" w:hAnsi="Times New Roman"/>
          <w:sz w:val="13"/>
          <w:szCs w:val="13"/>
          <w:u w:val="single" w:color="auto"/>
          <w:color w:val="0000FF"/>
        </w:rPr>
      </w:pPr>
      <w:hyperlink r:id="rId185">
        <w:r>
          <w:rPr>
            <w:rFonts w:ascii="Times New Roman" w:cs="Times New Roman" w:eastAsia="Times New Roman" w:hAnsi="Times New Roman"/>
            <w:sz w:val="13"/>
            <w:szCs w:val="13"/>
            <w:u w:val="single" w:color="auto"/>
            <w:color w:val="0000FF"/>
          </w:rPr>
          <w:t>4.5</w:t>
        </w:r>
      </w:hyperlink>
    </w:p>
    <w:p>
      <w:pPr>
        <w:spacing w:after="0" w:line="190" w:lineRule="exact"/>
        <w:rPr>
          <w:sz w:val="20"/>
          <w:szCs w:val="20"/>
          <w:color w:val="auto"/>
        </w:rPr>
      </w:pPr>
    </w:p>
    <w:p>
      <w:pPr>
        <w:ind w:left="440"/>
        <w:spacing w:after="0"/>
        <w:rPr>
          <w:rFonts w:ascii="Times New Roman" w:cs="Times New Roman" w:eastAsia="Times New Roman" w:hAnsi="Times New Roman"/>
          <w:sz w:val="13"/>
          <w:szCs w:val="13"/>
          <w:u w:val="single" w:color="auto"/>
          <w:color w:val="0000FF"/>
        </w:rPr>
      </w:pPr>
      <w:hyperlink r:id="rId186">
        <w:r>
          <w:rPr>
            <w:rFonts w:ascii="Times New Roman" w:cs="Times New Roman" w:eastAsia="Times New Roman" w:hAnsi="Times New Roman"/>
            <w:sz w:val="13"/>
            <w:szCs w:val="13"/>
            <w:u w:val="single" w:color="auto"/>
            <w:color w:val="0000FF"/>
          </w:rPr>
          <w:t>4.6</w:t>
        </w:r>
      </w:hyperlink>
    </w:p>
    <w:p>
      <w:pPr>
        <w:spacing w:after="0" w:line="116" w:lineRule="exact"/>
        <w:rPr>
          <w:sz w:val="20"/>
          <w:szCs w:val="20"/>
          <w:color w:val="auto"/>
        </w:rPr>
      </w:pPr>
    </w:p>
    <w:p>
      <w:pPr>
        <w:ind w:left="440"/>
        <w:spacing w:after="0"/>
        <w:rPr>
          <w:rFonts w:ascii="Times New Roman" w:cs="Times New Roman" w:eastAsia="Times New Roman" w:hAnsi="Times New Roman"/>
          <w:sz w:val="13"/>
          <w:szCs w:val="13"/>
          <w:u w:val="single" w:color="auto"/>
          <w:color w:val="0000FF"/>
        </w:rPr>
      </w:pPr>
      <w:hyperlink r:id="rId186">
        <w:r>
          <w:rPr>
            <w:rFonts w:ascii="Times New Roman" w:cs="Times New Roman" w:eastAsia="Times New Roman" w:hAnsi="Times New Roman"/>
            <w:sz w:val="13"/>
            <w:szCs w:val="13"/>
            <w:u w:val="single" w:color="auto"/>
            <w:color w:val="0000FF"/>
          </w:rPr>
          <w:t>4.7</w:t>
        </w:r>
      </w:hyperlink>
    </w:p>
    <w:p>
      <w:pPr>
        <w:spacing w:after="0" w:line="95" w:lineRule="exact"/>
        <w:rPr>
          <w:sz w:val="20"/>
          <w:szCs w:val="20"/>
          <w:color w:val="auto"/>
        </w:rPr>
      </w:pPr>
    </w:p>
    <w:p>
      <w:pPr>
        <w:ind w:left="380"/>
        <w:spacing w:after="0"/>
        <w:rPr>
          <w:rFonts w:ascii="Times New Roman" w:cs="Times New Roman" w:eastAsia="Times New Roman" w:hAnsi="Times New Roman"/>
          <w:sz w:val="12"/>
          <w:szCs w:val="12"/>
          <w:u w:val="single" w:color="auto"/>
          <w:color w:val="0000FF"/>
        </w:rPr>
      </w:pPr>
      <w:hyperlink r:id="rId187">
        <w:r>
          <w:rPr>
            <w:rFonts w:ascii="Times New Roman" w:cs="Times New Roman" w:eastAsia="Times New Roman" w:hAnsi="Times New Roman"/>
            <w:sz w:val="12"/>
            <w:szCs w:val="12"/>
            <w:u w:val="single" w:color="auto"/>
            <w:color w:val="0000FF"/>
          </w:rPr>
          <w:t>10.1†</w:t>
        </w:r>
      </w:hyperlink>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3"/>
          <w:szCs w:val="13"/>
          <w:u w:val="single" w:color="auto"/>
          <w:color w:val="0000FF"/>
        </w:rPr>
      </w:pPr>
      <w:hyperlink r:id="rId183">
        <w:r>
          <w:rPr>
            <w:rFonts w:ascii="Times New Roman" w:cs="Times New Roman" w:eastAsia="Times New Roman" w:hAnsi="Times New Roman"/>
            <w:sz w:val="13"/>
            <w:szCs w:val="13"/>
            <w:u w:val="single" w:color="auto"/>
            <w:color w:val="0000FF"/>
          </w:rPr>
          <w:t>Class A common stock certificate of the Registrant.</w:t>
        </w:r>
      </w:hyperlink>
    </w:p>
    <w:p>
      <w:pPr>
        <w:spacing w:after="0" w:line="20"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84">
        <w:r>
          <w:rPr>
            <w:rFonts w:ascii="Times New Roman" w:cs="Times New Roman" w:eastAsia="Times New Roman" w:hAnsi="Times New Roman"/>
            <w:sz w:val="13"/>
            <w:szCs w:val="13"/>
            <w:u w:val="single" w:color="auto"/>
            <w:color w:val="0000FF"/>
          </w:rPr>
          <w:t>Description of Registrant’s securities.</w:t>
        </w:r>
      </w:hyperlink>
    </w:p>
    <w:p>
      <w:pPr>
        <w:spacing w:after="0" w:line="20" w:lineRule="exact"/>
        <w:rPr>
          <w:sz w:val="20"/>
          <w:szCs w:val="20"/>
          <w:color w:val="auto"/>
        </w:rPr>
      </w:pPr>
    </w:p>
    <w:p>
      <w:pPr>
        <w:ind w:right="20"/>
        <w:spacing w:after="0" w:line="264" w:lineRule="auto"/>
        <w:rPr>
          <w:rFonts w:ascii="Times New Roman" w:cs="Times New Roman" w:eastAsia="Times New Roman" w:hAnsi="Times New Roman"/>
          <w:sz w:val="13"/>
          <w:szCs w:val="13"/>
          <w:u w:val="single" w:color="auto"/>
          <w:color w:val="0000FF"/>
        </w:rPr>
      </w:pPr>
      <w:hyperlink r:id="rId185">
        <w:r>
          <w:rPr>
            <w:rFonts w:ascii="Times New Roman" w:cs="Times New Roman" w:eastAsia="Times New Roman" w:hAnsi="Times New Roman"/>
            <w:sz w:val="13"/>
            <w:szCs w:val="13"/>
            <w:u w:val="single" w:color="auto"/>
            <w:color w:val="0000FF"/>
          </w:rPr>
          <w:t>Indenture dated as of January 20, 2021, between CrowdStrike Holdings, Inc. and U.S. Bank</w:t>
        </w:r>
      </w:hyperlink>
      <w:r>
        <w:rPr>
          <w:rFonts w:ascii="Times New Roman" w:cs="Times New Roman" w:eastAsia="Times New Roman" w:hAnsi="Times New Roman"/>
          <w:sz w:val="13"/>
          <w:szCs w:val="13"/>
          <w:u w:val="single" w:color="auto"/>
          <w:color w:val="0000FF"/>
        </w:rPr>
        <w:t xml:space="preserve"> </w:t>
      </w:r>
      <w:hyperlink r:id="rId185">
        <w:r>
          <w:rPr>
            <w:rFonts w:ascii="Times New Roman" w:cs="Times New Roman" w:eastAsia="Times New Roman" w:hAnsi="Times New Roman"/>
            <w:sz w:val="13"/>
            <w:szCs w:val="13"/>
            <w:u w:val="single" w:color="auto"/>
            <w:color w:val="0000FF"/>
          </w:rPr>
          <w:t>National Association, as trustee</w:t>
        </w:r>
      </w:hyperlink>
    </w:p>
    <w:p>
      <w:pPr>
        <w:spacing w:after="0" w:line="11" w:lineRule="exact"/>
        <w:rPr>
          <w:sz w:val="20"/>
          <w:szCs w:val="20"/>
          <w:color w:val="auto"/>
        </w:rPr>
      </w:pPr>
    </w:p>
    <w:p>
      <w:pPr>
        <w:spacing w:after="0" w:line="264" w:lineRule="auto"/>
        <w:rPr>
          <w:rFonts w:ascii="Times New Roman" w:cs="Times New Roman" w:eastAsia="Times New Roman" w:hAnsi="Times New Roman"/>
          <w:sz w:val="13"/>
          <w:szCs w:val="13"/>
          <w:u w:val="single" w:color="auto"/>
          <w:color w:val="0000FF"/>
        </w:rPr>
      </w:pPr>
      <w:hyperlink r:id="rId186">
        <w:r>
          <w:rPr>
            <w:rFonts w:ascii="Times New Roman" w:cs="Times New Roman" w:eastAsia="Times New Roman" w:hAnsi="Times New Roman"/>
            <w:sz w:val="13"/>
            <w:szCs w:val="13"/>
            <w:u w:val="single" w:color="auto"/>
            <w:color w:val="0000FF"/>
          </w:rPr>
          <w:t>First Supplemental Indenture, dated as of January 20, 2021, between CrowdStrike Holdings,</w:t>
        </w:r>
      </w:hyperlink>
      <w:r>
        <w:rPr>
          <w:rFonts w:ascii="Times New Roman" w:cs="Times New Roman" w:eastAsia="Times New Roman" w:hAnsi="Times New Roman"/>
          <w:sz w:val="13"/>
          <w:szCs w:val="13"/>
          <w:u w:val="single" w:color="auto"/>
          <w:color w:val="0000FF"/>
        </w:rPr>
        <w:t xml:space="preserve"> </w:t>
      </w:r>
      <w:hyperlink r:id="rId186">
        <w:r>
          <w:rPr>
            <w:rFonts w:ascii="Times New Roman" w:cs="Times New Roman" w:eastAsia="Times New Roman" w:hAnsi="Times New Roman"/>
            <w:sz w:val="13"/>
            <w:szCs w:val="13"/>
            <w:u w:val="single" w:color="auto"/>
            <w:color w:val="0000FF"/>
          </w:rPr>
          <w:t>Inc. and U.S. Bank National Association, as trustee</w:t>
        </w:r>
      </w:hyperlink>
    </w:p>
    <w:p>
      <w:pPr>
        <w:spacing w:after="0" w:line="1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86">
        <w:r>
          <w:rPr>
            <w:rFonts w:ascii="Times New Roman" w:cs="Times New Roman" w:eastAsia="Times New Roman" w:hAnsi="Times New Roman"/>
            <w:sz w:val="13"/>
            <w:szCs w:val="13"/>
            <w:u w:val="single" w:color="auto"/>
            <w:color w:val="0000FF"/>
          </w:rPr>
          <w:t>Form of 3.000% Senior Notes due 2029 (included in Exhibit 4.9)</w:t>
        </w:r>
      </w:hyperlink>
    </w:p>
    <w:p>
      <w:pPr>
        <w:spacing w:after="0" w:line="41" w:lineRule="exact"/>
        <w:rPr>
          <w:sz w:val="20"/>
          <w:szCs w:val="20"/>
          <w:color w:val="auto"/>
        </w:rPr>
      </w:pPr>
    </w:p>
    <w:p>
      <w:pPr>
        <w:ind w:right="180"/>
        <w:spacing w:after="0" w:line="235" w:lineRule="auto"/>
        <w:rPr>
          <w:rFonts w:ascii="Times New Roman" w:cs="Times New Roman" w:eastAsia="Times New Roman" w:hAnsi="Times New Roman"/>
          <w:sz w:val="13"/>
          <w:szCs w:val="13"/>
          <w:u w:val="single" w:color="auto"/>
          <w:color w:val="0000FF"/>
        </w:rPr>
      </w:pPr>
      <w:hyperlink r:id="rId187">
        <w:r>
          <w:rPr>
            <w:rFonts w:ascii="Times New Roman" w:cs="Times New Roman" w:eastAsia="Times New Roman" w:hAnsi="Times New Roman"/>
            <w:sz w:val="13"/>
            <w:szCs w:val="13"/>
            <w:u w:val="single" w:color="auto"/>
            <w:color w:val="0000FF"/>
          </w:rPr>
          <w:t>Form of Indemnification Agreement between the Registrant and each of its directors and</w:t>
        </w:r>
      </w:hyperlink>
      <w:r>
        <w:rPr>
          <w:rFonts w:ascii="Times New Roman" w:cs="Times New Roman" w:eastAsia="Times New Roman" w:hAnsi="Times New Roman"/>
          <w:sz w:val="13"/>
          <w:szCs w:val="13"/>
          <w:u w:val="single" w:color="auto"/>
          <w:color w:val="0000FF"/>
        </w:rPr>
        <w:t xml:space="preserve"> </w:t>
      </w:r>
      <w:hyperlink r:id="rId187">
        <w:r>
          <w:rPr>
            <w:rFonts w:ascii="Times New Roman" w:cs="Times New Roman" w:eastAsia="Times New Roman" w:hAnsi="Times New Roman"/>
            <w:sz w:val="13"/>
            <w:szCs w:val="13"/>
            <w:u w:val="single" w:color="auto"/>
            <w:color w:val="0000FF"/>
          </w:rPr>
          <w:t>executive officers.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6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6"/>
              </w:rPr>
              <w:t>S-1/A</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333-231461</w:t>
            </w: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4.3</w:t>
            </w:r>
          </w:p>
        </w:tc>
        <w:tc>
          <w:tcPr>
            <w:tcW w:w="120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6"/>
              </w:rPr>
              <w:t>May 29, 2019</w:t>
            </w:r>
          </w:p>
        </w:tc>
      </w:tr>
      <w:tr>
        <w:trPr>
          <w:trHeight w:val="170"/>
        </w:trPr>
        <w:tc>
          <w:tcPr>
            <w:tcW w:w="56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4.4</w:t>
            </w:r>
          </w:p>
        </w:tc>
        <w:tc>
          <w:tcPr>
            <w:tcW w:w="120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9"/>
              </w:rPr>
              <w:t>March 23, 2020</w:t>
            </w:r>
          </w:p>
        </w:tc>
      </w:tr>
      <w:tr>
        <w:trPr>
          <w:trHeight w:val="255"/>
        </w:trPr>
        <w:tc>
          <w:tcPr>
            <w:tcW w:w="56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4.1</w:t>
            </w:r>
          </w:p>
        </w:tc>
        <w:tc>
          <w:tcPr>
            <w:tcW w:w="120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20, 2021</w:t>
            </w:r>
          </w:p>
        </w:tc>
      </w:tr>
      <w:tr>
        <w:trPr>
          <w:trHeight w:val="340"/>
        </w:trPr>
        <w:tc>
          <w:tcPr>
            <w:tcW w:w="56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4.2</w:t>
            </w:r>
          </w:p>
        </w:tc>
        <w:tc>
          <w:tcPr>
            <w:tcW w:w="120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20, 2021</w:t>
            </w:r>
          </w:p>
        </w:tc>
      </w:tr>
      <w:tr>
        <w:trPr>
          <w:trHeight w:val="265"/>
        </w:trPr>
        <w:tc>
          <w:tcPr>
            <w:tcW w:w="56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4.2</w:t>
            </w:r>
          </w:p>
        </w:tc>
        <w:tc>
          <w:tcPr>
            <w:tcW w:w="120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20, 2021</w:t>
            </w:r>
          </w:p>
        </w:tc>
      </w:tr>
      <w:tr>
        <w:trPr>
          <w:trHeight w:val="244"/>
        </w:trPr>
        <w:tc>
          <w:tcPr>
            <w:tcW w:w="56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9"/>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333-231461</w:t>
            </w: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rPr>
              <w:t>10.1</w:t>
            </w:r>
          </w:p>
        </w:tc>
        <w:tc>
          <w:tcPr>
            <w:tcW w:w="120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6"/>
              </w:rPr>
              <w:t>May 14, 2019</w:t>
            </w:r>
          </w:p>
        </w:tc>
      </w:tr>
    </w:tbl>
    <w:p>
      <w:pPr>
        <w:spacing w:after="0" w:line="67" w:lineRule="exact"/>
        <w:rPr>
          <w:sz w:val="20"/>
          <w:szCs w:val="20"/>
          <w:color w:val="auto"/>
        </w:rPr>
      </w:pPr>
    </w:p>
    <w:p>
      <w:pPr>
        <w:sectPr>
          <w:pgSz w:w="11900" w:h="16838" w:orient="portrait"/>
          <w:cols w:equalWidth="0" w:num="3">
            <w:col w:w="660" w:space="460"/>
            <w:col w:w="4700" w:space="360"/>
            <w:col w:w="5040"/>
          </w:cols>
          <w:pgMar w:left="300" w:top="125" w:right="379" w:bottom="1440" w:gutter="0" w:footer="0" w:header="0"/>
          <w:type w:val="continuous"/>
        </w:sectPr>
      </w:pPr>
    </w:p>
    <w:p>
      <w:pPr>
        <w:ind w:left="380"/>
        <w:spacing w:after="0"/>
        <w:rPr>
          <w:rFonts w:ascii="Times New Roman" w:cs="Times New Roman" w:eastAsia="Times New Roman" w:hAnsi="Times New Roman"/>
          <w:sz w:val="12"/>
          <w:szCs w:val="12"/>
          <w:u w:val="single" w:color="auto"/>
          <w:color w:val="0000FF"/>
        </w:rPr>
      </w:pPr>
      <w:hyperlink r:id="rId188">
        <w:r>
          <w:rPr>
            <w:rFonts w:ascii="Times New Roman" w:cs="Times New Roman" w:eastAsia="Times New Roman" w:hAnsi="Times New Roman"/>
            <w:sz w:val="12"/>
            <w:szCs w:val="12"/>
            <w:u w:val="single" w:color="auto"/>
            <w:color w:val="0000FF"/>
          </w:rPr>
          <w:t>10.2†</w:t>
        </w:r>
      </w:hyperlink>
    </w:p>
    <w:p>
      <w:pPr>
        <w:spacing w:after="0" w:line="95" w:lineRule="exact"/>
        <w:rPr>
          <w:sz w:val="20"/>
          <w:szCs w:val="20"/>
          <w:color w:val="auto"/>
        </w:rPr>
      </w:pPr>
    </w:p>
    <w:p>
      <w:pPr>
        <w:ind w:left="380"/>
        <w:spacing w:after="0"/>
        <w:rPr>
          <w:rFonts w:ascii="Times New Roman" w:cs="Times New Roman" w:eastAsia="Times New Roman" w:hAnsi="Times New Roman"/>
          <w:sz w:val="12"/>
          <w:szCs w:val="12"/>
          <w:u w:val="single" w:color="auto"/>
          <w:color w:val="0000FF"/>
        </w:rPr>
      </w:pPr>
      <w:hyperlink r:id="rId189">
        <w:r>
          <w:rPr>
            <w:rFonts w:ascii="Times New Roman" w:cs="Times New Roman" w:eastAsia="Times New Roman" w:hAnsi="Times New Roman"/>
            <w:sz w:val="12"/>
            <w:szCs w:val="12"/>
            <w:u w:val="single" w:color="auto"/>
            <w:color w:val="0000FF"/>
          </w:rPr>
          <w:t>10.3†</w:t>
        </w:r>
      </w:hyperlink>
    </w:p>
    <w:p>
      <w:pPr>
        <w:spacing w:after="0" w:line="159" w:lineRule="exact"/>
        <w:rPr>
          <w:sz w:val="20"/>
          <w:szCs w:val="20"/>
          <w:color w:val="auto"/>
        </w:rPr>
      </w:pPr>
    </w:p>
    <w:p>
      <w:pPr>
        <w:ind w:left="380"/>
        <w:spacing w:after="0"/>
        <w:rPr>
          <w:rFonts w:ascii="Times New Roman" w:cs="Times New Roman" w:eastAsia="Times New Roman" w:hAnsi="Times New Roman"/>
          <w:sz w:val="12"/>
          <w:szCs w:val="12"/>
          <w:u w:val="single" w:color="auto"/>
          <w:color w:val="0000FF"/>
        </w:rPr>
      </w:pPr>
      <w:hyperlink r:id="rId190">
        <w:r>
          <w:rPr>
            <w:rFonts w:ascii="Times New Roman" w:cs="Times New Roman" w:eastAsia="Times New Roman" w:hAnsi="Times New Roman"/>
            <w:sz w:val="12"/>
            <w:szCs w:val="12"/>
            <w:u w:val="single" w:color="auto"/>
            <w:color w:val="0000FF"/>
          </w:rPr>
          <w:t>10.4†</w:t>
        </w:r>
      </w:hyperlink>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3"/>
          <w:szCs w:val="13"/>
          <w:u w:val="single" w:color="auto"/>
          <w:color w:val="0000FF"/>
        </w:rPr>
      </w:pPr>
      <w:hyperlink r:id="rId188">
        <w:r>
          <w:rPr>
            <w:rFonts w:ascii="Times New Roman" w:cs="Times New Roman" w:eastAsia="Times New Roman" w:hAnsi="Times New Roman"/>
            <w:sz w:val="13"/>
            <w:szCs w:val="13"/>
            <w:u w:val="single" w:color="auto"/>
            <w:color w:val="0000FF"/>
          </w:rPr>
          <w:t>2019 Equity Incentive Plan and related form agreement.</w:t>
        </w:r>
      </w:hyperlink>
    </w:p>
    <w:p>
      <w:pPr>
        <w:spacing w:after="0" w:line="20" w:lineRule="exact"/>
        <w:rPr>
          <w:sz w:val="20"/>
          <w:szCs w:val="20"/>
          <w:color w:val="auto"/>
        </w:rPr>
      </w:pPr>
    </w:p>
    <w:p>
      <w:pPr>
        <w:spacing w:after="0" w:line="235" w:lineRule="auto"/>
        <w:rPr>
          <w:rFonts w:ascii="Times New Roman" w:cs="Times New Roman" w:eastAsia="Times New Roman" w:hAnsi="Times New Roman"/>
          <w:sz w:val="13"/>
          <w:szCs w:val="13"/>
          <w:u w:val="single" w:color="auto"/>
          <w:color w:val="0000FF"/>
        </w:rPr>
      </w:pPr>
      <w:hyperlink r:id="rId189">
        <w:r>
          <w:rPr>
            <w:rFonts w:ascii="Times New Roman" w:cs="Times New Roman" w:eastAsia="Times New Roman" w:hAnsi="Times New Roman"/>
            <w:sz w:val="13"/>
            <w:szCs w:val="13"/>
            <w:u w:val="single" w:color="auto"/>
            <w:color w:val="0000FF"/>
          </w:rPr>
          <w:t>Form of Global Restricted Stock Unit Agreement Outside Directors – Annual Grant under the</w:t>
        </w:r>
      </w:hyperlink>
      <w:r>
        <w:rPr>
          <w:rFonts w:ascii="Times New Roman" w:cs="Times New Roman" w:eastAsia="Times New Roman" w:hAnsi="Times New Roman"/>
          <w:sz w:val="13"/>
          <w:szCs w:val="13"/>
          <w:u w:val="single" w:color="auto"/>
          <w:color w:val="0000FF"/>
        </w:rPr>
        <w:t xml:space="preserve"> </w:t>
      </w:r>
      <w:hyperlink r:id="rId189">
        <w:r>
          <w:rPr>
            <w:rFonts w:ascii="Times New Roman" w:cs="Times New Roman" w:eastAsia="Times New Roman" w:hAnsi="Times New Roman"/>
            <w:sz w:val="13"/>
            <w:szCs w:val="13"/>
            <w:u w:val="single" w:color="auto"/>
            <w:color w:val="0000FF"/>
          </w:rPr>
          <w:t>Company’s 2019 Equity Incentive Plan</w:t>
        </w:r>
      </w:hyperlink>
    </w:p>
    <w:p>
      <w:pPr>
        <w:spacing w:after="0" w:line="4" w:lineRule="exact"/>
        <w:rPr>
          <w:sz w:val="20"/>
          <w:szCs w:val="20"/>
          <w:color w:val="auto"/>
        </w:rPr>
      </w:pPr>
    </w:p>
    <w:p>
      <w:pPr>
        <w:ind w:right="60"/>
        <w:spacing w:after="0" w:line="235" w:lineRule="auto"/>
        <w:rPr>
          <w:rFonts w:ascii="Times New Roman" w:cs="Times New Roman" w:eastAsia="Times New Roman" w:hAnsi="Times New Roman"/>
          <w:sz w:val="13"/>
          <w:szCs w:val="13"/>
          <w:u w:val="single" w:color="auto"/>
          <w:color w:val="0000FF"/>
        </w:rPr>
      </w:pPr>
      <w:hyperlink r:id="rId190">
        <w:r>
          <w:rPr>
            <w:rFonts w:ascii="Times New Roman" w:cs="Times New Roman" w:eastAsia="Times New Roman" w:hAnsi="Times New Roman"/>
            <w:sz w:val="13"/>
            <w:szCs w:val="13"/>
            <w:u w:val="single" w:color="auto"/>
            <w:color w:val="0000FF"/>
          </w:rPr>
          <w:t>Form of Global Restricted Stock Unit Agreement Outside Directors – Initial Grant under the</w:t>
        </w:r>
      </w:hyperlink>
      <w:r>
        <w:rPr>
          <w:rFonts w:ascii="Times New Roman" w:cs="Times New Roman" w:eastAsia="Times New Roman" w:hAnsi="Times New Roman"/>
          <w:sz w:val="13"/>
          <w:szCs w:val="13"/>
          <w:u w:val="single" w:color="auto"/>
          <w:color w:val="0000FF"/>
        </w:rPr>
        <w:t xml:space="preserve"> </w:t>
      </w:r>
      <w:hyperlink r:id="rId190">
        <w:r>
          <w:rPr>
            <w:rFonts w:ascii="Times New Roman" w:cs="Times New Roman" w:eastAsia="Times New Roman" w:hAnsi="Times New Roman"/>
            <w:sz w:val="13"/>
            <w:szCs w:val="13"/>
            <w:u w:val="single" w:color="auto"/>
            <w:color w:val="0000FF"/>
          </w:rPr>
          <w:t>Company’s 2019 Equity Incentive Plan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6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6"/>
              </w:rPr>
              <w:t>S-1/A</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333-231461</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10.2</w:t>
            </w:r>
          </w:p>
        </w:tc>
        <w:tc>
          <w:tcPr>
            <w:tcW w:w="128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6"/>
              </w:rPr>
              <w:t>May 29, 2019</w:t>
            </w:r>
          </w:p>
        </w:tc>
      </w:tr>
      <w:tr>
        <w:trPr>
          <w:trHeight w:val="233"/>
        </w:trPr>
        <w:tc>
          <w:tcPr>
            <w:tcW w:w="56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10.1</w:t>
            </w:r>
          </w:p>
        </w:tc>
        <w:tc>
          <w:tcPr>
            <w:tcW w:w="128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September 3, 2020</w:t>
            </w:r>
          </w:p>
        </w:tc>
      </w:tr>
      <w:tr>
        <w:trPr>
          <w:trHeight w:val="297"/>
        </w:trPr>
        <w:tc>
          <w:tcPr>
            <w:tcW w:w="56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10.4</w:t>
            </w:r>
          </w:p>
        </w:tc>
        <w:tc>
          <w:tcPr>
            <w:tcW w:w="128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9"/>
              </w:rPr>
              <w:t>March 18, 2021</w:t>
            </w:r>
          </w:p>
        </w:tc>
      </w:tr>
    </w:tbl>
    <w:p>
      <w:pPr>
        <w:spacing w:after="0" w:line="64" w:lineRule="exact"/>
        <w:rPr>
          <w:sz w:val="20"/>
          <w:szCs w:val="20"/>
          <w:color w:val="auto"/>
        </w:rPr>
      </w:pPr>
    </w:p>
    <w:p>
      <w:pPr>
        <w:sectPr>
          <w:pgSz w:w="11900" w:h="16838" w:orient="portrait"/>
          <w:cols w:equalWidth="0" w:num="3">
            <w:col w:w="660" w:space="460"/>
            <w:col w:w="4780" w:space="280"/>
            <w:col w:w="5040"/>
          </w:cols>
          <w:pgMar w:left="300" w:top="125" w:right="379" w:bottom="1440" w:gutter="0" w:footer="0" w:header="0"/>
          <w:type w:val="continuous"/>
        </w:sectPr>
      </w:pPr>
    </w:p>
    <w:tbl>
      <w:tblPr>
        <w:tblLayout w:type="fixed"/>
        <w:tblInd w:w="340" w:type="dxa"/>
        <w:tblCellMar>
          <w:top w:w="0" w:type="dxa"/>
          <w:left w:w="0" w:type="dxa"/>
          <w:bottom w:w="0" w:type="dxa"/>
          <w:right w:w="0" w:type="dxa"/>
        </w:tblCellMar>
      </w:tblPr>
      <w:tr>
        <w:trPr>
          <w:trHeight w:val="142"/>
        </w:trPr>
        <w:tc>
          <w:tcPr>
            <w:tcW w:w="40" w:type="dxa"/>
            <w:vAlign w:val="bottom"/>
          </w:tcPr>
          <w:p>
            <w:pPr>
              <w:spacing w:after="0"/>
              <w:rPr>
                <w:sz w:val="12"/>
                <w:szCs w:val="12"/>
                <w:color w:val="auto"/>
              </w:rPr>
            </w:pPr>
          </w:p>
        </w:tc>
        <w:tc>
          <w:tcPr>
            <w:tcW w:w="740" w:type="dxa"/>
            <w:vAlign w:val="bottom"/>
            <w:gridSpan w:val="3"/>
          </w:tcPr>
          <w:p>
            <w:pPr>
              <w:jc w:val="center"/>
              <w:ind w:right="460"/>
              <w:spacing w:after="0" w:line="143" w:lineRule="exact"/>
              <w:rPr>
                <w:rFonts w:ascii="Times New Roman" w:cs="Times New Roman" w:eastAsia="Times New Roman" w:hAnsi="Times New Roman"/>
                <w:sz w:val="13"/>
                <w:szCs w:val="13"/>
                <w:color w:val="0000FF"/>
                <w:w w:val="95"/>
              </w:rPr>
            </w:pPr>
            <w:hyperlink r:id="rId191">
              <w:r>
                <w:rPr>
                  <w:rFonts w:ascii="Times New Roman" w:cs="Times New Roman" w:eastAsia="Times New Roman" w:hAnsi="Times New Roman"/>
                  <w:sz w:val="13"/>
                  <w:szCs w:val="13"/>
                  <w:color w:val="0000FF"/>
                  <w:w w:val="95"/>
                </w:rPr>
                <w:t>10.</w:t>
              </w:r>
              <w:r>
                <w:rPr>
                  <w:rFonts w:ascii="Times New Roman" w:cs="Times New Roman" w:eastAsia="Times New Roman" w:hAnsi="Times New Roman"/>
                  <w:sz w:val="13"/>
                  <w:szCs w:val="13"/>
                  <w:u w:val="single" w:color="auto"/>
                  <w:color w:val="0000FF"/>
                  <w:w w:val="95"/>
                </w:rPr>
                <w:t>5†</w:t>
              </w:r>
            </w:hyperlink>
          </w:p>
        </w:tc>
        <w:tc>
          <w:tcPr>
            <w:tcW w:w="4920" w:type="dxa"/>
            <w:vAlign w:val="bottom"/>
            <w:gridSpan w:val="8"/>
          </w:tcPr>
          <w:p>
            <w:pPr>
              <w:spacing w:after="0" w:line="143" w:lineRule="exact"/>
              <w:rPr>
                <w:rFonts w:ascii="Times New Roman" w:cs="Times New Roman" w:eastAsia="Times New Roman" w:hAnsi="Times New Roman"/>
                <w:sz w:val="13"/>
                <w:szCs w:val="13"/>
                <w:color w:val="0000FF"/>
              </w:rPr>
            </w:pPr>
            <w:hyperlink r:id="rId191">
              <w:r>
                <w:rPr>
                  <w:rFonts w:ascii="Times New Roman" w:cs="Times New Roman" w:eastAsia="Times New Roman" w:hAnsi="Times New Roman"/>
                  <w:sz w:val="13"/>
                  <w:szCs w:val="13"/>
                  <w:color w:val="0000FF"/>
                </w:rPr>
                <w:t>CrowdStrike Holdings, Inc. 2019 Equity Incentive Plan Global Performance Unit Agreement</w:t>
              </w:r>
            </w:hyperlink>
          </w:p>
        </w:tc>
        <w:tc>
          <w:tcPr>
            <w:tcW w:w="700" w:type="dxa"/>
            <w:vAlign w:val="bottom"/>
          </w:tcPr>
          <w:p>
            <w:pPr>
              <w:jc w:val="center"/>
              <w:ind w:right="56"/>
              <w:spacing w:after="0" w:line="143" w:lineRule="exact"/>
              <w:rPr>
                <w:sz w:val="20"/>
                <w:szCs w:val="20"/>
                <w:color w:val="auto"/>
              </w:rPr>
            </w:pPr>
            <w:r>
              <w:rPr>
                <w:rFonts w:ascii="Times New Roman" w:cs="Times New Roman" w:eastAsia="Times New Roman" w:hAnsi="Times New Roman"/>
                <w:sz w:val="13"/>
                <w:szCs w:val="13"/>
                <w:color w:val="auto"/>
                <w:w w:val="97"/>
              </w:rPr>
              <w:t>10-Q</w:t>
            </w:r>
          </w:p>
        </w:tc>
        <w:tc>
          <w:tcPr>
            <w:tcW w:w="11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w w:val="99"/>
              </w:rPr>
              <w:t>001-38933</w:t>
            </w:r>
          </w:p>
        </w:tc>
        <w:tc>
          <w:tcPr>
            <w:tcW w:w="800" w:type="dxa"/>
            <w:vAlign w:val="bottom"/>
          </w:tcPr>
          <w:p>
            <w:pPr>
              <w:jc w:val="right"/>
              <w:ind w:right="236"/>
              <w:spacing w:after="0" w:line="143" w:lineRule="exact"/>
              <w:rPr>
                <w:sz w:val="20"/>
                <w:szCs w:val="20"/>
                <w:color w:val="auto"/>
              </w:rPr>
            </w:pPr>
            <w:r>
              <w:rPr>
                <w:rFonts w:ascii="Times New Roman" w:cs="Times New Roman" w:eastAsia="Times New Roman" w:hAnsi="Times New Roman"/>
                <w:sz w:val="13"/>
                <w:szCs w:val="13"/>
                <w:color w:val="auto"/>
              </w:rPr>
              <w:t>10.1</w:t>
            </w:r>
          </w:p>
        </w:tc>
        <w:tc>
          <w:tcPr>
            <w:tcW w:w="1280" w:type="dxa"/>
            <w:vAlign w:val="bottom"/>
          </w:tcPr>
          <w:p>
            <w:pPr>
              <w:jc w:val="center"/>
              <w:ind w:left="256"/>
              <w:spacing w:after="0" w:line="143" w:lineRule="exact"/>
              <w:rPr>
                <w:sz w:val="20"/>
                <w:szCs w:val="20"/>
                <w:color w:val="auto"/>
              </w:rPr>
            </w:pPr>
            <w:r>
              <w:rPr>
                <w:rFonts w:ascii="Times New Roman" w:cs="Times New Roman" w:eastAsia="Times New Roman" w:hAnsi="Times New Roman"/>
                <w:sz w:val="13"/>
                <w:szCs w:val="13"/>
                <w:color w:val="auto"/>
                <w:w w:val="96"/>
              </w:rPr>
              <w:t>June 3, 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740" w:type="dxa"/>
            <w:vAlign w:val="bottom"/>
            <w:gridSpan w:val="3"/>
          </w:tcPr>
          <w:p>
            <w:pPr>
              <w:jc w:val="center"/>
              <w:ind w:right="460"/>
              <w:spacing w:after="0"/>
              <w:rPr>
                <w:rFonts w:ascii="Times New Roman" w:cs="Times New Roman" w:eastAsia="Times New Roman" w:hAnsi="Times New Roman"/>
                <w:sz w:val="13"/>
                <w:szCs w:val="13"/>
                <w:color w:val="0000FF"/>
                <w:w w:val="95"/>
              </w:rPr>
            </w:pPr>
            <w:hyperlink r:id="rId192">
              <w:r>
                <w:rPr>
                  <w:rFonts w:ascii="Times New Roman" w:cs="Times New Roman" w:eastAsia="Times New Roman" w:hAnsi="Times New Roman"/>
                  <w:sz w:val="13"/>
                  <w:szCs w:val="13"/>
                  <w:color w:val="0000FF"/>
                  <w:w w:val="95"/>
                </w:rPr>
                <w:t>10.</w:t>
              </w:r>
              <w:r>
                <w:rPr>
                  <w:rFonts w:ascii="Times New Roman" w:cs="Times New Roman" w:eastAsia="Times New Roman" w:hAnsi="Times New Roman"/>
                  <w:sz w:val="13"/>
                  <w:szCs w:val="13"/>
                  <w:u w:val="single" w:color="auto"/>
                  <w:color w:val="0000FF"/>
                  <w:w w:val="95"/>
                </w:rPr>
                <w:t>6†</w:t>
              </w:r>
            </w:hyperlink>
          </w:p>
        </w:tc>
        <w:tc>
          <w:tcPr>
            <w:tcW w:w="4920" w:type="dxa"/>
            <w:vAlign w:val="bottom"/>
            <w:gridSpan w:val="8"/>
          </w:tcPr>
          <w:p>
            <w:pPr>
              <w:spacing w:after="0"/>
              <w:rPr>
                <w:rFonts w:ascii="Times New Roman" w:cs="Times New Roman" w:eastAsia="Times New Roman" w:hAnsi="Times New Roman"/>
                <w:sz w:val="13"/>
                <w:szCs w:val="13"/>
                <w:color w:val="0000FF"/>
              </w:rPr>
            </w:pPr>
            <w:hyperlink r:id="rId192">
              <w:r>
                <w:rPr>
                  <w:rFonts w:ascii="Times New Roman" w:cs="Times New Roman" w:eastAsia="Times New Roman" w:hAnsi="Times New Roman"/>
                  <w:sz w:val="13"/>
                  <w:szCs w:val="13"/>
                  <w:color w:val="0000FF"/>
                </w:rPr>
                <w:t>Amended and Restated 2011 Stock Incentive Plan and related form agreements.</w:t>
              </w:r>
            </w:hyperlink>
          </w:p>
        </w:tc>
        <w:tc>
          <w:tcPr>
            <w:tcW w:w="70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9"/>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333-231461</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10.4</w:t>
            </w:r>
          </w:p>
        </w:tc>
        <w:tc>
          <w:tcPr>
            <w:tcW w:w="128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6"/>
              </w:rPr>
              <w:t>May 14, 2019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740" w:type="dxa"/>
            <w:vAlign w:val="bottom"/>
            <w:gridSpan w:val="3"/>
          </w:tcPr>
          <w:p>
            <w:pPr>
              <w:jc w:val="center"/>
              <w:ind w:right="460"/>
              <w:spacing w:after="0"/>
              <w:rPr>
                <w:rFonts w:ascii="Times New Roman" w:cs="Times New Roman" w:eastAsia="Times New Roman" w:hAnsi="Times New Roman"/>
                <w:sz w:val="13"/>
                <w:szCs w:val="13"/>
                <w:color w:val="0000FF"/>
                <w:w w:val="95"/>
              </w:rPr>
            </w:pPr>
            <w:hyperlink r:id="rId193">
              <w:r>
                <w:rPr>
                  <w:rFonts w:ascii="Times New Roman" w:cs="Times New Roman" w:eastAsia="Times New Roman" w:hAnsi="Times New Roman"/>
                  <w:sz w:val="13"/>
                  <w:szCs w:val="13"/>
                  <w:color w:val="0000FF"/>
                  <w:w w:val="95"/>
                </w:rPr>
                <w:t>10.</w:t>
              </w:r>
              <w:r>
                <w:rPr>
                  <w:rFonts w:ascii="Times New Roman" w:cs="Times New Roman" w:eastAsia="Times New Roman" w:hAnsi="Times New Roman"/>
                  <w:sz w:val="13"/>
                  <w:szCs w:val="13"/>
                  <w:u w:val="single" w:color="auto"/>
                  <w:color w:val="0000FF"/>
                  <w:w w:val="95"/>
                </w:rPr>
                <w:t>7†</w:t>
              </w:r>
            </w:hyperlink>
          </w:p>
        </w:tc>
        <w:tc>
          <w:tcPr>
            <w:tcW w:w="4920" w:type="dxa"/>
            <w:vAlign w:val="bottom"/>
            <w:gridSpan w:val="8"/>
          </w:tcPr>
          <w:p>
            <w:pPr>
              <w:spacing w:after="0"/>
              <w:rPr>
                <w:rFonts w:ascii="Times New Roman" w:cs="Times New Roman" w:eastAsia="Times New Roman" w:hAnsi="Times New Roman"/>
                <w:sz w:val="13"/>
                <w:szCs w:val="13"/>
                <w:color w:val="0000FF"/>
              </w:rPr>
            </w:pPr>
            <w:hyperlink r:id="rId193">
              <w:r>
                <w:rPr>
                  <w:rFonts w:ascii="Times New Roman" w:cs="Times New Roman" w:eastAsia="Times New Roman" w:hAnsi="Times New Roman"/>
                  <w:sz w:val="13"/>
                  <w:szCs w:val="13"/>
                  <w:color w:val="0000FF"/>
                </w:rPr>
                <w:t>Amended and Restated 2019 Employee Stock Purchase Plan and related form agreements.</w:t>
              </w:r>
            </w:hyperlink>
          </w:p>
        </w:tc>
        <w:tc>
          <w:tcPr>
            <w:tcW w:w="70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10.2</w:t>
            </w:r>
          </w:p>
        </w:tc>
        <w:tc>
          <w:tcPr>
            <w:tcW w:w="128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September 1, 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740" w:type="dxa"/>
            <w:vAlign w:val="bottom"/>
            <w:gridSpan w:val="3"/>
          </w:tcPr>
          <w:p>
            <w:pPr>
              <w:jc w:val="center"/>
              <w:ind w:right="460"/>
              <w:spacing w:after="0"/>
              <w:rPr>
                <w:rFonts w:ascii="Times New Roman" w:cs="Times New Roman" w:eastAsia="Times New Roman" w:hAnsi="Times New Roman"/>
                <w:sz w:val="13"/>
                <w:szCs w:val="13"/>
                <w:color w:val="0000FF"/>
                <w:w w:val="95"/>
              </w:rPr>
            </w:pPr>
            <w:hyperlink r:id="rId194">
              <w:r>
                <w:rPr>
                  <w:rFonts w:ascii="Times New Roman" w:cs="Times New Roman" w:eastAsia="Times New Roman" w:hAnsi="Times New Roman"/>
                  <w:sz w:val="13"/>
                  <w:szCs w:val="13"/>
                  <w:color w:val="0000FF"/>
                  <w:w w:val="95"/>
                </w:rPr>
                <w:t>10.</w:t>
              </w:r>
              <w:r>
                <w:rPr>
                  <w:rFonts w:ascii="Times New Roman" w:cs="Times New Roman" w:eastAsia="Times New Roman" w:hAnsi="Times New Roman"/>
                  <w:sz w:val="13"/>
                  <w:szCs w:val="13"/>
                  <w:u w:val="single" w:color="auto"/>
                  <w:color w:val="0000FF"/>
                  <w:w w:val="95"/>
                </w:rPr>
                <w:t>8†</w:t>
              </w:r>
            </w:hyperlink>
          </w:p>
        </w:tc>
        <w:tc>
          <w:tcPr>
            <w:tcW w:w="4920" w:type="dxa"/>
            <w:vAlign w:val="bottom"/>
            <w:gridSpan w:val="8"/>
          </w:tcPr>
          <w:p>
            <w:pPr>
              <w:spacing w:after="0"/>
              <w:rPr>
                <w:rFonts w:ascii="Times New Roman" w:cs="Times New Roman" w:eastAsia="Times New Roman" w:hAnsi="Times New Roman"/>
                <w:sz w:val="13"/>
                <w:szCs w:val="13"/>
                <w:color w:val="0000FF"/>
              </w:rPr>
            </w:pPr>
            <w:hyperlink r:id="rId194">
              <w:r>
                <w:rPr>
                  <w:rFonts w:ascii="Times New Roman" w:cs="Times New Roman" w:eastAsia="Times New Roman" w:hAnsi="Times New Roman"/>
                  <w:sz w:val="13"/>
                  <w:szCs w:val="13"/>
                  <w:color w:val="0000FF"/>
                </w:rPr>
                <w:t>CrowdStrike Holdings, Inc. Corporate Incentive Plan.</w:t>
              </w:r>
            </w:hyperlink>
          </w:p>
        </w:tc>
        <w:tc>
          <w:tcPr>
            <w:tcW w:w="70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10.1</w:t>
            </w:r>
          </w:p>
        </w:tc>
        <w:tc>
          <w:tcPr>
            <w:tcW w:w="128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June 1, 2023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740" w:type="dxa"/>
            <w:vAlign w:val="bottom"/>
            <w:gridSpan w:val="3"/>
          </w:tcPr>
          <w:p>
            <w:pPr>
              <w:jc w:val="center"/>
              <w:ind w:right="460"/>
              <w:spacing w:after="0"/>
              <w:rPr>
                <w:rFonts w:ascii="Times New Roman" w:cs="Times New Roman" w:eastAsia="Times New Roman" w:hAnsi="Times New Roman"/>
                <w:sz w:val="13"/>
                <w:szCs w:val="13"/>
                <w:color w:val="0000FF"/>
                <w:w w:val="95"/>
              </w:rPr>
            </w:pPr>
            <w:hyperlink r:id="rId195">
              <w:r>
                <w:rPr>
                  <w:rFonts w:ascii="Times New Roman" w:cs="Times New Roman" w:eastAsia="Times New Roman" w:hAnsi="Times New Roman"/>
                  <w:sz w:val="13"/>
                  <w:szCs w:val="13"/>
                  <w:color w:val="0000FF"/>
                  <w:w w:val="95"/>
                </w:rPr>
                <w:t>10.</w:t>
              </w:r>
              <w:r>
                <w:rPr>
                  <w:rFonts w:ascii="Times New Roman" w:cs="Times New Roman" w:eastAsia="Times New Roman" w:hAnsi="Times New Roman"/>
                  <w:sz w:val="13"/>
                  <w:szCs w:val="13"/>
                  <w:u w:val="single" w:color="auto"/>
                  <w:color w:val="0000FF"/>
                  <w:w w:val="95"/>
                </w:rPr>
                <w:t>9†</w:t>
              </w:r>
            </w:hyperlink>
          </w:p>
        </w:tc>
        <w:tc>
          <w:tcPr>
            <w:tcW w:w="4920" w:type="dxa"/>
            <w:vAlign w:val="bottom"/>
            <w:gridSpan w:val="8"/>
          </w:tcPr>
          <w:p>
            <w:pPr>
              <w:spacing w:after="0"/>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Outside Director Compensation Policy, as amended on June 21, 2023.</w:t>
              </w:r>
            </w:hyperlink>
          </w:p>
        </w:tc>
        <w:tc>
          <w:tcPr>
            <w:tcW w:w="70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10.1</w:t>
            </w:r>
          </w:p>
        </w:tc>
        <w:tc>
          <w:tcPr>
            <w:tcW w:w="128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7"/>
              </w:rPr>
              <w:t>August 31, 2023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80" w:type="dxa"/>
            <w:vAlign w:val="bottom"/>
            <w:gridSpan w:val="4"/>
            <w:vMerge w:val="restart"/>
          </w:tcPr>
          <w:p>
            <w:pPr>
              <w:jc w:val="center"/>
              <w:ind w:right="420"/>
              <w:spacing w:after="0"/>
              <w:rPr>
                <w:rFonts w:ascii="Times New Roman" w:cs="Times New Roman" w:eastAsia="Times New Roman" w:hAnsi="Times New Roman"/>
                <w:sz w:val="13"/>
                <w:szCs w:val="13"/>
                <w:color w:val="0000FF"/>
              </w:rPr>
            </w:pPr>
            <w:hyperlink r:id="rId19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10†</w:t>
              </w:r>
            </w:hyperlink>
          </w:p>
        </w:tc>
        <w:tc>
          <w:tcPr>
            <w:tcW w:w="4920" w:type="dxa"/>
            <w:vAlign w:val="bottom"/>
            <w:gridSpan w:val="8"/>
          </w:tcPr>
          <w:p>
            <w:pPr>
              <w:spacing w:after="0"/>
              <w:rPr>
                <w:rFonts w:ascii="Times New Roman" w:cs="Times New Roman" w:eastAsia="Times New Roman" w:hAnsi="Times New Roman"/>
                <w:sz w:val="13"/>
                <w:szCs w:val="13"/>
                <w:color w:val="0000FF"/>
              </w:rPr>
            </w:pPr>
            <w:hyperlink r:id="rId196">
              <w:r>
                <w:rPr>
                  <w:rFonts w:ascii="Times New Roman" w:cs="Times New Roman" w:eastAsia="Times New Roman" w:hAnsi="Times New Roman"/>
                  <w:sz w:val="13"/>
                  <w:szCs w:val="13"/>
                  <w:color w:val="0000FF"/>
                </w:rPr>
                <w:t>Employment Agreement between the Registrant and George Kurtz, dated as of November 18,</w:t>
              </w:r>
            </w:hyperlink>
          </w:p>
        </w:tc>
        <w:tc>
          <w:tcPr>
            <w:tcW w:w="70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color w:val="auto"/>
                <w:w w:val="99"/>
              </w:rPr>
              <w:t>S-1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333-231461</w:t>
            </w:r>
          </w:p>
        </w:tc>
        <w:tc>
          <w:tcPr>
            <w:tcW w:w="80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10.6</w:t>
            </w:r>
          </w:p>
        </w:tc>
        <w:tc>
          <w:tcPr>
            <w:tcW w:w="1280" w:type="dxa"/>
            <w:vAlign w:val="bottom"/>
            <w:vMerge w:val="restart"/>
          </w:tcPr>
          <w:p>
            <w:pPr>
              <w:jc w:val="center"/>
              <w:ind w:left="276"/>
              <w:spacing w:after="0"/>
              <w:rPr>
                <w:sz w:val="20"/>
                <w:szCs w:val="20"/>
                <w:color w:val="auto"/>
              </w:rPr>
            </w:pPr>
            <w:r>
              <w:rPr>
                <w:rFonts w:ascii="Times New Roman" w:cs="Times New Roman" w:eastAsia="Times New Roman" w:hAnsi="Times New Roman"/>
                <w:sz w:val="13"/>
                <w:szCs w:val="13"/>
                <w:color w:val="auto"/>
                <w:w w:val="96"/>
              </w:rPr>
              <w:t>May 14, 2019</w:t>
            </w:r>
          </w:p>
        </w:tc>
        <w:tc>
          <w:tcPr>
            <w:tcW w:w="0" w:type="dxa"/>
            <w:vAlign w:val="bottom"/>
          </w:tcPr>
          <w:p>
            <w:pPr>
              <w:spacing w:after="0"/>
              <w:rPr>
                <w:sz w:val="1"/>
                <w:szCs w:val="1"/>
                <w:color w:val="auto"/>
              </w:rPr>
            </w:pPr>
          </w:p>
        </w:tc>
      </w:tr>
      <w:tr>
        <w:trPr>
          <w:trHeight w:val="44"/>
        </w:trPr>
        <w:tc>
          <w:tcPr>
            <w:tcW w:w="780" w:type="dxa"/>
            <w:vAlign w:val="bottom"/>
            <w:gridSpan w:val="4"/>
            <w:vMerge w:val="continue"/>
          </w:tcPr>
          <w:p>
            <w:pPr>
              <w:spacing w:after="0"/>
              <w:rPr>
                <w:sz w:val="3"/>
                <w:szCs w:val="3"/>
                <w:color w:val="auto"/>
              </w:rPr>
            </w:pPr>
          </w:p>
        </w:tc>
        <w:tc>
          <w:tcPr>
            <w:tcW w:w="2740" w:type="dxa"/>
            <w:vAlign w:val="bottom"/>
            <w:tcBorders>
              <w:top w:val="single" w:sz="8" w:color="0000FF"/>
            </w:tcBorders>
            <w:gridSpan w:val="2"/>
            <w:vMerge w:val="restart"/>
          </w:tcPr>
          <w:p>
            <w:pPr>
              <w:spacing w:after="0" w:line="107" w:lineRule="exact"/>
              <w:rPr>
                <w:rFonts w:ascii="Times New Roman" w:cs="Times New Roman" w:eastAsia="Times New Roman" w:hAnsi="Times New Roman"/>
                <w:sz w:val="12"/>
                <w:szCs w:val="12"/>
                <w:color w:val="0000FF"/>
              </w:rPr>
            </w:pPr>
            <w:hyperlink r:id="rId196">
              <w:r>
                <w:rPr>
                  <w:rFonts w:ascii="Times New Roman" w:cs="Times New Roman" w:eastAsia="Times New Roman" w:hAnsi="Times New Roman"/>
                  <w:sz w:val="12"/>
                  <w:szCs w:val="12"/>
                  <w:color w:val="0000FF"/>
                </w:rPr>
                <w:t>2011.</w:t>
              </w:r>
            </w:hyperlink>
          </w:p>
        </w:tc>
        <w:tc>
          <w:tcPr>
            <w:tcW w:w="8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4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2740" w:type="dxa"/>
            <w:vAlign w:val="bottom"/>
            <w:tcBorders>
              <w:top w:val="single" w:sz="8" w:color="0000FF"/>
            </w:tcBorders>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220"/>
          </w:cols>
          <w:pgMar w:left="300" w:top="125" w:right="379" w:bottom="1440" w:gutter="0" w:footer="0" w:header="0"/>
          <w:type w:val="continuous"/>
        </w:sectPr>
      </w:pPr>
    </w:p>
    <w:tbl>
      <w:tblPr>
        <w:tblLayout w:type="fixed"/>
        <w:tblInd w:w="340" w:type="dxa"/>
        <w:tblCellMar>
          <w:top w:w="0" w:type="dxa"/>
          <w:left w:w="0" w:type="dxa"/>
          <w:bottom w:w="0" w:type="dxa"/>
          <w:right w:w="0" w:type="dxa"/>
        </w:tblCellMar>
      </w:tblPr>
      <w:tr>
        <w:trPr>
          <w:trHeight w:val="149"/>
        </w:trPr>
        <w:tc>
          <w:tcPr>
            <w:tcW w:w="360" w:type="dxa"/>
            <w:vAlign w:val="bottom"/>
            <w:gridSpan w:val="2"/>
          </w:tcPr>
          <w:p>
            <w:pPr>
              <w:jc w:val="center"/>
              <w:spacing w:after="0"/>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11†</w:t>
              </w:r>
            </w:hyperlink>
          </w:p>
        </w:tc>
        <w:tc>
          <w:tcPr>
            <w:tcW w:w="420" w:type="dxa"/>
            <w:vAlign w:val="bottom"/>
          </w:tcPr>
          <w:p>
            <w:pPr>
              <w:spacing w:after="0"/>
              <w:rPr>
                <w:sz w:val="12"/>
                <w:szCs w:val="12"/>
                <w:color w:val="auto"/>
              </w:rPr>
            </w:pPr>
          </w:p>
        </w:tc>
        <w:tc>
          <w:tcPr>
            <w:tcW w:w="4820" w:type="dxa"/>
            <w:vAlign w:val="bottom"/>
            <w:gridSpan w:val="9"/>
          </w:tcPr>
          <w:p>
            <w:pPr>
              <w:spacing w:after="0"/>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Offer Letter between the Registrant and Burt W. Podbere, dated as of August 10, 2015.</w:t>
              </w:r>
            </w:hyperlink>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gridSpan w:val="2"/>
            <w:vMerge w:val="restart"/>
          </w:tcPr>
          <w:p>
            <w:pPr>
              <w:jc w:val="center"/>
              <w:spacing w:after="0"/>
              <w:rPr>
                <w:rFonts w:ascii="Times New Roman" w:cs="Times New Roman" w:eastAsia="Times New Roman" w:hAnsi="Times New Roman"/>
                <w:sz w:val="13"/>
                <w:szCs w:val="13"/>
                <w:color w:val="0000FF"/>
                <w:w w:val="95"/>
              </w:rPr>
            </w:pPr>
            <w:hyperlink r:id="rId198">
              <w:r>
                <w:rPr>
                  <w:rFonts w:ascii="Times New Roman" w:cs="Times New Roman" w:eastAsia="Times New Roman" w:hAnsi="Times New Roman"/>
                  <w:sz w:val="13"/>
                  <w:szCs w:val="13"/>
                  <w:color w:val="0000FF"/>
                  <w:w w:val="95"/>
                </w:rPr>
                <w:t>10.</w:t>
              </w:r>
              <w:r>
                <w:rPr>
                  <w:rFonts w:ascii="Times New Roman" w:cs="Times New Roman" w:eastAsia="Times New Roman" w:hAnsi="Times New Roman"/>
                  <w:sz w:val="13"/>
                  <w:szCs w:val="13"/>
                  <w:u w:val="single" w:color="auto"/>
                  <w:color w:val="0000FF"/>
                  <w:w w:val="95"/>
                </w:rPr>
                <w:t>12</w:t>
              </w:r>
            </w:hyperlink>
          </w:p>
        </w:tc>
        <w:tc>
          <w:tcPr>
            <w:tcW w:w="420" w:type="dxa"/>
            <w:vAlign w:val="bottom"/>
          </w:tcPr>
          <w:p>
            <w:pPr>
              <w:spacing w:after="0"/>
              <w:rPr>
                <w:sz w:val="13"/>
                <w:szCs w:val="13"/>
                <w:color w:val="auto"/>
              </w:rPr>
            </w:pPr>
          </w:p>
        </w:tc>
        <w:tc>
          <w:tcPr>
            <w:tcW w:w="4820" w:type="dxa"/>
            <w:vAlign w:val="bottom"/>
            <w:gridSpan w:val="9"/>
          </w:tcPr>
          <w:p>
            <w:pPr>
              <w:spacing w:after="0"/>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Office Lease Agreement between EQC Capitol Tower Property LLC and CrowdStrike, Inc.,</w:t>
              </w:r>
            </w:hyperlink>
          </w:p>
        </w:tc>
        <w:tc>
          <w:tcPr>
            <w:tcW w:w="0" w:type="dxa"/>
            <w:vAlign w:val="bottom"/>
          </w:tcPr>
          <w:p>
            <w:pPr>
              <w:spacing w:after="0"/>
              <w:rPr>
                <w:sz w:val="1"/>
                <w:szCs w:val="1"/>
                <w:color w:val="auto"/>
              </w:rPr>
            </w:pPr>
          </w:p>
        </w:tc>
      </w:tr>
      <w:tr>
        <w:trPr>
          <w:trHeight w:val="44"/>
        </w:trPr>
        <w:tc>
          <w:tcPr>
            <w:tcW w:w="36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4680" w:type="dxa"/>
            <w:vAlign w:val="bottom"/>
            <w:tcBorders>
              <w:top w:val="single" w:sz="8" w:color="0000FF"/>
            </w:tcBorders>
            <w:gridSpan w:val="5"/>
            <w:vMerge w:val="restart"/>
          </w:tcPr>
          <w:p>
            <w:pPr>
              <w:spacing w:after="0" w:line="107" w:lineRule="exact"/>
              <w:rPr>
                <w:rFonts w:ascii="Times New Roman" w:cs="Times New Roman" w:eastAsia="Times New Roman" w:hAnsi="Times New Roman"/>
                <w:sz w:val="12"/>
                <w:szCs w:val="12"/>
                <w:color w:val="0000FF"/>
              </w:rPr>
            </w:pPr>
            <w:hyperlink r:id="rId198">
              <w:r>
                <w:rPr>
                  <w:rFonts w:ascii="Times New Roman" w:cs="Times New Roman" w:eastAsia="Times New Roman" w:hAnsi="Times New Roman"/>
                  <w:sz w:val="12"/>
                  <w:szCs w:val="12"/>
                  <w:color w:val="0000FF"/>
                </w:rPr>
                <w:t>dated April 20, 2018.</w:t>
              </w:r>
            </w:hyperlink>
          </w:p>
        </w:tc>
        <w:tc>
          <w:tcPr>
            <w:tcW w:w="140" w:type="dxa"/>
            <w:vAlign w:val="bottom"/>
            <w:gridSpan w:val="4"/>
            <w:vMerge w:val="restart"/>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4680" w:type="dxa"/>
            <w:vAlign w:val="bottom"/>
            <w:tcBorders>
              <w:top w:val="single" w:sz="8" w:color="0000FF"/>
            </w:tcBorders>
            <w:gridSpan w:val="5"/>
            <w:vMerge w:val="continue"/>
          </w:tcPr>
          <w:p>
            <w:pPr>
              <w:spacing w:after="0"/>
              <w:rPr>
                <w:sz w:val="3"/>
                <w:szCs w:val="3"/>
                <w:color w:val="auto"/>
              </w:rPr>
            </w:pPr>
          </w:p>
        </w:tc>
        <w:tc>
          <w:tcPr>
            <w:tcW w:w="1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gridSpan w:val="2"/>
            <w:vMerge w:val="restart"/>
          </w:tcPr>
          <w:p>
            <w:pPr>
              <w:jc w:val="center"/>
              <w:spacing w:after="0"/>
              <w:rPr>
                <w:rFonts w:ascii="Times New Roman" w:cs="Times New Roman" w:eastAsia="Times New Roman" w:hAnsi="Times New Roman"/>
                <w:sz w:val="13"/>
                <w:szCs w:val="13"/>
                <w:color w:val="0000FF"/>
                <w:w w:val="95"/>
              </w:rPr>
            </w:pPr>
            <w:hyperlink r:id="rId199">
              <w:r>
                <w:rPr>
                  <w:rFonts w:ascii="Times New Roman" w:cs="Times New Roman" w:eastAsia="Times New Roman" w:hAnsi="Times New Roman"/>
                  <w:sz w:val="13"/>
                  <w:szCs w:val="13"/>
                  <w:color w:val="0000FF"/>
                  <w:w w:val="95"/>
                </w:rPr>
                <w:t>10.</w:t>
              </w:r>
              <w:r>
                <w:rPr>
                  <w:rFonts w:ascii="Times New Roman" w:cs="Times New Roman" w:eastAsia="Times New Roman" w:hAnsi="Times New Roman"/>
                  <w:sz w:val="13"/>
                  <w:szCs w:val="13"/>
                  <w:u w:val="single" w:color="auto"/>
                  <w:color w:val="0000FF"/>
                  <w:w w:val="95"/>
                </w:rPr>
                <w:t>13</w:t>
              </w:r>
            </w:hyperlink>
          </w:p>
        </w:tc>
        <w:tc>
          <w:tcPr>
            <w:tcW w:w="420" w:type="dxa"/>
            <w:vAlign w:val="bottom"/>
          </w:tcPr>
          <w:p>
            <w:pPr>
              <w:spacing w:after="0"/>
              <w:rPr>
                <w:sz w:val="13"/>
                <w:szCs w:val="13"/>
                <w:color w:val="auto"/>
              </w:rPr>
            </w:pPr>
          </w:p>
        </w:tc>
        <w:tc>
          <w:tcPr>
            <w:tcW w:w="478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w w:val="97"/>
              </w:rPr>
            </w:pPr>
            <w:hyperlink r:id="rId199">
              <w:r>
                <w:rPr>
                  <w:rFonts w:ascii="Times New Roman" w:cs="Times New Roman" w:eastAsia="Times New Roman" w:hAnsi="Times New Roman"/>
                  <w:sz w:val="13"/>
                  <w:szCs w:val="13"/>
                  <w:color w:val="0000FF"/>
                  <w:w w:val="97"/>
                </w:rPr>
                <w:t>First Amendment to Office Lease Agreement between EQC Capitol Tower Property LLC and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6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9"/>
            <w:vMerge w:val="restart"/>
          </w:tcPr>
          <w:p>
            <w:pPr>
              <w:spacing w:after="0" w:line="107" w:lineRule="exact"/>
              <w:rPr>
                <w:rFonts w:ascii="Times New Roman" w:cs="Times New Roman" w:eastAsia="Times New Roman" w:hAnsi="Times New Roman"/>
                <w:sz w:val="12"/>
                <w:szCs w:val="12"/>
                <w:color w:val="0000FF"/>
              </w:rPr>
            </w:pPr>
            <w:hyperlink r:id="rId199">
              <w:r>
                <w:rPr>
                  <w:rFonts w:ascii="Times New Roman" w:cs="Times New Roman" w:eastAsia="Times New Roman" w:hAnsi="Times New Roman"/>
                  <w:sz w:val="12"/>
                  <w:szCs w:val="12"/>
                  <w:color w:val="0000FF"/>
                </w:rPr>
                <w:t>CrowdStrike, Inc., dated June 6, 2019.</w:t>
              </w:r>
            </w:hyperlink>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gridSpan w:val="2"/>
            <w:vMerge w:val="restart"/>
          </w:tcPr>
          <w:p>
            <w:pPr>
              <w:jc w:val="center"/>
              <w:spacing w:after="0"/>
              <w:rPr>
                <w:rFonts w:ascii="Times New Roman" w:cs="Times New Roman" w:eastAsia="Times New Roman" w:hAnsi="Times New Roman"/>
                <w:sz w:val="13"/>
                <w:szCs w:val="13"/>
                <w:color w:val="0000FF"/>
                <w:w w:val="95"/>
              </w:rPr>
            </w:pPr>
            <w:hyperlink r:id="rId200">
              <w:r>
                <w:rPr>
                  <w:rFonts w:ascii="Times New Roman" w:cs="Times New Roman" w:eastAsia="Times New Roman" w:hAnsi="Times New Roman"/>
                  <w:sz w:val="13"/>
                  <w:szCs w:val="13"/>
                  <w:color w:val="0000FF"/>
                  <w:w w:val="95"/>
                </w:rPr>
                <w:t>10.</w:t>
              </w:r>
              <w:r>
                <w:rPr>
                  <w:rFonts w:ascii="Times New Roman" w:cs="Times New Roman" w:eastAsia="Times New Roman" w:hAnsi="Times New Roman"/>
                  <w:sz w:val="13"/>
                  <w:szCs w:val="13"/>
                  <w:u w:val="single" w:color="auto"/>
                  <w:color w:val="0000FF"/>
                  <w:w w:val="95"/>
                </w:rPr>
                <w:t>14</w:t>
              </w:r>
            </w:hyperlink>
          </w:p>
        </w:tc>
        <w:tc>
          <w:tcPr>
            <w:tcW w:w="420" w:type="dxa"/>
            <w:vAlign w:val="bottom"/>
          </w:tcPr>
          <w:p>
            <w:pPr>
              <w:spacing w:after="0"/>
              <w:rPr>
                <w:sz w:val="13"/>
                <w:szCs w:val="13"/>
                <w:color w:val="auto"/>
              </w:rPr>
            </w:pPr>
          </w:p>
        </w:tc>
        <w:tc>
          <w:tcPr>
            <w:tcW w:w="4820" w:type="dxa"/>
            <w:vAlign w:val="bottom"/>
            <w:gridSpan w:val="9"/>
          </w:tcPr>
          <w:p>
            <w:pPr>
              <w:spacing w:after="0"/>
              <w:rPr>
                <w:rFonts w:ascii="Times New Roman" w:cs="Times New Roman" w:eastAsia="Times New Roman" w:hAnsi="Times New Roman"/>
                <w:sz w:val="13"/>
                <w:szCs w:val="13"/>
                <w:color w:val="0000FF"/>
                <w:w w:val="97"/>
              </w:rPr>
            </w:pPr>
            <w:hyperlink r:id="rId200">
              <w:r>
                <w:rPr>
                  <w:rFonts w:ascii="Times New Roman" w:cs="Times New Roman" w:eastAsia="Times New Roman" w:hAnsi="Times New Roman"/>
                  <w:sz w:val="13"/>
                  <w:szCs w:val="13"/>
                  <w:color w:val="0000FF"/>
                  <w:w w:val="97"/>
                </w:rPr>
                <w:t>Amended and Restated Credit Agreement dated as of January 4, 2021, as amended on January</w:t>
              </w:r>
            </w:hyperlink>
          </w:p>
        </w:tc>
        <w:tc>
          <w:tcPr>
            <w:tcW w:w="0" w:type="dxa"/>
            <w:vAlign w:val="bottom"/>
          </w:tcPr>
          <w:p>
            <w:pPr>
              <w:spacing w:after="0"/>
              <w:rPr>
                <w:sz w:val="1"/>
                <w:szCs w:val="1"/>
                <w:color w:val="auto"/>
              </w:rPr>
            </w:pPr>
          </w:p>
        </w:tc>
      </w:tr>
      <w:tr>
        <w:trPr>
          <w:trHeight w:val="107"/>
        </w:trPr>
        <w:tc>
          <w:tcPr>
            <w:tcW w:w="3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80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00">
              <w:r>
                <w:rPr>
                  <w:rFonts w:ascii="Times New Roman" w:cs="Times New Roman" w:eastAsia="Times New Roman" w:hAnsi="Times New Roman"/>
                  <w:sz w:val="12"/>
                  <w:szCs w:val="12"/>
                  <w:color w:val="0000FF"/>
                </w:rPr>
                <w:t>6, 2022 among CrowdStrike Holdings, Inc., as guarantor, CrowdStrike, Inc. as borrower, and</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420" w:type="dxa"/>
            <w:vAlign w:val="bottom"/>
          </w:tcPr>
          <w:p>
            <w:pPr>
              <w:spacing w:after="0"/>
              <w:rPr>
                <w:sz w:val="9"/>
                <w:szCs w:val="9"/>
                <w:color w:val="auto"/>
              </w:rPr>
            </w:pPr>
          </w:p>
        </w:tc>
        <w:tc>
          <w:tcPr>
            <w:tcW w:w="4740" w:type="dxa"/>
            <w:vAlign w:val="bottom"/>
            <w:tcBorders>
              <w:top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00">
              <w:r>
                <w:rPr>
                  <w:rFonts w:ascii="Times New Roman" w:cs="Times New Roman" w:eastAsia="Times New Roman" w:hAnsi="Times New Roman"/>
                  <w:sz w:val="12"/>
                  <w:szCs w:val="12"/>
                  <w:color w:val="0000FF"/>
                </w:rPr>
                <w:t>Silicon Valley Bank and the other lenders party thereto.</w:t>
              </w:r>
            </w:hyperlink>
          </w:p>
        </w:tc>
        <w:tc>
          <w:tcPr>
            <w:tcW w:w="8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40" w:type="dxa"/>
            <w:vAlign w:val="bottom"/>
          </w:tcPr>
          <w:p>
            <w:pPr>
              <w:jc w:val="center"/>
              <w:ind w:right="216"/>
              <w:spacing w:after="0"/>
              <w:rPr>
                <w:sz w:val="20"/>
                <w:szCs w:val="20"/>
                <w:color w:val="auto"/>
              </w:rPr>
            </w:pPr>
            <w:r>
              <w:rPr>
                <w:rFonts w:ascii="Times New Roman" w:cs="Times New Roman" w:eastAsia="Times New Roman" w:hAnsi="Times New Roman"/>
                <w:sz w:val="13"/>
                <w:szCs w:val="13"/>
                <w:color w:val="auto"/>
                <w:w w:val="99"/>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333-231461</w:t>
            </w: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rPr>
              <w:t>10.8</w:t>
            </w:r>
          </w:p>
        </w:tc>
        <w:tc>
          <w:tcPr>
            <w:tcW w:w="116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6"/>
              </w:rPr>
              <w:t>May 14, 2019</w:t>
            </w:r>
          </w:p>
        </w:tc>
      </w:tr>
      <w:tr>
        <w:trPr>
          <w:trHeight w:val="233"/>
        </w:trPr>
        <w:tc>
          <w:tcPr>
            <w:tcW w:w="540" w:type="dxa"/>
            <w:vAlign w:val="bottom"/>
          </w:tcPr>
          <w:p>
            <w:pPr>
              <w:jc w:val="center"/>
              <w:ind w:right="216"/>
              <w:spacing w:after="0"/>
              <w:rPr>
                <w:sz w:val="20"/>
                <w:szCs w:val="20"/>
                <w:color w:val="auto"/>
              </w:rPr>
            </w:pPr>
            <w:r>
              <w:rPr>
                <w:rFonts w:ascii="Times New Roman" w:cs="Times New Roman" w:eastAsia="Times New Roman" w:hAnsi="Times New Roman"/>
                <w:sz w:val="13"/>
                <w:szCs w:val="13"/>
                <w:color w:val="auto"/>
                <w:w w:val="97"/>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5"/>
              </w:rPr>
              <w:t>10.18</w:t>
            </w:r>
          </w:p>
        </w:tc>
        <w:tc>
          <w:tcPr>
            <w:tcW w:w="116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9"/>
              </w:rPr>
              <w:t>March 16, 2022</w:t>
            </w:r>
          </w:p>
        </w:tc>
      </w:tr>
      <w:tr>
        <w:trPr>
          <w:trHeight w:val="297"/>
        </w:trPr>
        <w:tc>
          <w:tcPr>
            <w:tcW w:w="540" w:type="dxa"/>
            <w:vAlign w:val="bottom"/>
          </w:tcPr>
          <w:p>
            <w:pPr>
              <w:jc w:val="center"/>
              <w:ind w:right="216"/>
              <w:spacing w:after="0"/>
              <w:rPr>
                <w:sz w:val="20"/>
                <w:szCs w:val="20"/>
                <w:color w:val="auto"/>
              </w:rPr>
            </w:pPr>
            <w:r>
              <w:rPr>
                <w:rFonts w:ascii="Times New Roman" w:cs="Times New Roman" w:eastAsia="Times New Roman" w:hAnsi="Times New Roman"/>
                <w:sz w:val="13"/>
                <w:szCs w:val="13"/>
                <w:color w:val="auto"/>
                <w:w w:val="97"/>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5"/>
              </w:rPr>
              <w:t>10.19</w:t>
            </w:r>
          </w:p>
        </w:tc>
        <w:tc>
          <w:tcPr>
            <w:tcW w:w="116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9"/>
              </w:rPr>
              <w:t>March 16, 2022</w:t>
            </w:r>
          </w:p>
        </w:tc>
      </w:tr>
      <w:tr>
        <w:trPr>
          <w:trHeight w:val="361"/>
        </w:trPr>
        <w:tc>
          <w:tcPr>
            <w:tcW w:w="540" w:type="dxa"/>
            <w:vAlign w:val="bottom"/>
          </w:tcPr>
          <w:p>
            <w:pPr>
              <w:jc w:val="center"/>
              <w:ind w:right="216"/>
              <w:spacing w:after="0"/>
              <w:rPr>
                <w:sz w:val="20"/>
                <w:szCs w:val="20"/>
                <w:color w:val="auto"/>
              </w:rPr>
            </w:pPr>
            <w:r>
              <w:rPr>
                <w:rFonts w:ascii="Times New Roman" w:cs="Times New Roman" w:eastAsia="Times New Roman" w:hAnsi="Times New Roman"/>
                <w:sz w:val="13"/>
                <w:szCs w:val="13"/>
                <w:color w:val="auto"/>
                <w:w w:val="97"/>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001-38933</w:t>
            </w: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5"/>
              </w:rPr>
              <w:t>10.20</w:t>
            </w:r>
          </w:p>
        </w:tc>
        <w:tc>
          <w:tcPr>
            <w:tcW w:w="116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9"/>
              </w:rPr>
              <w:t>March 16, 2022</w:t>
            </w:r>
          </w:p>
        </w:tc>
      </w:tr>
    </w:tbl>
    <w:p>
      <w:pPr>
        <w:spacing w:after="0" w:line="310" w:lineRule="exact"/>
        <w:rPr>
          <w:sz w:val="20"/>
          <w:szCs w:val="20"/>
          <w:color w:val="auto"/>
        </w:rPr>
      </w:pPr>
    </w:p>
    <w:p>
      <w:pPr>
        <w:sectPr>
          <w:pgSz w:w="11900" w:h="16838" w:orient="portrait"/>
          <w:cols w:equalWidth="0" w:num="2">
            <w:col w:w="5920" w:space="280"/>
            <w:col w:w="5020"/>
          </w:cols>
          <w:pgMar w:left="300" w:top="125" w:right="379" w:bottom="1440" w:gutter="0" w:footer="0" w:header="0"/>
          <w:type w:val="continuous"/>
        </w:sect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spacing w:after="0"/>
        <w:rPr>
          <w:rFonts w:ascii="Times New Roman" w:cs="Times New Roman" w:eastAsia="Times New Roman" w:hAnsi="Times New Roman"/>
          <w:sz w:val="13"/>
          <w:szCs w:val="13"/>
          <w:u w:val="single" w:color="auto"/>
          <w:color w:val="0000FF"/>
        </w:rPr>
      </w:pPr>
      <w:hyperlink r:id="rId202">
        <w:r>
          <w:rPr>
            <w:rFonts w:ascii="Times New Roman" w:cs="Times New Roman" w:eastAsia="Times New Roman" w:hAnsi="Times New Roman"/>
            <w:sz w:val="13"/>
            <w:szCs w:val="13"/>
            <w:u w:val="single" w:color="auto"/>
            <w:color w:val="0000FF"/>
          </w:rPr>
          <w:t>10.15†</w:t>
        </w:r>
      </w:hyperlink>
    </w:p>
    <w:p>
      <w:pPr>
        <w:spacing w:after="0" w:line="158" w:lineRule="exact"/>
        <w:rPr>
          <w:sz w:val="20"/>
          <w:szCs w:val="20"/>
          <w:color w:val="auto"/>
        </w:rPr>
      </w:pPr>
    </w:p>
    <w:p>
      <w:pPr>
        <w:ind w:left="340"/>
        <w:spacing w:after="0"/>
        <w:rPr>
          <w:rFonts w:ascii="Times New Roman" w:cs="Times New Roman" w:eastAsia="Times New Roman" w:hAnsi="Times New Roman"/>
          <w:sz w:val="13"/>
          <w:szCs w:val="13"/>
          <w:u w:val="single" w:color="auto"/>
          <w:color w:val="0000FF"/>
        </w:rPr>
      </w:pPr>
      <w:hyperlink r:id="rId203">
        <w:r>
          <w:rPr>
            <w:rFonts w:ascii="Times New Roman" w:cs="Times New Roman" w:eastAsia="Times New Roman" w:hAnsi="Times New Roman"/>
            <w:sz w:val="13"/>
            <w:szCs w:val="13"/>
            <w:u w:val="single" w:color="auto"/>
            <w:color w:val="0000FF"/>
          </w:rPr>
          <w:t>10.16†</w:t>
        </w:r>
      </w:hyperlink>
    </w:p>
    <w:p>
      <w:pPr>
        <w:spacing w:after="0" w:line="179" w:lineRule="exact"/>
        <w:rPr>
          <w:sz w:val="20"/>
          <w:szCs w:val="20"/>
          <w:color w:val="auto"/>
        </w:rPr>
      </w:pPr>
    </w:p>
    <w:p>
      <w:pPr>
        <w:ind w:left="340"/>
        <w:spacing w:after="0"/>
        <w:rPr>
          <w:rFonts w:ascii="Times New Roman" w:cs="Times New Roman" w:eastAsia="Times New Roman" w:hAnsi="Times New Roman"/>
          <w:sz w:val="13"/>
          <w:szCs w:val="13"/>
          <w:u w:val="single" w:color="auto"/>
          <w:color w:val="0000FF"/>
        </w:rPr>
      </w:pPr>
      <w:hyperlink r:id="rId204">
        <w:r>
          <w:rPr>
            <w:rFonts w:ascii="Times New Roman" w:cs="Times New Roman" w:eastAsia="Times New Roman" w:hAnsi="Times New Roman"/>
            <w:sz w:val="13"/>
            <w:szCs w:val="13"/>
            <w:u w:val="single" w:color="auto"/>
            <w:color w:val="0000FF"/>
          </w:rPr>
          <w:t>10.17†</w:t>
        </w:r>
      </w:hyperlink>
    </w:p>
    <w:p>
      <w:pPr>
        <w:spacing w:after="0" w:line="105" w:lineRule="exact"/>
        <w:rPr>
          <w:sz w:val="20"/>
          <w:szCs w:val="20"/>
          <w:color w:val="auto"/>
        </w:rPr>
      </w:pPr>
    </w:p>
    <w:p>
      <w:pPr>
        <w:ind w:left="340"/>
        <w:spacing w:after="0"/>
        <w:rPr>
          <w:rFonts w:ascii="Times New Roman" w:cs="Times New Roman" w:eastAsia="Times New Roman" w:hAnsi="Times New Roman"/>
          <w:sz w:val="13"/>
          <w:szCs w:val="13"/>
          <w:u w:val="single" w:color="auto"/>
          <w:color w:val="0000FF"/>
        </w:rPr>
      </w:pPr>
      <w:hyperlink r:id="rId205">
        <w:r>
          <w:rPr>
            <w:rFonts w:ascii="Times New Roman" w:cs="Times New Roman" w:eastAsia="Times New Roman" w:hAnsi="Times New Roman"/>
            <w:sz w:val="13"/>
            <w:szCs w:val="13"/>
            <w:u w:val="single" w:color="auto"/>
            <w:color w:val="0000FF"/>
          </w:rPr>
          <w:t>10.18†</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35" w:lineRule="auto"/>
        <w:rPr>
          <w:rFonts w:ascii="Times New Roman" w:cs="Times New Roman" w:eastAsia="Times New Roman" w:hAnsi="Times New Roman"/>
          <w:sz w:val="13"/>
          <w:szCs w:val="13"/>
          <w:u w:val="single" w:color="auto"/>
          <w:color w:val="0000FF"/>
        </w:rPr>
      </w:pPr>
      <w:hyperlink r:id="rId206">
        <w:r>
          <w:rPr>
            <w:rFonts w:ascii="Times New Roman" w:cs="Times New Roman" w:eastAsia="Times New Roman" w:hAnsi="Times New Roman"/>
            <w:sz w:val="13"/>
            <w:szCs w:val="13"/>
            <w:u w:val="single" w:color="auto"/>
            <w:color w:val="0000FF"/>
          </w:rPr>
          <w:t>Amended and Restated Performance Unit Agreement with George Kurtz, dated September 1,</w:t>
        </w:r>
      </w:hyperlink>
      <w:r>
        <w:rPr>
          <w:rFonts w:ascii="Times New Roman" w:cs="Times New Roman" w:eastAsia="Times New Roman" w:hAnsi="Times New Roman"/>
          <w:sz w:val="13"/>
          <w:szCs w:val="13"/>
          <w:u w:val="single" w:color="auto"/>
          <w:color w:val="0000FF"/>
        </w:rPr>
        <w:t xml:space="preserve"> </w:t>
      </w:r>
      <w:hyperlink r:id="rId206">
        <w:r>
          <w:rPr>
            <w:rFonts w:ascii="Times New Roman" w:cs="Times New Roman" w:eastAsia="Times New Roman" w:hAnsi="Times New Roman"/>
            <w:sz w:val="13"/>
            <w:szCs w:val="13"/>
            <w:u w:val="single" w:color="auto"/>
            <w:color w:val="0000FF"/>
          </w:rPr>
          <w:t>2021, under the CrowdStrike Holdings, Inc. 2019 Equity Incentive Plan.</w:t>
        </w:r>
      </w:hyperlink>
    </w:p>
    <w:p>
      <w:pPr>
        <w:spacing w:after="0" w:line="4" w:lineRule="exact"/>
        <w:rPr>
          <w:sz w:val="20"/>
          <w:szCs w:val="20"/>
          <w:color w:val="auto"/>
        </w:rPr>
      </w:pPr>
    </w:p>
    <w:p>
      <w:pPr>
        <w:spacing w:after="0" w:line="247" w:lineRule="auto"/>
        <w:rPr>
          <w:rFonts w:ascii="Times New Roman" w:cs="Times New Roman" w:eastAsia="Times New Roman" w:hAnsi="Times New Roman"/>
          <w:sz w:val="13"/>
          <w:szCs w:val="13"/>
          <w:u w:val="single" w:color="auto"/>
          <w:color w:val="0000FF"/>
        </w:rPr>
      </w:pPr>
      <w:hyperlink r:id="rId203">
        <w:r>
          <w:rPr>
            <w:rFonts w:ascii="Times New Roman" w:cs="Times New Roman" w:eastAsia="Times New Roman" w:hAnsi="Times New Roman"/>
            <w:sz w:val="13"/>
            <w:szCs w:val="13"/>
            <w:u w:val="single" w:color="auto"/>
            <w:color w:val="0000FF"/>
          </w:rPr>
          <w:t>Change in Control and Severance Agreement, dated as of September 1, 2021, by and between</w:t>
        </w:r>
      </w:hyperlink>
      <w:r>
        <w:rPr>
          <w:rFonts w:ascii="Times New Roman" w:cs="Times New Roman" w:eastAsia="Times New Roman" w:hAnsi="Times New Roman"/>
          <w:sz w:val="13"/>
          <w:szCs w:val="13"/>
          <w:u w:val="single" w:color="auto"/>
          <w:color w:val="0000FF"/>
        </w:rPr>
        <w:t xml:space="preserve"> </w:t>
      </w:r>
      <w:hyperlink r:id="rId203">
        <w:r>
          <w:rPr>
            <w:rFonts w:ascii="Times New Roman" w:cs="Times New Roman" w:eastAsia="Times New Roman" w:hAnsi="Times New Roman"/>
            <w:sz w:val="13"/>
            <w:szCs w:val="13"/>
            <w:u w:val="single" w:color="auto"/>
            <w:color w:val="0000FF"/>
          </w:rPr>
          <w:t>CrowdStrike Holdings, Inc. and George Kurtz.</w:t>
        </w:r>
      </w:hyperlink>
    </w:p>
    <w:p>
      <w:pPr>
        <w:spacing w:after="0" w:line="21" w:lineRule="exact"/>
        <w:rPr>
          <w:sz w:val="20"/>
          <w:szCs w:val="20"/>
          <w:color w:val="auto"/>
        </w:rPr>
      </w:pPr>
    </w:p>
    <w:p>
      <w:pPr>
        <w:ind w:right="520"/>
        <w:spacing w:after="0" w:line="247" w:lineRule="auto"/>
        <w:rPr>
          <w:rFonts w:ascii="Times New Roman" w:cs="Times New Roman" w:eastAsia="Times New Roman" w:hAnsi="Times New Roman"/>
          <w:sz w:val="13"/>
          <w:szCs w:val="13"/>
          <w:u w:val="single" w:color="auto"/>
          <w:color w:val="0000FF"/>
        </w:rPr>
      </w:pPr>
      <w:hyperlink r:id="rId204">
        <w:r>
          <w:rPr>
            <w:rFonts w:ascii="Times New Roman" w:cs="Times New Roman" w:eastAsia="Times New Roman" w:hAnsi="Times New Roman"/>
            <w:sz w:val="13"/>
            <w:szCs w:val="13"/>
            <w:u w:val="single" w:color="auto"/>
            <w:color w:val="0000FF"/>
          </w:rPr>
          <w:t>Performance Unit Agreement with Burt Podbere, dated January 12, 2022, under the</w:t>
        </w:r>
      </w:hyperlink>
      <w:r>
        <w:rPr>
          <w:rFonts w:ascii="Times New Roman" w:cs="Times New Roman" w:eastAsia="Times New Roman" w:hAnsi="Times New Roman"/>
          <w:sz w:val="13"/>
          <w:szCs w:val="13"/>
          <w:u w:val="single" w:color="auto"/>
          <w:color w:val="0000FF"/>
        </w:rPr>
        <w:t xml:space="preserve"> </w:t>
      </w:r>
      <w:hyperlink r:id="rId204">
        <w:r>
          <w:rPr>
            <w:rFonts w:ascii="Times New Roman" w:cs="Times New Roman" w:eastAsia="Times New Roman" w:hAnsi="Times New Roman"/>
            <w:sz w:val="13"/>
            <w:szCs w:val="13"/>
            <w:u w:val="single" w:color="auto"/>
            <w:color w:val="0000FF"/>
          </w:rPr>
          <w:t>CrowdStrike Holdings, Inc. 2019 Equity Incentive Plan.</w:t>
        </w:r>
      </w:hyperlink>
    </w:p>
    <w:p>
      <w:pPr>
        <w:spacing w:after="0" w:line="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205">
        <w:r>
          <w:rPr>
            <w:rFonts w:ascii="Times New Roman" w:cs="Times New Roman" w:eastAsia="Times New Roman" w:hAnsi="Times New Roman"/>
            <w:sz w:val="13"/>
            <w:szCs w:val="13"/>
            <w:u w:val="single" w:color="auto"/>
            <w:color w:val="0000FF"/>
          </w:rPr>
          <w:t>Offer Letter between the Registrant and Shawn Henry, dated as of March 4, 2012.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auto"/>
                <w:w w:val="97"/>
              </w:rPr>
              <w:t>10-Q</w:t>
            </w: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001-38933</w:t>
            </w: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10.4</w:t>
            </w:r>
          </w:p>
        </w:tc>
        <w:tc>
          <w:tcPr>
            <w:tcW w:w="128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September 1, 2021</w:t>
            </w:r>
          </w:p>
        </w:tc>
      </w:tr>
      <w:tr>
        <w:trPr>
          <w:trHeight w:val="308"/>
        </w:trPr>
        <w:tc>
          <w:tcPr>
            <w:tcW w:w="5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auto"/>
                <w:w w:val="97"/>
              </w:rPr>
              <w:t>10-Q</w:t>
            </w: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001-38933</w:t>
            </w: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10.3</w:t>
            </w:r>
          </w:p>
        </w:tc>
        <w:tc>
          <w:tcPr>
            <w:tcW w:w="128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September 1, 2021</w:t>
            </w:r>
          </w:p>
        </w:tc>
      </w:tr>
      <w:tr>
        <w:trPr>
          <w:trHeight w:val="344"/>
        </w:trPr>
        <w:tc>
          <w:tcPr>
            <w:tcW w:w="560" w:type="dxa"/>
            <w:vAlign w:val="bottom"/>
          </w:tcPr>
          <w:p>
            <w:pPr>
              <w:jc w:val="center"/>
              <w:ind w:right="235"/>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001-38933</w:t>
            </w: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10.1</w:t>
            </w:r>
          </w:p>
        </w:tc>
        <w:tc>
          <w:tcPr>
            <w:tcW w:w="128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14, 2022</w:t>
            </w:r>
          </w:p>
        </w:tc>
      </w:tr>
      <w:tr>
        <w:trPr>
          <w:trHeight w:val="240"/>
        </w:trPr>
        <w:tc>
          <w:tcPr>
            <w:tcW w:w="5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auto"/>
                <w:w w:val="97"/>
              </w:rPr>
              <w:t>10-Q</w:t>
            </w: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001-38933</w:t>
            </w: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10.2</w:t>
            </w:r>
          </w:p>
        </w:tc>
        <w:tc>
          <w:tcPr>
            <w:tcW w:w="128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June 4, 2021</w:t>
            </w:r>
          </w:p>
        </w:tc>
      </w:tr>
    </w:tbl>
    <w:p>
      <w:pPr>
        <w:spacing w:after="0" w:line="3" w:lineRule="exact"/>
        <w:rPr>
          <w:sz w:val="20"/>
          <w:szCs w:val="20"/>
          <w:color w:val="auto"/>
        </w:rPr>
      </w:pPr>
    </w:p>
    <w:p>
      <w:pPr>
        <w:sectPr>
          <w:pgSz w:w="11900" w:h="16838" w:orient="portrait"/>
          <w:cols w:equalWidth="0" w:num="3">
            <w:col w:w="1000" w:space="120"/>
            <w:col w:w="4780" w:space="300"/>
            <w:col w:w="4960"/>
          </w:cols>
          <w:pgMar w:left="300" w:top="125" w:right="439" w:bottom="1440" w:gutter="0" w:footer="0" w:header="0"/>
        </w:sectPr>
      </w:pPr>
    </w:p>
    <w:tbl>
      <w:tblPr>
        <w:tblLayout w:type="fixed"/>
        <w:tblInd w:w="280" w:type="dxa"/>
        <w:tblCellMar>
          <w:top w:w="0" w:type="dxa"/>
          <w:left w:w="0" w:type="dxa"/>
          <w:bottom w:w="0" w:type="dxa"/>
          <w:right w:w="0" w:type="dxa"/>
        </w:tblCellMar>
      </w:tblPr>
      <w:tr>
        <w:trPr>
          <w:trHeight w:val="149"/>
        </w:trPr>
        <w:tc>
          <w:tcPr>
            <w:tcW w:w="380" w:type="dxa"/>
            <w:vAlign w:val="bottom"/>
            <w:gridSpan w:val="6"/>
            <w:vMerge w:val="restart"/>
          </w:tcPr>
          <w:p>
            <w:pPr>
              <w:jc w:val="center"/>
              <w:ind w:left="36"/>
              <w:spacing w:after="0"/>
              <w:rPr>
                <w:rFonts w:ascii="Times New Roman" w:cs="Times New Roman" w:eastAsia="Times New Roman" w:hAnsi="Times New Roman"/>
                <w:sz w:val="13"/>
                <w:szCs w:val="13"/>
                <w:color w:val="0000FF"/>
                <w:w w:val="95"/>
              </w:rPr>
            </w:pPr>
            <w:hyperlink r:id="rId207">
              <w:r>
                <w:rPr>
                  <w:rFonts w:ascii="Times New Roman" w:cs="Times New Roman" w:eastAsia="Times New Roman" w:hAnsi="Times New Roman"/>
                  <w:sz w:val="13"/>
                  <w:szCs w:val="13"/>
                  <w:color w:val="0000FF"/>
                  <w:w w:val="95"/>
                </w:rPr>
                <w:t>10.</w:t>
              </w:r>
              <w:r>
                <w:rPr>
                  <w:rFonts w:ascii="Times New Roman" w:cs="Times New Roman" w:eastAsia="Times New Roman" w:hAnsi="Times New Roman"/>
                  <w:sz w:val="13"/>
                  <w:szCs w:val="13"/>
                  <w:u w:val="single" w:color="auto"/>
                  <w:color w:val="0000FF"/>
                  <w:w w:val="95"/>
                </w:rPr>
                <w:t>19</w:t>
              </w:r>
            </w:hyperlink>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20" w:type="dxa"/>
            <w:vAlign w:val="bottom"/>
            <w:tcBorders>
              <w:bottom w:val="single" w:sz="8" w:color="0000FF"/>
            </w:tcBorders>
            <w:gridSpan w:val="8"/>
          </w:tcPr>
          <w:p>
            <w:pPr>
              <w:spacing w:after="0"/>
              <w:rPr>
                <w:rFonts w:ascii="Times New Roman" w:cs="Times New Roman" w:eastAsia="Times New Roman" w:hAnsi="Times New Roman"/>
                <w:sz w:val="13"/>
                <w:szCs w:val="13"/>
                <w:color w:val="0000FF"/>
                <w:w w:val="97"/>
              </w:rPr>
            </w:pPr>
            <w:hyperlink r:id="rId207">
              <w:r>
                <w:rPr>
                  <w:rFonts w:ascii="Times New Roman" w:cs="Times New Roman" w:eastAsia="Times New Roman" w:hAnsi="Times New Roman"/>
                  <w:sz w:val="13"/>
                  <w:szCs w:val="13"/>
                  <w:color w:val="0000FF"/>
                  <w:w w:val="97"/>
                </w:rPr>
                <w:t>Second Amendment to Office Lease between EQC Capitol Tower Property LLC and</w:t>
              </w:r>
            </w:hyperlink>
          </w:p>
        </w:tc>
        <w:tc>
          <w:tcPr>
            <w:tcW w:w="4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380" w:type="dxa"/>
            <w:vAlign w:val="bottom"/>
            <w:gridSpan w:val="6"/>
            <w:vMerge w:val="continue"/>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160" w:type="dxa"/>
            <w:vAlign w:val="bottom"/>
            <w:gridSpan w:val="4"/>
            <w:vMerge w:val="restart"/>
          </w:tcPr>
          <w:p>
            <w:pPr>
              <w:spacing w:after="0" w:line="107" w:lineRule="exact"/>
              <w:rPr>
                <w:rFonts w:ascii="Times New Roman" w:cs="Times New Roman" w:eastAsia="Times New Roman" w:hAnsi="Times New Roman"/>
                <w:sz w:val="12"/>
                <w:szCs w:val="12"/>
                <w:color w:val="0000FF"/>
              </w:rPr>
            </w:pPr>
            <w:hyperlink r:id="rId207">
              <w:r>
                <w:rPr>
                  <w:rFonts w:ascii="Times New Roman" w:cs="Times New Roman" w:eastAsia="Times New Roman" w:hAnsi="Times New Roman"/>
                  <w:sz w:val="12"/>
                  <w:szCs w:val="12"/>
                  <w:color w:val="0000FF"/>
                </w:rPr>
                <w:t>CrowdStrike, Inc., dated January 19, 2023</w:t>
              </w:r>
            </w:hyperlink>
          </w:p>
        </w:tc>
        <w:tc>
          <w:tcPr>
            <w:tcW w:w="2620" w:type="dxa"/>
            <w:vAlign w:val="bottom"/>
            <w:gridSpan w:val="9"/>
            <w:vMerge w:val="restart"/>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160" w:type="dxa"/>
            <w:vAlign w:val="bottom"/>
            <w:tcBorders>
              <w:bottom w:val="single" w:sz="8" w:color="0000FF"/>
            </w:tcBorders>
            <w:gridSpan w:val="4"/>
            <w:vMerge w:val="continue"/>
          </w:tcPr>
          <w:p>
            <w:pPr>
              <w:spacing w:after="0"/>
              <w:rPr>
                <w:sz w:val="3"/>
                <w:szCs w:val="3"/>
                <w:color w:val="auto"/>
              </w:rPr>
            </w:pPr>
          </w:p>
        </w:tc>
        <w:tc>
          <w:tcPr>
            <w:tcW w:w="262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20†</w:t>
            </w:r>
          </w:p>
        </w:tc>
        <w:tc>
          <w:tcPr>
            <w:tcW w:w="420" w:type="dxa"/>
            <w:vAlign w:val="bottom"/>
          </w:tcPr>
          <w:p>
            <w:pPr>
              <w:spacing w:after="0"/>
              <w:rPr>
                <w:sz w:val="13"/>
                <w:szCs w:val="13"/>
                <w:color w:val="auto"/>
              </w:rPr>
            </w:pPr>
          </w:p>
        </w:tc>
        <w:tc>
          <w:tcPr>
            <w:tcW w:w="4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3"/>
                <w:szCs w:val="13"/>
                <w:color w:val="0000FF"/>
                <w:w w:val="97"/>
              </w:rPr>
              <w:t>CrowdStrike, Inc. Deferred Compensation Plan Adoption Agreement, dated May 4, 2023.</w:t>
            </w:r>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21†</w:t>
            </w:r>
          </w:p>
        </w:tc>
        <w:tc>
          <w:tcPr>
            <w:tcW w:w="420" w:type="dxa"/>
            <w:vAlign w:val="bottom"/>
          </w:tcPr>
          <w:p>
            <w:pPr>
              <w:spacing w:after="0"/>
              <w:rPr>
                <w:sz w:val="13"/>
                <w:szCs w:val="13"/>
                <w:color w:val="auto"/>
              </w:rPr>
            </w:pPr>
          </w:p>
        </w:tc>
        <w:tc>
          <w:tcPr>
            <w:tcW w:w="3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CrowdStrike, Inc, Deferred Compensation Plan, dated January 1, 2023.</w:t>
            </w:r>
          </w:p>
        </w:tc>
        <w:tc>
          <w:tcPr>
            <w:tcW w:w="1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0" w:type="dxa"/>
            <w:vAlign w:val="bottom"/>
            <w:gridSpan w:val="3"/>
          </w:tcPr>
          <w:p>
            <w:pPr>
              <w:spacing w:after="0"/>
              <w:rPr>
                <w:sz w:val="13"/>
                <w:szCs w:val="13"/>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21.</w:t>
            </w:r>
            <w:r>
              <w:rPr>
                <w:rFonts w:ascii="Times New Roman" w:cs="Times New Roman" w:eastAsia="Times New Roman" w:hAnsi="Times New Roman"/>
                <w:sz w:val="13"/>
                <w:szCs w:val="13"/>
                <w:u w:val="single" w:color="auto"/>
                <w:color w:val="0000FF"/>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gridSpan w:val="13"/>
          </w:tcPr>
          <w:p>
            <w:pPr>
              <w:spacing w:after="0"/>
              <w:rPr>
                <w:sz w:val="20"/>
                <w:szCs w:val="20"/>
                <w:color w:val="auto"/>
              </w:rPr>
            </w:pPr>
            <w:r>
              <w:rPr>
                <w:rFonts w:ascii="Times New Roman" w:cs="Times New Roman" w:eastAsia="Times New Roman" w:hAnsi="Times New Roman"/>
                <w:sz w:val="13"/>
                <w:szCs w:val="13"/>
                <w:color w:val="0000FF"/>
              </w:rPr>
              <w:t>List of Subsidiaries of the Registrant.</w:t>
            </w:r>
          </w:p>
        </w:tc>
        <w:tc>
          <w:tcPr>
            <w:tcW w:w="0" w:type="dxa"/>
            <w:vAlign w:val="bottom"/>
          </w:tcPr>
          <w:p>
            <w:pPr>
              <w:spacing w:after="0"/>
              <w:rPr>
                <w:sz w:val="1"/>
                <w:szCs w:val="1"/>
                <w:color w:val="auto"/>
              </w:rPr>
            </w:pPr>
          </w:p>
        </w:tc>
      </w:tr>
      <w:tr>
        <w:trPr>
          <w:trHeight w:val="150"/>
        </w:trPr>
        <w:tc>
          <w:tcPr>
            <w:tcW w:w="120" w:type="dxa"/>
            <w:vAlign w:val="bottom"/>
            <w:gridSpan w:val="3"/>
          </w:tcPr>
          <w:p>
            <w:pPr>
              <w:spacing w:after="0"/>
              <w:rPr>
                <w:sz w:val="13"/>
                <w:szCs w:val="13"/>
                <w:color w:val="auto"/>
              </w:rPr>
            </w:pPr>
          </w:p>
        </w:tc>
        <w:tc>
          <w:tcPr>
            <w:tcW w:w="240" w:type="dxa"/>
            <w:vAlign w:val="bottom"/>
            <w:tcBorders>
              <w:top w:val="single" w:sz="8" w:color="0000FF"/>
              <w:bottom w:val="single" w:sz="8" w:color="0000FF"/>
            </w:tcBorders>
            <w:gridSpan w:val="2"/>
          </w:tcPr>
          <w:p>
            <w:pPr>
              <w:jc w:val="center"/>
              <w:spacing w:after="0"/>
              <w:rPr>
                <w:rFonts w:ascii="Times New Roman" w:cs="Times New Roman" w:eastAsia="Times New Roman" w:hAnsi="Times New Roman"/>
                <w:sz w:val="13"/>
                <w:szCs w:val="13"/>
                <w:color w:val="0000FF"/>
              </w:rPr>
            </w:pPr>
            <w:hyperlink r:id="rId208">
              <w:r>
                <w:rPr>
                  <w:rFonts w:ascii="Times New Roman" w:cs="Times New Roman" w:eastAsia="Times New Roman" w:hAnsi="Times New Roman"/>
                  <w:sz w:val="13"/>
                  <w:szCs w:val="13"/>
                  <w:color w:val="0000FF"/>
                </w:rPr>
                <w:t>22.</w:t>
              </w:r>
              <w:r>
                <w:rPr>
                  <w:rFonts w:ascii="Times New Roman" w:cs="Times New Roman" w:eastAsia="Times New Roman" w:hAnsi="Times New Roman"/>
                  <w:sz w:val="13"/>
                  <w:szCs w:val="13"/>
                  <w:u w:val="single" w:color="auto"/>
                  <w:color w:val="0000FF"/>
                </w:rPr>
                <w:t>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rPr>
                <w:rFonts w:ascii="Times New Roman" w:cs="Times New Roman" w:eastAsia="Times New Roman" w:hAnsi="Times New Roman"/>
                <w:sz w:val="13"/>
                <w:szCs w:val="13"/>
                <w:color w:val="0000FF"/>
                <w:w w:val="97"/>
              </w:rPr>
            </w:pPr>
            <w:hyperlink r:id="rId208">
              <w:r>
                <w:rPr>
                  <w:rFonts w:ascii="Times New Roman" w:cs="Times New Roman" w:eastAsia="Times New Roman" w:hAnsi="Times New Roman"/>
                  <w:sz w:val="13"/>
                  <w:szCs w:val="13"/>
                  <w:color w:val="0000FF"/>
                  <w:w w:val="97"/>
                </w:rPr>
                <w:t>List of Subsidiary Guarantors</w:t>
              </w:r>
            </w:hyperlink>
          </w:p>
        </w:tc>
        <w:tc>
          <w:tcPr>
            <w:tcW w:w="380" w:type="dxa"/>
            <w:vAlign w:val="bottom"/>
            <w:tcBorders>
              <w:top w:val="single" w:sz="8" w:color="0000FF"/>
            </w:tcBorders>
            <w:gridSpan w:val="2"/>
          </w:tcPr>
          <w:p>
            <w:pPr>
              <w:spacing w:after="0"/>
              <w:rPr>
                <w:sz w:val="13"/>
                <w:szCs w:val="13"/>
                <w:color w:val="auto"/>
              </w:rPr>
            </w:pPr>
          </w:p>
        </w:tc>
        <w:tc>
          <w:tcPr>
            <w:tcW w:w="28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60" w:type="dxa"/>
            <w:vAlign w:val="bottom"/>
            <w:gridSpan w:val="5"/>
          </w:tcPr>
          <w:p>
            <w:pPr>
              <w:jc w:val="center"/>
              <w:ind w:left="56"/>
              <w:spacing w:after="0"/>
              <w:rPr>
                <w:sz w:val="20"/>
                <w:szCs w:val="20"/>
                <w:color w:val="auto"/>
              </w:rPr>
            </w:pPr>
            <w:r>
              <w:rPr>
                <w:rFonts w:ascii="Times New Roman" w:cs="Times New Roman" w:eastAsia="Times New Roman" w:hAnsi="Times New Roman"/>
                <w:sz w:val="13"/>
                <w:szCs w:val="13"/>
                <w:color w:val="0000FF"/>
              </w:rPr>
              <w:t>23.</w:t>
            </w:r>
            <w:r>
              <w:rPr>
                <w:rFonts w:ascii="Times New Roman" w:cs="Times New Roman" w:eastAsia="Times New Roman" w:hAnsi="Times New Roman"/>
                <w:sz w:val="13"/>
                <w:szCs w:val="13"/>
                <w:u w:val="single" w:color="auto"/>
                <w:color w:val="0000FF"/>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gridSpan w:val="13"/>
          </w:tcPr>
          <w:p>
            <w:pPr>
              <w:spacing w:after="0"/>
              <w:rPr>
                <w:sz w:val="20"/>
                <w:szCs w:val="20"/>
                <w:color w:val="auto"/>
              </w:rPr>
            </w:pPr>
            <w:r>
              <w:rPr>
                <w:rFonts w:ascii="Times New Roman" w:cs="Times New Roman" w:eastAsia="Times New Roman" w:hAnsi="Times New Roman"/>
                <w:sz w:val="13"/>
                <w:szCs w:val="13"/>
                <w:color w:val="0000FF"/>
              </w:rPr>
              <w:t>Consent of PricewaterhouseCoopers LLC, independent registered public accounting firm.</w:t>
            </w:r>
          </w:p>
        </w:tc>
        <w:tc>
          <w:tcPr>
            <w:tcW w:w="0" w:type="dxa"/>
            <w:vAlign w:val="bottom"/>
          </w:tcPr>
          <w:p>
            <w:pPr>
              <w:spacing w:after="0"/>
              <w:rPr>
                <w:sz w:val="1"/>
                <w:szCs w:val="1"/>
                <w:color w:val="auto"/>
              </w:rPr>
            </w:pPr>
          </w:p>
        </w:tc>
      </w:tr>
      <w:tr>
        <w:trPr>
          <w:trHeight w:val="20"/>
        </w:trPr>
        <w:tc>
          <w:tcPr>
            <w:tcW w:w="140" w:type="dxa"/>
            <w:vAlign w:val="bottom"/>
            <w:gridSpan w:val="4"/>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gridSpan w:val="5"/>
          </w:tcPr>
          <w:p>
            <w:pPr>
              <w:jc w:val="center"/>
              <w:ind w:left="56"/>
              <w:spacing w:after="0"/>
              <w:rPr>
                <w:sz w:val="20"/>
                <w:szCs w:val="20"/>
                <w:color w:val="auto"/>
              </w:rPr>
            </w:pPr>
            <w:r>
              <w:rPr>
                <w:rFonts w:ascii="Times New Roman" w:cs="Times New Roman" w:eastAsia="Times New Roman" w:hAnsi="Times New Roman"/>
                <w:sz w:val="13"/>
                <w:szCs w:val="13"/>
                <w:color w:val="0000FF"/>
              </w:rPr>
              <w:t>24.</w:t>
            </w:r>
            <w:r>
              <w:rPr>
                <w:rFonts w:ascii="Times New Roman" w:cs="Times New Roman" w:eastAsia="Times New Roman" w:hAnsi="Times New Roman"/>
                <w:sz w:val="13"/>
                <w:szCs w:val="13"/>
                <w:u w:val="single" w:color="auto"/>
                <w:color w:val="0000FF"/>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gridSpan w:val="13"/>
          </w:tcPr>
          <w:p>
            <w:pPr>
              <w:spacing w:after="0"/>
              <w:rPr>
                <w:sz w:val="20"/>
                <w:szCs w:val="20"/>
                <w:color w:val="auto"/>
              </w:rPr>
            </w:pPr>
            <w:r>
              <w:rPr>
                <w:rFonts w:ascii="Times New Roman" w:cs="Times New Roman" w:eastAsia="Times New Roman" w:hAnsi="Times New Roman"/>
                <w:sz w:val="13"/>
                <w:szCs w:val="13"/>
                <w:color w:val="0000FF"/>
              </w:rPr>
              <w:t>Power of Attorney (reference is made to the signature page hereto).</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gridSpan w:val="5"/>
            <w:vMerge w:val="restart"/>
          </w:tcPr>
          <w:p>
            <w:pPr>
              <w:jc w:val="center"/>
              <w:ind w:left="56"/>
              <w:spacing w:after="0"/>
              <w:rPr>
                <w:sz w:val="20"/>
                <w:szCs w:val="20"/>
                <w:color w:val="auto"/>
              </w:rPr>
            </w:pPr>
            <w:r>
              <w:rPr>
                <w:rFonts w:ascii="Times New Roman" w:cs="Times New Roman" w:eastAsia="Times New Roman" w:hAnsi="Times New Roman"/>
                <w:sz w:val="13"/>
                <w:szCs w:val="13"/>
                <w:color w:val="0000FF"/>
              </w:rPr>
              <w:t>31.</w:t>
            </w:r>
            <w:r>
              <w:rPr>
                <w:rFonts w:ascii="Times New Roman" w:cs="Times New Roman" w:eastAsia="Times New Roman" w:hAnsi="Times New Roman"/>
                <w:sz w:val="13"/>
                <w:szCs w:val="13"/>
                <w:u w:val="single" w:color="auto"/>
                <w:color w:val="0000FF"/>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w w:val="97"/>
              </w:rPr>
              <w:t>Certification of the Principal Executive Officer pursuant to Exchange Act Rules 13a14(a) and</w:t>
            </w:r>
          </w:p>
        </w:tc>
        <w:tc>
          <w:tcPr>
            <w:tcW w:w="0" w:type="dxa"/>
            <w:vAlign w:val="bottom"/>
          </w:tcPr>
          <w:p>
            <w:pPr>
              <w:spacing w:after="0"/>
              <w:rPr>
                <w:sz w:val="1"/>
                <w:szCs w:val="1"/>
                <w:color w:val="auto"/>
              </w:rPr>
            </w:pPr>
          </w:p>
        </w:tc>
      </w:tr>
      <w:tr>
        <w:trPr>
          <w:trHeight w:val="44"/>
        </w:trPr>
        <w:tc>
          <w:tcPr>
            <w:tcW w:w="3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780" w:type="dxa"/>
            <w:vAlign w:val="bottom"/>
            <w:gridSpan w:val="13"/>
            <w:vMerge w:val="restart"/>
          </w:tcPr>
          <w:p>
            <w:pPr>
              <w:spacing w:after="0" w:line="107" w:lineRule="exact"/>
              <w:rPr>
                <w:sz w:val="20"/>
                <w:szCs w:val="20"/>
                <w:color w:val="auto"/>
              </w:rPr>
            </w:pPr>
            <w:r>
              <w:rPr>
                <w:rFonts w:ascii="Times New Roman" w:cs="Times New Roman" w:eastAsia="Times New Roman" w:hAnsi="Times New Roman"/>
                <w:sz w:val="12"/>
                <w:szCs w:val="12"/>
                <w:color w:val="0000FF"/>
              </w:rPr>
              <w:t>15d14(a), as adopted pursuant to Section 302 of the Sarbanes-Oxley Act of 2002.</w:t>
            </w: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78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gridSpan w:val="5"/>
            <w:vMerge w:val="restart"/>
          </w:tcPr>
          <w:p>
            <w:pPr>
              <w:jc w:val="center"/>
              <w:ind w:left="56"/>
              <w:spacing w:after="0"/>
              <w:rPr>
                <w:sz w:val="20"/>
                <w:szCs w:val="20"/>
                <w:color w:val="auto"/>
              </w:rPr>
            </w:pPr>
            <w:r>
              <w:rPr>
                <w:rFonts w:ascii="Times New Roman" w:cs="Times New Roman" w:eastAsia="Times New Roman" w:hAnsi="Times New Roman"/>
                <w:sz w:val="13"/>
                <w:szCs w:val="13"/>
                <w:color w:val="0000FF"/>
              </w:rPr>
              <w:t>31.</w:t>
            </w:r>
            <w:r>
              <w:rPr>
                <w:rFonts w:ascii="Times New Roman" w:cs="Times New Roman" w:eastAsia="Times New Roman" w:hAnsi="Times New Roman"/>
                <w:sz w:val="13"/>
                <w:szCs w:val="13"/>
                <w:u w:val="single" w:color="auto"/>
                <w:color w:val="0000FF"/>
              </w:rPr>
              <w:t>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w w:val="97"/>
              </w:rPr>
              <w:t>Certification of the Principal Financial Officer pursuant to Exchange Act Rules 13a14(a)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780" w:type="dxa"/>
            <w:vAlign w:val="bottom"/>
            <w:gridSpan w:val="13"/>
            <w:vMerge w:val="restart"/>
          </w:tcPr>
          <w:p>
            <w:pPr>
              <w:spacing w:after="0" w:line="107" w:lineRule="exact"/>
              <w:rPr>
                <w:sz w:val="20"/>
                <w:szCs w:val="20"/>
                <w:color w:val="auto"/>
              </w:rPr>
            </w:pPr>
            <w:r>
              <w:rPr>
                <w:rFonts w:ascii="Times New Roman" w:cs="Times New Roman" w:eastAsia="Times New Roman" w:hAnsi="Times New Roman"/>
                <w:sz w:val="12"/>
                <w:szCs w:val="12"/>
                <w:color w:val="0000FF"/>
              </w:rPr>
              <w:t>15d14(a), as adopted pursuant to Section 302 of the Sarbanes-Oxley Act of 2002.</w:t>
            </w: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78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0" w:type="dxa"/>
            <w:vAlign w:val="bottom"/>
            <w:gridSpan w:val="6"/>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w w:val="95"/>
              </w:rPr>
              <w:t>32.</w:t>
            </w:r>
            <w:r>
              <w:rPr>
                <w:rFonts w:ascii="Times New Roman" w:cs="Times New Roman" w:eastAsia="Times New Roman" w:hAnsi="Times New Roman"/>
                <w:sz w:val="13"/>
                <w:szCs w:val="13"/>
                <w:u w:val="single" w:color="auto"/>
                <w:color w:val="0000FF"/>
                <w:w w:val="95"/>
              </w:rPr>
              <w:t>1*</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w w:val="97"/>
              </w:rPr>
              <w:t>Certification of the Principal Executive Officer and Principal Financial Officer pursuant to 18</w:t>
            </w:r>
          </w:p>
        </w:tc>
        <w:tc>
          <w:tcPr>
            <w:tcW w:w="0" w:type="dxa"/>
            <w:vAlign w:val="bottom"/>
          </w:tcPr>
          <w:p>
            <w:pPr>
              <w:spacing w:after="0"/>
              <w:rPr>
                <w:sz w:val="1"/>
                <w:szCs w:val="1"/>
                <w:color w:val="auto"/>
              </w:rPr>
            </w:pPr>
          </w:p>
        </w:tc>
      </w:tr>
      <w:tr>
        <w:trPr>
          <w:trHeight w:val="44"/>
        </w:trPr>
        <w:tc>
          <w:tcPr>
            <w:tcW w:w="380" w:type="dxa"/>
            <w:vAlign w:val="bottom"/>
            <w:gridSpan w:val="6"/>
            <w:vMerge w:val="continue"/>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740" w:type="dxa"/>
            <w:vAlign w:val="bottom"/>
            <w:gridSpan w:val="11"/>
            <w:vMerge w:val="restart"/>
          </w:tcPr>
          <w:p>
            <w:pPr>
              <w:spacing w:after="0" w:line="107" w:lineRule="exact"/>
              <w:rPr>
                <w:sz w:val="20"/>
                <w:szCs w:val="20"/>
                <w:color w:val="auto"/>
              </w:rPr>
            </w:pPr>
            <w:r>
              <w:rPr>
                <w:rFonts w:ascii="Times New Roman" w:cs="Times New Roman" w:eastAsia="Times New Roman" w:hAnsi="Times New Roman"/>
                <w:sz w:val="12"/>
                <w:szCs w:val="12"/>
                <w:color w:val="0000FF"/>
              </w:rPr>
              <w:t>U.S.C. Section 1350, as adopted pursuant to Section 906 of the Sarbanes-Oxley Act of 2002.</w:t>
            </w:r>
          </w:p>
        </w:tc>
        <w:tc>
          <w:tcPr>
            <w:tcW w:w="4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740" w:type="dxa"/>
            <w:vAlign w:val="bottom"/>
            <w:tcBorders>
              <w:bottom w:val="single" w:sz="8" w:color="0000FF"/>
            </w:tcBorders>
            <w:gridSpan w:val="11"/>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20" w:type="dxa"/>
            <w:vAlign w:val="bottom"/>
            <w:gridSpan w:val="3"/>
          </w:tcPr>
          <w:p>
            <w:pPr>
              <w:spacing w:after="0"/>
              <w:rPr>
                <w:sz w:val="13"/>
                <w:szCs w:val="13"/>
                <w:color w:val="auto"/>
              </w:rPr>
            </w:pPr>
          </w:p>
        </w:tc>
        <w:tc>
          <w:tcPr>
            <w:tcW w:w="2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3"/>
                <w:szCs w:val="13"/>
                <w:color w:val="0000FF"/>
              </w:rPr>
              <w:t>97.</w:t>
            </w:r>
            <w:r>
              <w:rPr>
                <w:rFonts w:ascii="Times New Roman" w:cs="Times New Roman" w:eastAsia="Times New Roman" w:hAnsi="Times New Roman"/>
                <w:sz w:val="13"/>
                <w:szCs w:val="13"/>
                <w:u w:val="single" w:color="auto"/>
                <w:color w:val="0000FF"/>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w w:val="97"/>
              </w:rPr>
              <w:t>Compensation Recovery Policy</w:t>
            </w:r>
          </w:p>
        </w:tc>
        <w:tc>
          <w:tcPr>
            <w:tcW w:w="31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40" w:type="dxa"/>
            <w:vAlign w:val="bottom"/>
            <w:gridSpan w:val="8"/>
          </w:tcPr>
          <w:p>
            <w:pPr>
              <w:jc w:val="center"/>
              <w:ind w:right="360"/>
              <w:spacing w:after="0"/>
              <w:rPr>
                <w:sz w:val="20"/>
                <w:szCs w:val="20"/>
                <w:color w:val="auto"/>
              </w:rPr>
            </w:pPr>
            <w:r>
              <w:rPr>
                <w:rFonts w:ascii="Times New Roman" w:cs="Times New Roman" w:eastAsia="Times New Roman" w:hAnsi="Times New Roman"/>
                <w:sz w:val="13"/>
                <w:szCs w:val="13"/>
                <w:color w:val="auto"/>
              </w:rPr>
              <w:t>101.INS</w:t>
            </w:r>
          </w:p>
        </w:tc>
        <w:tc>
          <w:tcPr>
            <w:tcW w:w="478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0" w:type="dxa"/>
            <w:vAlign w:val="bottom"/>
          </w:tcPr>
          <w:p>
            <w:pPr>
              <w:spacing w:after="0"/>
              <w:rPr>
                <w:sz w:val="1"/>
                <w:szCs w:val="1"/>
                <w:color w:val="auto"/>
              </w:rPr>
            </w:pPr>
          </w:p>
        </w:tc>
      </w:tr>
      <w:tr>
        <w:trPr>
          <w:trHeight w:val="170"/>
        </w:trPr>
        <w:tc>
          <w:tcPr>
            <w:tcW w:w="840" w:type="dxa"/>
            <w:vAlign w:val="bottom"/>
            <w:gridSpan w:val="8"/>
          </w:tcPr>
          <w:p>
            <w:pPr>
              <w:jc w:val="center"/>
              <w:ind w:right="360"/>
              <w:spacing w:after="0"/>
              <w:rPr>
                <w:sz w:val="20"/>
                <w:szCs w:val="20"/>
                <w:color w:val="auto"/>
              </w:rPr>
            </w:pPr>
            <w:r>
              <w:rPr>
                <w:rFonts w:ascii="Times New Roman" w:cs="Times New Roman" w:eastAsia="Times New Roman" w:hAnsi="Times New Roman"/>
                <w:sz w:val="13"/>
                <w:szCs w:val="13"/>
                <w:color w:val="auto"/>
                <w:w w:val="99"/>
              </w:rPr>
              <w:t>101.SCH</w:t>
            </w:r>
          </w:p>
        </w:tc>
        <w:tc>
          <w:tcPr>
            <w:tcW w:w="478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0" w:type="dxa"/>
            <w:vAlign w:val="bottom"/>
          </w:tcPr>
          <w:p>
            <w:pPr>
              <w:spacing w:after="0"/>
              <w:rPr>
                <w:sz w:val="1"/>
                <w:szCs w:val="1"/>
                <w:color w:val="auto"/>
              </w:rPr>
            </w:pPr>
          </w:p>
        </w:tc>
      </w:tr>
      <w:tr>
        <w:trPr>
          <w:trHeight w:val="170"/>
        </w:trPr>
        <w:tc>
          <w:tcPr>
            <w:tcW w:w="840" w:type="dxa"/>
            <w:vAlign w:val="bottom"/>
            <w:gridSpan w:val="8"/>
          </w:tcPr>
          <w:p>
            <w:pPr>
              <w:jc w:val="center"/>
              <w:ind w:right="360"/>
              <w:spacing w:after="0"/>
              <w:rPr>
                <w:sz w:val="20"/>
                <w:szCs w:val="20"/>
                <w:color w:val="auto"/>
              </w:rPr>
            </w:pPr>
            <w:r>
              <w:rPr>
                <w:rFonts w:ascii="Times New Roman" w:cs="Times New Roman" w:eastAsia="Times New Roman" w:hAnsi="Times New Roman"/>
                <w:sz w:val="13"/>
                <w:szCs w:val="13"/>
                <w:color w:val="auto"/>
                <w:w w:val="98"/>
              </w:rPr>
              <w:t>101.CAL</w:t>
            </w:r>
          </w:p>
        </w:tc>
        <w:tc>
          <w:tcPr>
            <w:tcW w:w="478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170"/>
        </w:trPr>
        <w:tc>
          <w:tcPr>
            <w:tcW w:w="840" w:type="dxa"/>
            <w:vAlign w:val="bottom"/>
            <w:gridSpan w:val="8"/>
          </w:tcPr>
          <w:p>
            <w:pPr>
              <w:jc w:val="center"/>
              <w:ind w:right="360"/>
              <w:spacing w:after="0"/>
              <w:rPr>
                <w:sz w:val="20"/>
                <w:szCs w:val="20"/>
                <w:color w:val="auto"/>
              </w:rPr>
            </w:pPr>
            <w:r>
              <w:rPr>
                <w:rFonts w:ascii="Times New Roman" w:cs="Times New Roman" w:eastAsia="Times New Roman" w:hAnsi="Times New Roman"/>
                <w:sz w:val="13"/>
                <w:szCs w:val="13"/>
                <w:color w:val="auto"/>
              </w:rPr>
              <w:t>101.DEF</w:t>
            </w:r>
          </w:p>
        </w:tc>
        <w:tc>
          <w:tcPr>
            <w:tcW w:w="478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170"/>
        </w:trPr>
        <w:tc>
          <w:tcPr>
            <w:tcW w:w="840" w:type="dxa"/>
            <w:vAlign w:val="bottom"/>
            <w:gridSpan w:val="8"/>
          </w:tcPr>
          <w:p>
            <w:pPr>
              <w:jc w:val="center"/>
              <w:ind w:right="360"/>
              <w:spacing w:after="0"/>
              <w:rPr>
                <w:sz w:val="20"/>
                <w:szCs w:val="20"/>
                <w:color w:val="auto"/>
              </w:rPr>
            </w:pPr>
            <w:r>
              <w:rPr>
                <w:rFonts w:ascii="Times New Roman" w:cs="Times New Roman" w:eastAsia="Times New Roman" w:hAnsi="Times New Roman"/>
                <w:sz w:val="13"/>
                <w:szCs w:val="13"/>
                <w:color w:val="auto"/>
                <w:w w:val="98"/>
              </w:rPr>
              <w:t>101.LAB</w:t>
            </w:r>
          </w:p>
        </w:tc>
        <w:tc>
          <w:tcPr>
            <w:tcW w:w="478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170"/>
        </w:trPr>
        <w:tc>
          <w:tcPr>
            <w:tcW w:w="840" w:type="dxa"/>
            <w:vAlign w:val="bottom"/>
            <w:gridSpan w:val="8"/>
          </w:tcPr>
          <w:p>
            <w:pPr>
              <w:jc w:val="center"/>
              <w:ind w:right="360"/>
              <w:spacing w:after="0"/>
              <w:rPr>
                <w:sz w:val="20"/>
                <w:szCs w:val="20"/>
                <w:color w:val="auto"/>
              </w:rPr>
            </w:pPr>
            <w:r>
              <w:rPr>
                <w:rFonts w:ascii="Times New Roman" w:cs="Times New Roman" w:eastAsia="Times New Roman" w:hAnsi="Times New Roman"/>
                <w:sz w:val="13"/>
                <w:szCs w:val="13"/>
                <w:color w:val="auto"/>
                <w:w w:val="94"/>
              </w:rPr>
              <w:t>101.PRE</w:t>
            </w:r>
          </w:p>
        </w:tc>
        <w:tc>
          <w:tcPr>
            <w:tcW w:w="478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120" w:right="20" w:hanging="696"/>
        <w:spacing w:after="0" w:line="190" w:lineRule="auto"/>
        <w:tabs>
          <w:tab w:leader="none" w:pos="1120" w:val="left"/>
        </w:tabs>
        <w:numPr>
          <w:ilvl w:val="0"/>
          <w:numId w:val="72"/>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Cover Page Interactive Data File – the cover page XBRL tags are embedded within the Inline Instance XBRL document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7"/>
              </w:rPr>
              <w:t>10-K</w:t>
            </w:r>
          </w:p>
        </w:tc>
        <w:tc>
          <w:tcPr>
            <w:tcW w:w="11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001-38933</w:t>
            </w:r>
          </w:p>
        </w:tc>
        <w:tc>
          <w:tcPr>
            <w:tcW w:w="86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10.26</w:t>
            </w:r>
          </w:p>
        </w:tc>
        <w:tc>
          <w:tcPr>
            <w:tcW w:w="2120" w:type="dxa"/>
            <w:vAlign w:val="bottom"/>
          </w:tcPr>
          <w:p>
            <w:pPr>
              <w:jc w:val="center"/>
              <w:ind w:right="516"/>
              <w:spacing w:after="0"/>
              <w:rPr>
                <w:sz w:val="20"/>
                <w:szCs w:val="20"/>
                <w:color w:val="auto"/>
              </w:rPr>
            </w:pPr>
            <w:r>
              <w:rPr>
                <w:rFonts w:ascii="Times New Roman" w:cs="Times New Roman" w:eastAsia="Times New Roman" w:hAnsi="Times New Roman"/>
                <w:sz w:val="13"/>
                <w:szCs w:val="13"/>
                <w:color w:val="auto"/>
                <w:w w:val="97"/>
              </w:rPr>
              <w:t>March 8, 2023</w:t>
            </w:r>
          </w:p>
        </w:tc>
      </w:tr>
      <w:tr>
        <w:trPr>
          <w:trHeight w:val="233"/>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20" w:type="dxa"/>
            <w:vAlign w:val="bottom"/>
          </w:tcPr>
          <w:p>
            <w:pPr>
              <w:ind w:left="2020"/>
              <w:spacing w:after="0"/>
              <w:rPr>
                <w:sz w:val="20"/>
                <w:szCs w:val="20"/>
                <w:color w:val="auto"/>
              </w:rPr>
            </w:pPr>
            <w:r>
              <w:rPr>
                <w:rFonts w:ascii="Times New Roman" w:cs="Times New Roman" w:eastAsia="Times New Roman" w:hAnsi="Times New Roman"/>
                <w:sz w:val="13"/>
                <w:szCs w:val="13"/>
                <w:color w:val="auto"/>
                <w:w w:val="84"/>
              </w:rPr>
              <w:t>X</w:t>
            </w:r>
          </w:p>
        </w:tc>
      </w:tr>
      <w:tr>
        <w:trPr>
          <w:trHeight w:val="170"/>
        </w:trPr>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2020"/>
              <w:spacing w:after="0"/>
              <w:rPr>
                <w:sz w:val="20"/>
                <w:szCs w:val="20"/>
                <w:color w:val="auto"/>
              </w:rPr>
            </w:pPr>
            <w:r>
              <w:rPr>
                <w:rFonts w:ascii="Times New Roman" w:cs="Times New Roman" w:eastAsia="Times New Roman" w:hAnsi="Times New Roman"/>
                <w:sz w:val="13"/>
                <w:szCs w:val="13"/>
                <w:color w:val="auto"/>
                <w:w w:val="84"/>
              </w:rPr>
              <w:t>X</w:t>
            </w:r>
          </w:p>
        </w:tc>
      </w:tr>
      <w:tr>
        <w:trPr>
          <w:trHeight w:val="170"/>
        </w:trPr>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2020"/>
              <w:spacing w:after="0"/>
              <w:rPr>
                <w:sz w:val="20"/>
                <w:szCs w:val="20"/>
                <w:color w:val="auto"/>
              </w:rPr>
            </w:pPr>
            <w:r>
              <w:rPr>
                <w:rFonts w:ascii="Times New Roman" w:cs="Times New Roman" w:eastAsia="Times New Roman" w:hAnsi="Times New Roman"/>
                <w:sz w:val="13"/>
                <w:szCs w:val="13"/>
                <w:color w:val="auto"/>
                <w:w w:val="84"/>
              </w:rPr>
              <w:t>X</w:t>
            </w:r>
          </w:p>
        </w:tc>
      </w:tr>
      <w:tr>
        <w:trPr>
          <w:trHeight w:val="170"/>
        </w:trPr>
        <w:tc>
          <w:tcPr>
            <w:tcW w:w="66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6"/>
              </w:rPr>
              <w:t>S-3ASR</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333-252007</w:t>
            </w: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22.1</w:t>
            </w:r>
          </w:p>
        </w:tc>
        <w:tc>
          <w:tcPr>
            <w:tcW w:w="2120" w:type="dxa"/>
            <w:vAlign w:val="bottom"/>
          </w:tcPr>
          <w:p>
            <w:pPr>
              <w:jc w:val="center"/>
              <w:ind w:right="516"/>
              <w:spacing w:after="0"/>
              <w:rPr>
                <w:sz w:val="20"/>
                <w:szCs w:val="20"/>
                <w:color w:val="auto"/>
              </w:rPr>
            </w:pPr>
            <w:r>
              <w:rPr>
                <w:rFonts w:ascii="Times New Roman" w:cs="Times New Roman" w:eastAsia="Times New Roman" w:hAnsi="Times New Roman"/>
                <w:sz w:val="13"/>
                <w:szCs w:val="13"/>
                <w:color w:val="auto"/>
                <w:w w:val="96"/>
              </w:rPr>
              <w:t>January 11, 2021</w:t>
            </w:r>
          </w:p>
        </w:tc>
      </w:tr>
    </w:tbl>
    <w:p>
      <w:pPr>
        <w:spacing w:after="0" w:line="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1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1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X</w:t>
      </w:r>
    </w:p>
    <w:p>
      <w:pPr>
        <w:spacing w:after="0" w:line="141" w:lineRule="exact"/>
        <w:rPr>
          <w:sz w:val="20"/>
          <w:szCs w:val="20"/>
          <w:color w:val="auto"/>
        </w:rPr>
      </w:pPr>
    </w:p>
    <w:p>
      <w:pPr>
        <w:sectPr>
          <w:pgSz w:w="11900" w:h="16838" w:orient="portrait"/>
          <w:cols w:equalWidth="0" w:num="2">
            <w:col w:w="5900" w:space="220"/>
            <w:col w:w="5040"/>
          </w:cols>
          <w:pgMar w:left="300" w:top="1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w:t>
      </w:r>
    </w:p>
    <w:p>
      <w:pPr>
        <w:spacing w:after="0" w:line="153" w:lineRule="exact"/>
        <w:rPr>
          <w:sz w:val="20"/>
          <w:szCs w:val="20"/>
          <w:color w:val="auto"/>
        </w:rPr>
      </w:pPr>
    </w:p>
    <w:p>
      <w:pPr>
        <w:ind w:left="320" w:hanging="315"/>
        <w:spacing w:after="0"/>
        <w:tabs>
          <w:tab w:leader="none" w:pos="32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management contract or compensatory plan, contract or agreement.</w:t>
      </w:r>
    </w:p>
    <w:p>
      <w:pPr>
        <w:spacing w:after="0" w:line="148" w:lineRule="exact"/>
        <w:rPr>
          <w:sz w:val="20"/>
          <w:szCs w:val="20"/>
          <w:color w:val="auto"/>
        </w:rPr>
      </w:pPr>
    </w:p>
    <w:p>
      <w:pPr>
        <w:ind w:left="320" w:hanging="315"/>
        <w:spacing w:after="0" w:line="264" w:lineRule="auto"/>
        <w:tabs>
          <w:tab w:leader="none" w:pos="3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SIGNATURES</w:t>
      </w:r>
    </w:p>
    <w:p>
      <w:pPr>
        <w:spacing w:after="0" w:line="17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1934, the Registrant has duly caused this report to be signed on its behalf by the undersigned, thereunto duly authorized on the day of March 6, 2024.</w:t>
      </w:r>
    </w:p>
    <w:p>
      <w:pPr>
        <w:spacing w:after="0" w:line="200" w:lineRule="exact"/>
        <w:rPr>
          <w:sz w:val="20"/>
          <w:szCs w:val="20"/>
          <w:color w:val="auto"/>
        </w:rPr>
      </w:pPr>
    </w:p>
    <w:p>
      <w:pPr>
        <w:spacing w:after="0" w:line="3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106"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331660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3316605" cy="698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George Kurtz</w:t>
      </w:r>
    </w:p>
    <w:p>
      <w:pPr>
        <w:ind w:left="6160"/>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Director (Principal Executive Officer)</w:t>
      </w: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20"/>
          </w:cols>
          <w:pgMar w:left="300" w:top="125" w:right="7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KNOW ALL THESE PERSONS BY THESE PRESENTS, that each person whose signature appears below constitutes and appoints George Kurtz and Burt W. Podbere,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146"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44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13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88"/>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George Kurtz</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 (Principal Executive Officer)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Kurtz</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04"/>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Burt W. Podbere</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(Principal Financial Officer)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Burt W. Podbere</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04"/>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Anurag Saha</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Accounting Officer (Principal Accounting Officer)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Anurag Saha</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04"/>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Gerhard Watzinger</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Gerhard Watzinger</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04"/>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Cary J. Davis</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Cary J. Davis</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88"/>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Denis J. O’Leary</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Denis J. O’Leary</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2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Godfrey R. Sullivan</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Godfrey R. Sullivan</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2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Johanna Flower</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Johanna Flower</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405"/>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Laura J. Schumacher</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Laura J. Schumacher</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2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Roxanne S. Austin</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Roxanne S. Austin</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04"/>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Sameer K. Gandhi</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6, 2024</w:t>
            </w: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Sameer K. Gandhi</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675"/>
        </w:trPr>
        <w:tc>
          <w:tcPr>
            <w:tcW w:w="4400" w:type="dxa"/>
            <w:vAlign w:val="bottom"/>
          </w:tcPr>
          <w:p>
            <w:pPr>
              <w:spacing w:after="0"/>
              <w:rPr>
                <w:sz w:val="24"/>
                <w:szCs w:val="24"/>
                <w:color w:val="auto"/>
              </w:rPr>
            </w:pPr>
          </w:p>
        </w:tc>
        <w:tc>
          <w:tcPr>
            <w:tcW w:w="5260" w:type="dxa"/>
            <w:vAlign w:val="bottom"/>
            <w:gridSpan w:val="2"/>
          </w:tcPr>
          <w:p>
            <w:pPr>
              <w:jc w:val="right"/>
              <w:ind w:right="4089"/>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60"/>
          </w:cols>
          <w:pgMar w:left="300" w:top="125" w:right="239" w:bottom="1440"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8120" w:type="dxa"/>
            <w:vAlign w:val="bottom"/>
            <w:gridSpan w:val="3"/>
          </w:tcPr>
          <w:p>
            <w:pPr>
              <w:jc w:val="center"/>
              <w:ind w:right="3069"/>
              <w:spacing w:after="0"/>
              <w:rPr>
                <w:sz w:val="20"/>
                <w:szCs w:val="20"/>
                <w:color w:val="auto"/>
              </w:rPr>
            </w:pPr>
            <w:r>
              <w:rPr>
                <w:rFonts w:ascii="Times New Roman" w:cs="Times New Roman" w:eastAsia="Times New Roman" w:hAnsi="Times New Roman"/>
                <w:sz w:val="14"/>
                <w:szCs w:val="14"/>
                <w:b w:val="1"/>
                <w:bCs w:val="1"/>
                <w:color w:val="auto"/>
              </w:rPr>
              <w:t>LIST OF SUBSIDIARIES</w:t>
            </w:r>
          </w:p>
        </w:tc>
      </w:tr>
      <w:tr>
        <w:trPr>
          <w:trHeight w:val="170"/>
        </w:trPr>
        <w:tc>
          <w:tcPr>
            <w:tcW w:w="3160" w:type="dxa"/>
            <w:vAlign w:val="bottom"/>
          </w:tcPr>
          <w:p>
            <w:pPr>
              <w:spacing w:after="0"/>
              <w:rPr>
                <w:sz w:val="14"/>
                <w:szCs w:val="14"/>
                <w:color w:val="auto"/>
              </w:rPr>
            </w:pPr>
          </w:p>
        </w:tc>
        <w:tc>
          <w:tcPr>
            <w:tcW w:w="8120" w:type="dxa"/>
            <w:vAlign w:val="bottom"/>
            <w:gridSpan w:val="3"/>
          </w:tcPr>
          <w:p>
            <w:pPr>
              <w:jc w:val="center"/>
              <w:ind w:right="3089"/>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86"/>
        </w:trPr>
        <w:tc>
          <w:tcPr>
            <w:tcW w:w="3160" w:type="dxa"/>
            <w:vAlign w:val="bottom"/>
          </w:tcPr>
          <w:p>
            <w:pPr>
              <w:spacing w:after="0"/>
              <w:rPr>
                <w:sz w:val="16"/>
                <w:szCs w:val="16"/>
                <w:color w:val="auto"/>
              </w:rPr>
            </w:pPr>
          </w:p>
        </w:tc>
        <w:tc>
          <w:tcPr>
            <w:tcW w:w="8120" w:type="dxa"/>
            <w:vAlign w:val="bottom"/>
            <w:gridSpan w:val="3"/>
          </w:tcPr>
          <w:p>
            <w:pPr>
              <w:jc w:val="center"/>
              <w:ind w:right="3069"/>
              <w:spacing w:after="0"/>
              <w:rPr>
                <w:sz w:val="20"/>
                <w:szCs w:val="20"/>
                <w:color w:val="auto"/>
              </w:rPr>
            </w:pPr>
            <w:r>
              <w:rPr>
                <w:rFonts w:ascii="Times New Roman" w:cs="Times New Roman" w:eastAsia="Times New Roman" w:hAnsi="Times New Roman"/>
                <w:sz w:val="14"/>
                <w:szCs w:val="14"/>
                <w:b w:val="1"/>
                <w:bCs w:val="1"/>
                <w:color w:val="auto"/>
              </w:rPr>
              <w:t>CROWDSTRIKE HOLDINGS, INC.</w:t>
            </w:r>
          </w:p>
        </w:tc>
      </w:tr>
      <w:tr>
        <w:trPr>
          <w:trHeight w:val="202"/>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Crowdstrike, Inc.</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CrowdStrike UK LTD</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CrowdStrike Australia Pty LTD</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Australia</w:t>
            </w: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CrowdStrike GmbH</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Germany</w:t>
            </w: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Humio ApS</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Denmark</w:t>
            </w: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CrowdStrike Canada ULC</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CrowdStrike India Private LTD</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India</w:t>
            </w:r>
          </w:p>
        </w:tc>
      </w:tr>
    </w:tbl>
    <w:p>
      <w:pPr>
        <w:sectPr>
          <w:pgSz w:w="11900" w:h="16838" w:orient="portrait"/>
          <w:cols w:equalWidth="0" w:num="1">
            <w:col w:w="11280"/>
          </w:cols>
          <w:pgMar w:left="300" w:top="1141"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333-270378, 333-263610, 333-254460, 333-237343, and 333-232084) of CrowdStrike Holdings, Inc. of our report dated March 6, 2024 relating to the financial statements and the effectiveness of internal control over financial reporting, which appears in this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6, 2024</w:t>
      </w:r>
    </w:p>
    <w:p>
      <w:pPr>
        <w:sectPr>
          <w:pgSz w:w="11900" w:h="16838" w:orient="portrait"/>
          <w:cols w:equalWidth="0" w:num="1">
            <w:col w:w="11280"/>
          </w:cols>
          <w:pgMar w:left="300" w:top="728"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EXCHANGE ACT RULES 13a-14(a) AND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George Kurtz, certify that:</w:t>
      </w:r>
    </w:p>
    <w:p>
      <w:pPr>
        <w:spacing w:after="0" w:line="179" w:lineRule="exact"/>
        <w:rPr>
          <w:sz w:val="20"/>
          <w:szCs w:val="20"/>
          <w:color w:val="auto"/>
        </w:rPr>
      </w:pPr>
    </w:p>
    <w:p>
      <w:pPr>
        <w:ind w:left="500" w:hanging="240"/>
        <w:spacing w:after="0"/>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CrowdStrike Holdings, Inc.;</w:t>
      </w:r>
    </w:p>
    <w:p>
      <w:pPr>
        <w:spacing w:after="0" w:line="178"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8"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5"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Times New Roman" w:cs="Times New Roman" w:eastAsia="Times New Roman" w:hAnsi="Times New Roman"/>
          <w:sz w:val="14"/>
          <w:szCs w:val="14"/>
          <w:color w:val="auto"/>
        </w:rPr>
      </w:pPr>
    </w:p>
    <w:p>
      <w:pPr>
        <w:ind w:left="760" w:right="420" w:hanging="246"/>
        <w:spacing w:after="0" w:line="287" w:lineRule="auto"/>
        <w:tabs>
          <w:tab w:leader="none" w:pos="758"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760" w:right="80" w:hanging="246"/>
        <w:spacing w:after="0" w:line="287" w:lineRule="auto"/>
        <w:tabs>
          <w:tab w:leader="none" w:pos="755"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1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760" w:right="100" w:hanging="246"/>
        <w:spacing w:after="0" w:line="287" w:lineRule="auto"/>
        <w:tabs>
          <w:tab w:leader="none" w:pos="758"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tbl>
      <w:tblPr>
        <w:tblLayout w:type="fixed"/>
        <w:tblInd w:w="780" w:type="dxa"/>
        <w:tblCellMar>
          <w:top w:w="0" w:type="dxa"/>
          <w:left w:w="0" w:type="dxa"/>
          <w:bottom w:w="0" w:type="dxa"/>
          <w:right w:w="0" w:type="dxa"/>
        </w:tblCellMar>
      </w:tblPr>
      <w:tr>
        <w:trPr>
          <w:trHeight w:val="180"/>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Date: March 6, 2024</w:t>
            </w:r>
          </w:p>
        </w:tc>
        <w:tc>
          <w:tcPr>
            <w:tcW w:w="6920" w:type="dxa"/>
            <w:vAlign w:val="bottom"/>
            <w:gridSpan w:val="2"/>
          </w:tcPr>
          <w:p>
            <w:pPr>
              <w:ind w:left="2400"/>
              <w:spacing w:after="0"/>
              <w:rPr>
                <w:sz w:val="20"/>
                <w:szCs w:val="20"/>
                <w:color w:val="auto"/>
              </w:rPr>
            </w:pPr>
            <w:r>
              <w:rPr>
                <w:rFonts w:ascii="Times New Roman" w:cs="Times New Roman" w:eastAsia="Times New Roman" w:hAnsi="Times New Roman"/>
                <w:sz w:val="14"/>
                <w:szCs w:val="14"/>
                <w:color w:val="auto"/>
              </w:rPr>
              <w:t>CROWDSTRIKE HOLDINGS, INC.</w:t>
            </w:r>
          </w:p>
        </w:tc>
      </w:tr>
      <w:tr>
        <w:trPr>
          <w:trHeight w:val="184"/>
        </w:trPr>
        <w:tc>
          <w:tcPr>
            <w:tcW w:w="3580" w:type="dxa"/>
            <w:vAlign w:val="bottom"/>
          </w:tcPr>
          <w:p>
            <w:pPr>
              <w:spacing w:after="0"/>
              <w:rPr>
                <w:sz w:val="16"/>
                <w:szCs w:val="16"/>
                <w:color w:val="auto"/>
              </w:rPr>
            </w:pPr>
          </w:p>
        </w:tc>
        <w:tc>
          <w:tcPr>
            <w:tcW w:w="310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George Kurtz</w:t>
            </w:r>
          </w:p>
        </w:tc>
      </w:tr>
      <w:tr>
        <w:trPr>
          <w:trHeight w:val="167"/>
        </w:trPr>
        <w:tc>
          <w:tcPr>
            <w:tcW w:w="3580" w:type="dxa"/>
            <w:vAlign w:val="bottom"/>
          </w:tcPr>
          <w:p>
            <w:pPr>
              <w:spacing w:after="0"/>
              <w:rPr>
                <w:sz w:val="14"/>
                <w:szCs w:val="14"/>
                <w:color w:val="auto"/>
              </w:rPr>
            </w:pPr>
          </w:p>
        </w:tc>
        <w:tc>
          <w:tcPr>
            <w:tcW w:w="310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Name:</w:t>
            </w: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Kurtz</w:t>
            </w:r>
          </w:p>
        </w:tc>
      </w:tr>
      <w:tr>
        <w:trPr>
          <w:trHeight w:val="142"/>
        </w:trPr>
        <w:tc>
          <w:tcPr>
            <w:tcW w:w="3580" w:type="dxa"/>
            <w:vAlign w:val="bottom"/>
          </w:tcPr>
          <w:p>
            <w:pPr>
              <w:spacing w:after="0"/>
              <w:rPr>
                <w:sz w:val="12"/>
                <w:szCs w:val="12"/>
                <w:color w:val="auto"/>
              </w:rPr>
            </w:pPr>
          </w:p>
        </w:tc>
        <w:tc>
          <w:tcPr>
            <w:tcW w:w="3100" w:type="dxa"/>
            <w:vAlign w:val="bottom"/>
          </w:tcPr>
          <w:p>
            <w:pPr>
              <w:ind w:left="2400"/>
              <w:spacing w:after="0" w:line="142" w:lineRule="exact"/>
              <w:rPr>
                <w:sz w:val="20"/>
                <w:szCs w:val="20"/>
                <w:color w:val="auto"/>
              </w:rPr>
            </w:pPr>
            <w:r>
              <w:rPr>
                <w:rFonts w:ascii="Times New Roman" w:cs="Times New Roman" w:eastAsia="Times New Roman" w:hAnsi="Times New Roman"/>
                <w:sz w:val="14"/>
                <w:szCs w:val="14"/>
                <w:color w:val="auto"/>
              </w:rPr>
              <w:t>Title:</w:t>
            </w:r>
          </w:p>
        </w:tc>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84"/>
        </w:trPr>
        <w:tc>
          <w:tcPr>
            <w:tcW w:w="35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897" w:right="31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EXCHANGE ACT RULES 13a-14(a) AND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Burt W. Podbere, certify that:</w:t>
      </w:r>
    </w:p>
    <w:p>
      <w:pPr>
        <w:spacing w:after="0" w:line="179" w:lineRule="exact"/>
        <w:rPr>
          <w:sz w:val="20"/>
          <w:szCs w:val="20"/>
          <w:color w:val="auto"/>
        </w:rPr>
      </w:pPr>
    </w:p>
    <w:p>
      <w:pPr>
        <w:ind w:left="520" w:hanging="260"/>
        <w:spacing w:after="0"/>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CrowdStrike Holdings, Inc.;</w:t>
      </w:r>
    </w:p>
    <w:p>
      <w:pPr>
        <w:spacing w:after="0" w:line="14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8"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5"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Times New Roman" w:cs="Times New Roman" w:eastAsia="Times New Roman" w:hAnsi="Times New Roman"/>
          <w:sz w:val="14"/>
          <w:szCs w:val="14"/>
          <w:color w:val="auto"/>
        </w:rPr>
      </w:pPr>
    </w:p>
    <w:p>
      <w:pPr>
        <w:ind w:left="760" w:right="420" w:hanging="246"/>
        <w:spacing w:after="0" w:line="287" w:lineRule="auto"/>
        <w:tabs>
          <w:tab w:leader="none" w:pos="758"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760" w:right="80" w:hanging="246"/>
        <w:spacing w:after="0" w:line="287" w:lineRule="auto"/>
        <w:tabs>
          <w:tab w:leader="none" w:pos="755"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520" w:right="380" w:hanging="260"/>
        <w:spacing w:after="0" w:line="287" w:lineRule="auto"/>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760" w:right="100" w:hanging="246"/>
        <w:spacing w:after="0" w:line="287" w:lineRule="auto"/>
        <w:tabs>
          <w:tab w:leader="none" w:pos="758"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tbl>
      <w:tblPr>
        <w:tblLayout w:type="fixed"/>
        <w:tblInd w:w="780" w:type="dxa"/>
        <w:tblCellMar>
          <w:top w:w="0" w:type="dxa"/>
          <w:left w:w="0" w:type="dxa"/>
          <w:bottom w:w="0" w:type="dxa"/>
          <w:right w:w="0" w:type="dxa"/>
        </w:tblCellMar>
      </w:tblP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Date: March 6, 2024</w:t>
            </w:r>
          </w:p>
        </w:tc>
        <w:tc>
          <w:tcPr>
            <w:tcW w:w="6620" w:type="dxa"/>
            <w:vAlign w:val="bottom"/>
            <w:gridSpan w:val="2"/>
          </w:tcPr>
          <w:p>
            <w:pPr>
              <w:ind w:left="2500"/>
              <w:spacing w:after="0"/>
              <w:rPr>
                <w:sz w:val="20"/>
                <w:szCs w:val="20"/>
                <w:color w:val="auto"/>
              </w:rPr>
            </w:pPr>
            <w:r>
              <w:rPr>
                <w:rFonts w:ascii="Times New Roman" w:cs="Times New Roman" w:eastAsia="Times New Roman" w:hAnsi="Times New Roman"/>
                <w:sz w:val="14"/>
                <w:szCs w:val="14"/>
                <w:color w:val="auto"/>
              </w:rPr>
              <w:t>CROWDSTRIKE HOLDINGS, INC.</w:t>
            </w:r>
          </w:p>
        </w:tc>
      </w:tr>
      <w:tr>
        <w:trPr>
          <w:trHeight w:val="184"/>
        </w:trPr>
        <w:tc>
          <w:tcPr>
            <w:tcW w:w="3680" w:type="dxa"/>
            <w:vAlign w:val="bottom"/>
          </w:tcPr>
          <w:p>
            <w:pPr>
              <w:spacing w:after="0"/>
              <w:rPr>
                <w:sz w:val="16"/>
                <w:szCs w:val="16"/>
                <w:color w:val="auto"/>
              </w:rPr>
            </w:pPr>
          </w:p>
        </w:tc>
        <w:tc>
          <w:tcPr>
            <w:tcW w:w="320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Burt W. Podbere</w:t>
            </w:r>
          </w:p>
        </w:tc>
      </w:tr>
      <w:tr>
        <w:trPr>
          <w:trHeight w:val="167"/>
        </w:trPr>
        <w:tc>
          <w:tcPr>
            <w:tcW w:w="3680" w:type="dxa"/>
            <w:vAlign w:val="bottom"/>
          </w:tcPr>
          <w:p>
            <w:pPr>
              <w:spacing w:after="0"/>
              <w:rPr>
                <w:sz w:val="14"/>
                <w:szCs w:val="14"/>
                <w:color w:val="auto"/>
              </w:rPr>
            </w:pPr>
          </w:p>
        </w:tc>
        <w:tc>
          <w:tcPr>
            <w:tcW w:w="320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Name:</w:t>
            </w: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Burt W. Podbere</w:t>
            </w:r>
          </w:p>
        </w:tc>
      </w:tr>
      <w:tr>
        <w:trPr>
          <w:trHeight w:val="149"/>
        </w:trPr>
        <w:tc>
          <w:tcPr>
            <w:tcW w:w="36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3680" w:type="dxa"/>
            <w:vAlign w:val="bottom"/>
          </w:tcPr>
          <w:p>
            <w:pPr>
              <w:spacing w:after="0"/>
              <w:rPr>
                <w:sz w:val="16"/>
                <w:szCs w:val="16"/>
                <w:color w:val="auto"/>
              </w:rPr>
            </w:pPr>
          </w:p>
        </w:tc>
        <w:tc>
          <w:tcPr>
            <w:tcW w:w="320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759"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 George Kurtz, the President and Chief Executive Officer of CrowdStrike Holdings, Inc., certify, pursuant to 18 U.S.C. Section 1350, as adopted pursuant to Section 906 of the Sarbanes-Oxley Act of 2002, that the Annual Report on Form 10-K of CrowdStrike Holdings, Inc. for the fiscal year ended January 31, 2024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March 6, 2024</w:t>
      </w:r>
    </w:p>
    <w:p>
      <w:pPr>
        <w:spacing w:after="0" w:line="23" w:lineRule="exact"/>
        <w:rPr>
          <w:sz w:val="20"/>
          <w:szCs w:val="20"/>
          <w:color w:val="auto"/>
        </w:rPr>
      </w:pPr>
    </w:p>
    <w:tbl>
      <w:tblPr>
        <w:tblLayout w:type="fixed"/>
        <w:tblInd w:w="6760" w:type="dxa"/>
        <w:tblCellMar>
          <w:top w:w="0" w:type="dxa"/>
          <w:left w:w="0" w:type="dxa"/>
          <w:bottom w:w="0" w:type="dxa"/>
          <w:right w:w="0" w:type="dxa"/>
        </w:tblCellMar>
      </w:tblPr>
      <w:tr>
        <w:trPr>
          <w:trHeight w:val="18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George Kurtz</w:t>
            </w: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Kurtz</w:t>
            </w:r>
          </w:p>
        </w:tc>
      </w:tr>
      <w:tr>
        <w:trPr>
          <w:trHeight w:val="142"/>
        </w:trPr>
        <w:tc>
          <w:tcPr>
            <w:tcW w:w="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Title:</w:t>
            </w:r>
          </w:p>
        </w:tc>
        <w:tc>
          <w:tcPr>
            <w:tcW w:w="3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84"/>
        </w:trPr>
        <w:tc>
          <w:tcPr>
            <w:tcW w:w="760" w:type="dxa"/>
            <w:vAlign w:val="bottom"/>
          </w:tcPr>
          <w:p>
            <w:pPr>
              <w:spacing w:after="0"/>
              <w:rPr>
                <w:sz w:val="16"/>
                <w:szCs w:val="16"/>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3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I, Burt W. Podbere, the Chief Financial Officer of CrowdStrike Holdings, Inc., certify, pursuant to 18 U.S.C. Section 1350, as adopted pursuant to Section 906 of the Sarbanes-Oxley Act of 2002, that the Annual Report on Form 10-K of CrowdStrike Holdings, Inc. for the fiscal year ended January 31, 2024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March 6, 2024</w:t>
      </w:r>
    </w:p>
    <w:p>
      <w:pPr>
        <w:spacing w:after="0" w:line="23" w:lineRule="exact"/>
        <w:rPr>
          <w:sz w:val="20"/>
          <w:szCs w:val="20"/>
          <w:color w:val="auto"/>
        </w:rPr>
      </w:pPr>
    </w:p>
    <w:tbl>
      <w:tblPr>
        <w:tblLayout w:type="fixed"/>
        <w:tblInd w:w="6760" w:type="dxa"/>
        <w:tblCellMar>
          <w:top w:w="0" w:type="dxa"/>
          <w:left w:w="0" w:type="dxa"/>
          <w:bottom w:w="0" w:type="dxa"/>
          <w:right w:w="0" w:type="dxa"/>
        </w:tblCellMar>
      </w:tblPr>
      <w:tr>
        <w:trPr>
          <w:trHeight w:val="18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Burt W. Podbere</w:t>
            </w: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Burt W. Podbere</w:t>
            </w:r>
          </w:p>
        </w:tc>
      </w:tr>
      <w:tr>
        <w:trPr>
          <w:trHeight w:val="142"/>
        </w:trPr>
        <w:tc>
          <w:tcPr>
            <w:tcW w:w="760" w:type="dxa"/>
            <w:vAlign w:val="bottom"/>
          </w:tcPr>
          <w:p>
            <w:pPr>
              <w:spacing w:after="0"/>
              <w:rPr>
                <w:sz w:val="12"/>
                <w:szCs w:val="12"/>
                <w:color w:val="auto"/>
              </w:rPr>
            </w:pPr>
          </w:p>
        </w:tc>
        <w:tc>
          <w:tcPr>
            <w:tcW w:w="3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Chief Financial Officer</w:t>
            </w:r>
          </w:p>
        </w:tc>
      </w:tr>
      <w:tr>
        <w:trPr>
          <w:trHeight w:val="19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728"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6"/>
          <w:szCs w:val="16"/>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CROWDSTRIKE HOLDINGS, INC. COMPENSATION RECOVERY POLICY</w:t>
      </w:r>
    </w:p>
    <w:p>
      <w:pPr>
        <w:spacing w:after="0" w:line="144" w:lineRule="exact"/>
        <w:rPr>
          <w:sz w:val="20"/>
          <w:szCs w:val="20"/>
          <w:color w:val="auto"/>
        </w:rPr>
      </w:pPr>
    </w:p>
    <w:p>
      <w:pPr>
        <w:jc w:val="both"/>
        <w:ind w:firstLine="509"/>
        <w:spacing w:after="0" w:line="221"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CrowdStrike Holdings,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Compensation Recovery Policy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effective as of October 2, 2023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xml:space="preserve">”). The Policy has been adopted pursuant to the listing rules of the Nasdaq Stock Market, which listing rules generally require the Company to recover reasonably promptly the amount of erroneously awarded incentive-based compensation from officers if the Company is required to prepare an accounting restatement due to the material noncompliance of the Company with any financial reporting requirement under the securities laws. Capitalized terms used in this Policy are defined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ind w:left="520" w:hanging="515"/>
        <w:spacing w:after="0"/>
        <w:tabs>
          <w:tab w:leader="none" w:pos="52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Compensation Subject to Policy</w:t>
      </w:r>
    </w:p>
    <w:p>
      <w:pPr>
        <w:spacing w:after="0" w:line="148"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This Policy shall apply to Incentive-Based Compensation received by Officers on or after the Effective Date. Any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Officer’s compensation became effective.</w:t>
      </w:r>
    </w:p>
    <w:p>
      <w:pPr>
        <w:spacing w:after="0" w:line="119" w:lineRule="exact"/>
        <w:rPr>
          <w:sz w:val="20"/>
          <w:szCs w:val="20"/>
          <w:color w:val="auto"/>
        </w:rPr>
      </w:pPr>
    </w:p>
    <w:p>
      <w:pPr>
        <w:ind w:left="520" w:hanging="515"/>
        <w:spacing w:after="0"/>
        <w:tabs>
          <w:tab w:leader="none" w:pos="52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Recovery of Compensation</w:t>
      </w:r>
    </w:p>
    <w:p>
      <w:pPr>
        <w:spacing w:after="0" w:line="148"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In the event that the Company is required to prepare a Restatement, the Company shall recover reasonably promptly from an Officer the portion of any Incentive-Based Compensation that is Erroneously Awarded Compensation received by such Officer, unless Impracticable.</w:t>
      </w:r>
    </w:p>
    <w:p>
      <w:pPr>
        <w:spacing w:after="0" w:line="118" w:lineRule="exact"/>
        <w:rPr>
          <w:sz w:val="20"/>
          <w:szCs w:val="20"/>
          <w:color w:val="auto"/>
        </w:rPr>
      </w:pPr>
    </w:p>
    <w:p>
      <w:pPr>
        <w:ind w:left="520" w:hanging="515"/>
        <w:spacing w:after="0"/>
        <w:tabs>
          <w:tab w:leader="none" w:pos="52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Manner of Recovery</w:t>
      </w:r>
    </w:p>
    <w:p>
      <w:pPr>
        <w:spacing w:after="0" w:line="148"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The Compensation Committee shall, in its sole discretion, determine the manner of recovery of any Erroneously Awarded Compensation, which may include, to the extent permitted by law:</w:t>
      </w:r>
    </w:p>
    <w:p>
      <w:pPr>
        <w:spacing w:after="0" w:line="122" w:lineRule="exact"/>
        <w:rPr>
          <w:sz w:val="20"/>
          <w:szCs w:val="20"/>
          <w:color w:val="auto"/>
        </w:rPr>
      </w:pPr>
    </w:p>
    <w:p>
      <w:pPr>
        <w:ind w:left="520" w:hanging="260"/>
        <w:spacing w:after="0" w:line="238" w:lineRule="auto"/>
        <w:tabs>
          <w:tab w:leader="none" w:pos="51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reimbursement by an Officer of cash Incentive-Based Compensation previously paid to such Officer by the Company or any parent or subsidiary of the Company;</w:t>
      </w:r>
    </w:p>
    <w:p>
      <w:pPr>
        <w:spacing w:after="0" w:line="121"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recovery of any gain realized by an Officer on the vesting, exercise, settlement, sale, transfer or other disposition of any equity-based awards granted to such Officer;</w:t>
      </w:r>
    </w:p>
    <w:p>
      <w:pPr>
        <w:spacing w:after="0" w:line="121"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offsetting the Erroneously Awarded Compensation from any compensation or other amounts otherwise owed to the Officer;</w:t>
      </w:r>
    </w:p>
    <w:p>
      <w:pPr>
        <w:spacing w:after="0" w:line="144"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outstanding vested or unvested equity or incentive awards (including awards the vesting of which is solely service-based) granted to such Officer; and</w:t>
      </w:r>
    </w:p>
    <w:p>
      <w:pPr>
        <w:spacing w:after="0" w:line="121"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taking any other remedial action that would be appropriate to accomplish recovery, as determined by the Compensation Committee.</w:t>
      </w:r>
    </w:p>
    <w:p>
      <w:pPr>
        <w:sectPr>
          <w:pgSz w:w="11900" w:h="16838" w:orient="portrait"/>
          <w:cols w:equalWidth="0" w:num="1">
            <w:col w:w="11280"/>
          </w:cols>
          <w:pgMar w:left="300" w:top="131" w:right="319" w:bottom="1440" w:gutter="0" w:footer="0" w:header="0"/>
        </w:sectPr>
      </w:pPr>
    </w:p>
    <w:bookmarkStart w:id="194" w:name="page195"/>
    <w:bookmarkEnd w:id="194"/>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The Compensation Committee shall use reasonable efforts to avoid selecting a method for recovery of Incentive-Based Compensation that would (i) cause a violation of the payment timing rules of Section 409A of the Internal Revenue Code of 1986, as amended; (ii) result in the Officer being subject to the interest and additional tax provisions of Section 409A(a)(1)(B) thereof; or (iii) have any similar effect under any similar law of any jurisdiction to which the Company or any subsidiary or any Officer is subject.</w:t>
      </w:r>
    </w:p>
    <w:p>
      <w:pPr>
        <w:spacing w:after="0" w:line="118" w:lineRule="exact"/>
        <w:rPr>
          <w:sz w:val="20"/>
          <w:szCs w:val="20"/>
          <w:color w:val="auto"/>
        </w:rPr>
      </w:pPr>
    </w:p>
    <w:p>
      <w:pPr>
        <w:ind w:left="520" w:hanging="515"/>
        <w:spacing w:after="0"/>
        <w:tabs>
          <w:tab w:leader="none" w:pos="52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Administration</w:t>
      </w:r>
    </w:p>
    <w:p>
      <w:pPr>
        <w:spacing w:after="0" w:line="148"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This Policy will be administered, interpreted and construed by the Compensation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“Compensation Committee” shall be deemed to be references to the Board. All determinations and decisions made by the Compensation Committee pursuant to the provisions of this Policy shall be final, conclusive and binding on all persons, including the Company and its affiliates, stockholders and employees. The Compensation Committee may delegate ministerial administrative duties with respect to this Policy to one or more directors or employees of the Company, as permitted under applicable law.</w:t>
      </w:r>
    </w:p>
    <w:p>
      <w:pPr>
        <w:spacing w:after="0" w:line="119" w:lineRule="exact"/>
        <w:rPr>
          <w:sz w:val="20"/>
          <w:szCs w:val="20"/>
          <w:color w:val="auto"/>
        </w:rPr>
      </w:pPr>
    </w:p>
    <w:p>
      <w:pPr>
        <w:ind w:left="520" w:hanging="515"/>
        <w:spacing w:after="0"/>
        <w:tabs>
          <w:tab w:leader="none" w:pos="52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Interpretation</w:t>
      </w:r>
    </w:p>
    <w:p>
      <w:pPr>
        <w:spacing w:after="0" w:line="148" w:lineRule="exact"/>
        <w:rPr>
          <w:sz w:val="20"/>
          <w:szCs w:val="20"/>
          <w:color w:val="auto"/>
        </w:rPr>
      </w:pPr>
    </w:p>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This Policy will be interpreted in a manner that is consistent with the requirements of Section 10D of the Securities Exchange Act of 1934, Rule 10D-1 promulgated thereunder, the listing rules of the Nasdaq Stock Market, and any applicable rules, standards or other guidance adopted by the Securities and Exchange Commission or any national securities exchange or association on which the Company’s securities are listed, and to the extent this Policy is inconsistent with such requirements, rules, standards or other guidance, it shall be deemed amended to the minimum extent necessary to ensure compliance therewith. The Compensation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Incentive-Based Compensation shall not be deemed earned, solely for purposes of state wage law, until the last date on which such Incentive-Based Compensation is not subject to potential recoupment pursuant to this Policy.</w:t>
      </w:r>
    </w:p>
    <w:p>
      <w:pPr>
        <w:spacing w:after="0" w:line="116" w:lineRule="exact"/>
        <w:rPr>
          <w:sz w:val="20"/>
          <w:szCs w:val="20"/>
          <w:color w:val="auto"/>
        </w:rPr>
      </w:pPr>
    </w:p>
    <w:p>
      <w:pPr>
        <w:ind w:left="520" w:hanging="515"/>
        <w:spacing w:after="0"/>
        <w:tabs>
          <w:tab w:leader="none" w:pos="52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Indemnification; No Liability</w:t>
      </w:r>
    </w:p>
    <w:p>
      <w:pPr>
        <w:spacing w:after="0" w:line="148"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The Company shall not indemnify any Officer against the loss of any Erroneously Awarded Compensation pursuant to this Policy, nor shall the Company directly or indirectly pay or reimburse any Officer for any premiums for third-party insurance policies that such Officer may elect to purchase to fund such Officer’s potential recovery obligations under the Policy. None of the Company, an affiliate of the Company or any member of the Board shall have any liability to an Officer as a result of actions taken under this Policy.</w:t>
      </w:r>
    </w:p>
    <w:p>
      <w:pPr>
        <w:spacing w:after="0" w:line="118" w:lineRule="exact"/>
        <w:rPr>
          <w:sz w:val="20"/>
          <w:szCs w:val="20"/>
          <w:color w:val="auto"/>
        </w:rPr>
      </w:pPr>
    </w:p>
    <w:p>
      <w:pPr>
        <w:ind w:left="520" w:hanging="515"/>
        <w:spacing w:after="0"/>
        <w:tabs>
          <w:tab w:leader="none" w:pos="5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Enforceability</w:t>
      </w:r>
    </w:p>
    <w:p>
      <w:pPr>
        <w:spacing w:after="0" w:line="148"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adoption of this Policy does not limit, and is intended to enhance, the effect of any recoupment, forfeiture or similar policies in any employment agreement, bonus plan, equity-based award agreement or similar agreement. The remedy specified in this Policy shall not be exclusive and shall be in addition to every other right or remedy at law or in equity that may be available to the Company or an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243" w:right="319" w:bottom="1440" w:gutter="0" w:footer="0" w:header="0"/>
        </w:sectPr>
      </w:pPr>
    </w:p>
    <w:bookmarkStart w:id="195" w:name="page196"/>
    <w:bookmarkEnd w:id="195"/>
    <w:p>
      <w:pPr>
        <w:ind w:left="260" w:hanging="255"/>
        <w:spacing w:after="0"/>
        <w:tabs>
          <w:tab w:leader="none" w:pos="26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Severability</w:t>
      </w:r>
    </w:p>
    <w:p>
      <w:pPr>
        <w:spacing w:after="0" w:line="148"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239" w:right="319" w:bottom="1440" w:gutter="0" w:footer="0" w:header="0"/>
        </w:sectPr>
      </w:pPr>
    </w:p>
    <w:bookmarkStart w:id="196" w:name="page197"/>
    <w:bookmarkEnd w:id="196"/>
    <w:p>
      <w:pPr>
        <w:ind w:left="5200"/>
        <w:spacing w:after="0"/>
        <w:rPr>
          <w:sz w:val="20"/>
          <w:szCs w:val="20"/>
          <w:color w:val="auto"/>
        </w:rPr>
      </w:pPr>
      <w:r>
        <w:rPr>
          <w:rFonts w:ascii="Times New Roman" w:cs="Times New Roman" w:eastAsia="Times New Roman" w:hAnsi="Times New Roman"/>
          <w:sz w:val="17"/>
          <w:szCs w:val="17"/>
          <w:b w:val="1"/>
          <w:bCs w:val="1"/>
          <w:u w:val="single" w:color="auto"/>
          <w:color w:val="auto"/>
        </w:rPr>
        <w:t>Appendix A</w:t>
      </w:r>
    </w:p>
    <w:p>
      <w:pPr>
        <w:spacing w:after="0" w:line="1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Definitions</w:t>
      </w:r>
    </w:p>
    <w:p>
      <w:pPr>
        <w:spacing w:after="0" w:line="14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Compensation Committee</w:t>
      </w:r>
      <w:r>
        <w:rPr>
          <w:rFonts w:ascii="Times New Roman" w:cs="Times New Roman" w:eastAsia="Times New Roman" w:hAnsi="Times New Roman"/>
          <w:sz w:val="17"/>
          <w:szCs w:val="17"/>
          <w:color w:val="auto"/>
        </w:rPr>
        <w:t>” means the Compensation Committee of the Board comprised of independent directors, or in the absence of such a committee, a majority of the independent directors serving on the Board.</w:t>
      </w:r>
    </w:p>
    <w:p>
      <w:pPr>
        <w:spacing w:after="0" w:line="115"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Erroneously Awarded Compensation</w:t>
      </w:r>
      <w:r>
        <w:rPr>
          <w:rFonts w:ascii="Times New Roman" w:cs="Times New Roman" w:eastAsia="Times New Roman" w:hAnsi="Times New Roman"/>
          <w:sz w:val="17"/>
          <w:szCs w:val="17"/>
          <w:color w:val="auto"/>
        </w:rPr>
        <w:t>” means the excess of (x) the amount of Incentive-Based Compensation received based on the achievement of a Financial Reporting Measure that was subsequently revised due to the Restatement, over (y) the amount of Incentive-Based Compensation that would have been received based on the restated Financial Reporting Measure, as determined on a pre-tax basis. To determine the amount of Incentive-Based Compensation that would have been received based on the restated Financial Reporting Measure, the following shall be applied and considered:</w:t>
      </w:r>
    </w:p>
    <w:p>
      <w:pPr>
        <w:spacing w:after="0" w:line="123" w:lineRule="exact"/>
        <w:rPr>
          <w:sz w:val="20"/>
          <w:szCs w:val="20"/>
          <w:color w:val="auto"/>
        </w:rPr>
      </w:pPr>
    </w:p>
    <w:p>
      <w:pPr>
        <w:ind w:left="520" w:hanging="260"/>
        <w:spacing w:after="0" w:line="238" w:lineRule="auto"/>
        <w:tabs>
          <w:tab w:leader="none" w:pos="5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cash awards, Erroneously Award Compensation is the difference between the amount of the cash award (whether payable as a lump sum or over time) that was received and the amount that should have been received applying the restated Financial Reporting Measure;</w:t>
      </w:r>
    </w:p>
    <w:p>
      <w:pPr>
        <w:spacing w:after="0" w:line="121"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cash awards paid from bonus pools, Erroneously Award Compensation is the pro rata portion of any deficiency that results from the aggregate bonus pool that is reduced based on applying the restated Financial Reporting Measure;</w:t>
      </w:r>
    </w:p>
    <w:p>
      <w:pPr>
        <w:spacing w:after="0" w:line="121"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equity awards still held at the time of recovery, Erroneously Award Compensation is the number of such securities received in excess of the number that should have been received applying the restated Financial Reporting Measure (or the value of such excess number);</w:t>
      </w:r>
    </w:p>
    <w:p>
      <w:pPr>
        <w:spacing w:after="0" w:line="121"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shares already issued upon exercise or settlement of equity awards where the underlying shares remain unsold, Erroneously Award Compensation is the number of shares underlying the excess equity awards (or the value of such excess awards); and</w:t>
      </w:r>
    </w:p>
    <w:p>
      <w:pPr>
        <w:spacing w:after="0" w:line="121" w:lineRule="exact"/>
        <w:rPr>
          <w:rFonts w:ascii="Times New Roman" w:cs="Times New Roman" w:eastAsia="Times New Roman" w:hAnsi="Times New Roman"/>
          <w:sz w:val="17"/>
          <w:szCs w:val="17"/>
          <w:color w:val="auto"/>
        </w:rPr>
      </w:pPr>
    </w:p>
    <w:p>
      <w:pPr>
        <w:jc w:val="both"/>
        <w:ind w:left="520" w:hanging="260"/>
        <w:spacing w:after="0" w:line="223" w:lineRule="auto"/>
        <w:tabs>
          <w:tab w:leader="none" w:pos="5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Incentive-Based Compensation based on total stockholder return or stock price, where the amount of Erroneously Awarded Compensation is not subject to mathematical recalculation directly from the information in the Restatement, Erroneously Award Compensation is the Compensation Committee’s reasonable estimate of the effect of the Restatement on the total stockholder return or stock price on which the Incentive-Based Compensation was received, with documentation of the determination of such reasonable estimate provided to the applicable listing exchange or association.</w:t>
      </w:r>
    </w:p>
    <w:p>
      <w:pPr>
        <w:spacing w:after="0" w:line="118"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means any measure determined and presented in accordance with the accounting principles used in preparing the Company’s financial statements, and any measures derived wholly or in part from such financial statements, including both GAAP and non-GAAP financial measures, as well as stock price and total stockholder return.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239" w:right="319" w:bottom="1440" w:gutter="0" w:footer="0" w:header="0"/>
        </w:sectPr>
      </w:pPr>
    </w:p>
    <w:bookmarkStart w:id="197" w:name="page198"/>
    <w:bookmarkEnd w:id="197"/>
    <w:p>
      <w:pPr>
        <w:jc w:val="both"/>
        <w:ind w:firstLine="509"/>
        <w:spacing w:after="0" w:line="22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Impracticable</w:t>
      </w:r>
      <w:r>
        <w:rPr>
          <w:rFonts w:ascii="Times New Roman" w:cs="Times New Roman" w:eastAsia="Times New Roman" w:hAnsi="Times New Roman"/>
          <w:sz w:val="17"/>
          <w:szCs w:val="17"/>
          <w:color w:val="auto"/>
        </w:rPr>
        <w:t xml:space="preserve">” means the Compensation Committee has determined that recovery of the Erroneously Awarded Compensation would be impracticable, and either (i) the direct costs paid to third parties to assist in enforcing recovery would exceed the Erroneously Awarded Compensation,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prior to making such determination the Company has (a) made a reasonable attempt to recover the Erroneously Awarded Compensation, (b) documented such attempt(s), and (c) provided such documentation to the Nasdaq Stock Market; or (ii) the recovery would likely cause an otherwise tax-qualified retirement plan, under which benefits are broadly available to employees of the Company, to fail to meet the requirements of 26 U.S.C. 401(a)(13) or 26 U.S.C. 411(a) and regulations thereunder.</w:t>
      </w:r>
    </w:p>
    <w:p>
      <w:pPr>
        <w:spacing w:after="0" w:line="11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means, with respect to any Restatement, any compensation that is granted, earned, or vested based wholly or in part upon the attainment of one or more Financial Reporting Measures and received by an Officer during the applicable Three-Year Period, and, for purposes of this definition:</w:t>
      </w:r>
    </w:p>
    <w:p>
      <w:pPr>
        <w:spacing w:after="0" w:line="119" w:lineRule="exact"/>
        <w:rPr>
          <w:sz w:val="20"/>
          <w:szCs w:val="20"/>
          <w:color w:val="auto"/>
        </w:rPr>
      </w:pPr>
    </w:p>
    <w:p>
      <w:pPr>
        <w:jc w:val="both"/>
        <w:ind w:left="520" w:hanging="260"/>
        <w:spacing w:after="0" w:line="228" w:lineRule="auto"/>
        <w:tabs>
          <w:tab w:leader="none" w:pos="5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compensation shall be deemed to have been received when the Financial Reporting Measure is attained or satisfied, without regard to (a) whether the grant, vesting or payment of the Incentive-Based Compensation occurs after the end of the Three-Year Period or (b) ministerial acts or other conditions necessary to effect issuance or payment, such as calculating the amount earned or obtaining Board approval of payment;</w:t>
      </w:r>
    </w:p>
    <w:p>
      <w:pPr>
        <w:spacing w:after="0" w:line="121" w:lineRule="exact"/>
        <w:rPr>
          <w:rFonts w:ascii="Times New Roman" w:cs="Times New Roman" w:eastAsia="Times New Roman" w:hAnsi="Times New Roman"/>
          <w:sz w:val="17"/>
          <w:szCs w:val="17"/>
          <w:color w:val="auto"/>
        </w:rPr>
      </w:pPr>
    </w:p>
    <w:p>
      <w:pPr>
        <w:jc w:val="both"/>
        <w:ind w:left="520" w:hanging="260"/>
        <w:spacing w:after="0" w:line="228" w:lineRule="auto"/>
        <w:tabs>
          <w:tab w:leader="none" w:pos="5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granted based wholly or partly on the satisfaction of a Financial Reporting Measure performance goal would be deemed wholly or partly received in the fiscal period when the measure was satisfied, even if the award is contingent upon the occurrence of other events or satisfaction of additional conditions, such as continued service with the Company;</w:t>
      </w:r>
    </w:p>
    <w:p>
      <w:pPr>
        <w:spacing w:after="0" w:line="121"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equity award that vests wholly or partly upon satisfaction of a Financial Reporting Measure performance condition would be deemed to have been wholly or partly received in the fiscal period when it vests;</w:t>
      </w:r>
    </w:p>
    <w:p>
      <w:pPr>
        <w:spacing w:after="0" w:line="121"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non-equity incentive plan award would be deemed received in the fiscal year that the Officer earns the award based on satisfaction of the relevant Financial Reporting Measure performance goal, and not on the subsequent date on which the award is paid;</w:t>
      </w:r>
    </w:p>
    <w:p>
      <w:pPr>
        <w:spacing w:after="0" w:line="121"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cash award earned upon satisfaction of a Financial Reporting Measure performance goal would be deemed to have been received in the fiscal period when that measure is satisfied; and</w:t>
      </w:r>
    </w:p>
    <w:p>
      <w:pPr>
        <w:spacing w:after="0" w:line="121"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Incentive-Based Compensation received by any person before such person’s commencement of service as an Officer will be subject to recovery under this Policy.</w:t>
      </w:r>
    </w:p>
    <w:p>
      <w:pPr>
        <w:spacing w:after="0" w:line="11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with respect to any Restatement, each person who served as an executive officer, as defined in Rule 10D-1(d) under the Securities Exchange Act of 1934, as amended, at any time during the applicable Three-Year Period.</w:t>
      </w:r>
    </w:p>
    <w:p>
      <w:pPr>
        <w:spacing w:after="0" w:line="115"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Restatement</w:t>
      </w:r>
      <w:r>
        <w:rPr>
          <w:rFonts w:ascii="Times New Roman" w:cs="Times New Roman" w:eastAsia="Times New Roman" w:hAnsi="Times New Roman"/>
          <w:sz w:val="17"/>
          <w:szCs w:val="17"/>
          <w:color w:val="auto"/>
        </w:rPr>
        <w:t>” means an accounting restatement to correct the Company’s material noncompliance with any financial reporting requirement under securities laws, including restatements that (a) correct an error in previously issued financial statements that is material to the previously issued financial statements or (b) would result in a material misstatement if the error were corrected in the current period or left uncorrected in the current period.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239" w:right="319" w:bottom="1440" w:gutter="0" w:footer="0" w:header="0"/>
        </w:sectPr>
      </w:pPr>
    </w:p>
    <w:bookmarkStart w:id="198" w:name="page199"/>
    <w:bookmarkEnd w:id="198"/>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Three-Year Period</w:t>
      </w:r>
      <w:r>
        <w:rPr>
          <w:rFonts w:ascii="Times New Roman" w:cs="Times New Roman" w:eastAsia="Times New Roman" w:hAnsi="Times New Roman"/>
          <w:sz w:val="17"/>
          <w:szCs w:val="17"/>
          <w:color w:val="auto"/>
        </w:rPr>
        <w:t>” means the three completed fiscal years immediately preceding the date that the Board, a committee of the Board, or any of the Company’s employees that are so authorized, concludes, or reasonably should have concluded, that the Company is required to prepare a Restatement, or, if earlier, the date on which a court, regulator or other legally authorized body directs the Company to prepare a Restatement.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sectPr>
      <w:pgSz w:w="11900" w:h="16838" w:orient="portrait"/>
      <w:cols w:equalWidth="0" w:num="1">
        <w:col w:w="11280"/>
      </w:cols>
      <w:pgMar w:left="300" w:top="123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3"/>
    </w:lvl>
  </w:abstractNum>
  <w:abstractNum w:abstractNumId="64">
    <w:nsid w:val="613EFDC5"/>
    <w:multiLevelType w:val="hybridMultilevel"/>
    <w:lvl w:ilvl="0">
      <w:lvlJc w:val="left"/>
      <w:lvlText w:val="%1."/>
      <w:numFmt w:val="decimal"/>
      <w:start w:val="382"/>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1."/>
      <w:numFmt w:val="decimal"/>
      <w:start w:val="7"/>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1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104"/>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1."/>
      <w:numFmt w:val="decimal"/>
      <w:start w:val="1"/>
    </w:lvl>
    <w:lvl w:ilvl="1">
      <w:lvlJc w:val="left"/>
      <w:lvlText w:val="(%2)"/>
      <w:numFmt w:val="lowerLetter"/>
      <w:start w:val="1"/>
    </w:lvl>
  </w:abstractNum>
  <w:abstractNum w:abstractNumId="75">
    <w:nsid w:val="6A5EE64"/>
    <w:multiLevelType w:val="hybridMultilevel"/>
    <w:lvl w:ilvl="0">
      <w:lvlJc w:val="left"/>
      <w:lvlText w:val="%1."/>
      <w:numFmt w:val="decimal"/>
      <w:start w:val="1"/>
    </w:lvl>
    <w:lvl w:ilvl="1">
      <w:lvlJc w:val="left"/>
      <w:lvlText w:val="(%2)"/>
      <w:numFmt w:val="lowerLetter"/>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2"/>
    </w:lvl>
  </w:abstractNum>
  <w:abstractNum w:abstractNumId="78">
    <w:nsid w:val="1A27709E"/>
    <w:multiLevelType w:val="hybridMultilevel"/>
    <w:lvl w:ilvl="0">
      <w:lvlJc w:val="left"/>
      <w:lvlText w:val="%1."/>
      <w:numFmt w:val="decimal"/>
      <w:start w:val="3"/>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1."/>
      <w:numFmt w:val="decimal"/>
      <w:start w:val="4"/>
    </w:lvl>
  </w:abstractNum>
  <w:abstractNum w:abstractNumId="81">
    <w:nsid w:val="7FB7E0AA"/>
    <w:multiLevelType w:val="hybridMultilevel"/>
    <w:lvl w:ilvl="0">
      <w:lvlJc w:val="left"/>
      <w:lvlText w:val="%1."/>
      <w:numFmt w:val="decimal"/>
      <w:start w:val="5"/>
    </w:lvl>
  </w:abstractNum>
  <w:abstractNum w:abstractNumId="82">
    <w:nsid w:val="6EB5BD4"/>
    <w:multiLevelType w:val="hybridMultilevel"/>
    <w:lvl w:ilvl="0">
      <w:lvlJc w:val="left"/>
      <w:lvlText w:val="%1."/>
      <w:numFmt w:val="decimal"/>
      <w:start w:val="6"/>
    </w:lvl>
  </w:abstractNum>
  <w:abstractNum w:abstractNumId="83">
    <w:nsid w:val="6F6DD9AC"/>
    <w:multiLevelType w:val="hybridMultilevel"/>
    <w:lvl w:ilvl="0">
      <w:lvlJc w:val="left"/>
      <w:lvlText w:val="%1."/>
      <w:numFmt w:val="decimal"/>
      <w:start w:val="7"/>
    </w:lvl>
  </w:abstractNum>
  <w:abstractNum w:abstractNumId="84">
    <w:nsid w:val="94211F2"/>
    <w:multiLevelType w:val="hybridMultilevel"/>
    <w:lvl w:ilvl="0">
      <w:lvlJc w:val="left"/>
      <w:lvlText w:val="%1."/>
      <w:numFmt w:val="decimal"/>
      <w:start w:val="8"/>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201"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179" Type="http://schemas.openxmlformats.org/officeDocument/2006/relationships/hyperlink" Target="http://www.sec.gov/Archives/edgar/data/1535527/000110465919035685/a19-11597_1ex3d1.htm" TargetMode="External"/><Relationship Id="rId180" Type="http://schemas.openxmlformats.org/officeDocument/2006/relationships/hyperlink" Target="http://www.sec.gov/Archives/edgar/data/1535527/000110465923028507/tm238330d1_ex3-2.htm" TargetMode="External"/><Relationship Id="rId181" Type="http://schemas.openxmlformats.org/officeDocument/2006/relationships/hyperlink" Target="http://www.sec.gov/Archives/edgar/data/1535527/000104746919003095/a2238800zex-4_1.htm" TargetMode="External"/><Relationship Id="rId182" Type="http://schemas.openxmlformats.org/officeDocument/2006/relationships/hyperlink" Target="http://www.sec.gov/Archives/edgar/data/1535527/000104746919003095/a2238800zex-4_2.htm" TargetMode="External"/><Relationship Id="rId183" Type="http://schemas.openxmlformats.org/officeDocument/2006/relationships/hyperlink" Target="http://www.sec.gov/Archives/edgar/data/1535527/000104746919003341/a2238881zex-4_3.htm" TargetMode="External"/><Relationship Id="rId184" Type="http://schemas.openxmlformats.org/officeDocument/2006/relationships/hyperlink" Target="http://www.sec.gov/Archives/edgar/data/1535527/000153552720000006/crwdex44-descriptionof.htm" TargetMode="External"/><Relationship Id="rId185" Type="http://schemas.openxmlformats.org/officeDocument/2006/relationships/hyperlink" Target="http://www.sec.gov/Archives/edgar/data/1535527/000110465921005883/tm213272d1_ex4-1.htm" TargetMode="External"/><Relationship Id="rId186" Type="http://schemas.openxmlformats.org/officeDocument/2006/relationships/hyperlink" Target="http://www.sec.gov/Archives/edgar/data/1535527/000110465921005883/tm213272d1_ex4-2.htm" TargetMode="External"/><Relationship Id="rId187" Type="http://schemas.openxmlformats.org/officeDocument/2006/relationships/hyperlink" Target="http://www.sec.gov/Archives/edgar/data/1535527/000104746919003095/a2238800zex-10_1.htm" TargetMode="External"/><Relationship Id="rId188" Type="http://schemas.openxmlformats.org/officeDocument/2006/relationships/hyperlink" Target="http://www.sec.gov/Archives/edgar/data/1535527/000104746919003341/a2238881zex-10_2.htm" TargetMode="External"/><Relationship Id="rId189" Type="http://schemas.openxmlformats.org/officeDocument/2006/relationships/hyperlink" Target="http://www.sec.gov/Archives/edgar/data/1535527/000153552720000019/ex-101formofdirectoran.htm" TargetMode="External"/><Relationship Id="rId190" Type="http://schemas.openxmlformats.org/officeDocument/2006/relationships/hyperlink" Target="http://www.sec.gov/Archives/edgar/data/1535527/000153552721000007/exhibit104_crwd-directorin.htm" TargetMode="External"/><Relationship Id="rId191" Type="http://schemas.openxmlformats.org/officeDocument/2006/relationships/hyperlink" Target="http://www.sec.gov/Archives/edgar/data/1535527/000153552720000012/crwd-20200430xex101.htm" TargetMode="External"/><Relationship Id="rId192" Type="http://schemas.openxmlformats.org/officeDocument/2006/relationships/hyperlink" Target="http://www.sec.gov/Archives/edgar/data/1535527/000104746919003095/a2238800zex-10_4.htm" TargetMode="External"/><Relationship Id="rId193" Type="http://schemas.openxmlformats.org/officeDocument/2006/relationships/hyperlink" Target="http://www.sec.gov/Archives/edgar/data/0001535527/000153552721000022/crowdstrike-2019espp.htm" TargetMode="External"/><Relationship Id="rId194" Type="http://schemas.openxmlformats.org/officeDocument/2006/relationships/hyperlink" Target="http://www.sec.gov/Archives/edgar/data/1535527/000153552723000014/crwd-fy24ciptcs42423.htm" TargetMode="External"/><Relationship Id="rId195" Type="http://schemas.openxmlformats.org/officeDocument/2006/relationships/hyperlink" Target="http://www.sec.gov/Archives/edgar/data/1535527/000153552723000020/outsidedirectorcompensatio.htm" TargetMode="External"/><Relationship Id="rId196" Type="http://schemas.openxmlformats.org/officeDocument/2006/relationships/hyperlink" Target="http://www.sec.gov/Archives/edgar/data/1535527/000104746919003095/a2238800zex-10_6.htm" TargetMode="External"/><Relationship Id="rId197" Type="http://schemas.openxmlformats.org/officeDocument/2006/relationships/hyperlink" Target="http://www.sec.gov/Archives/edgar/data/1535527/000104746919003095/a2238800zex-10_8.htm" TargetMode="External"/><Relationship Id="rId198" Type="http://schemas.openxmlformats.org/officeDocument/2006/relationships/hyperlink" Target="http://www.sec.gov/Archives/edgar/data/1535527/000153552722000006/ex-1018_crowdstrikeaustinl.htm" TargetMode="External"/><Relationship Id="rId199" Type="http://schemas.openxmlformats.org/officeDocument/2006/relationships/hyperlink" Target="http://www.sec.gov/Archives/edgar/data/1535527/000153552722000006/ex-1019_crowdstrikeaustin1.htm" TargetMode="External"/><Relationship Id="rId200" Type="http://schemas.openxmlformats.org/officeDocument/2006/relationships/hyperlink" Target="http://www.sec.gov/Archives/edgar/data/1535527/000153552722000006/ex-1020_crowdstrikexarcred.htm" TargetMode="External"/><Relationship Id="rId202" Type="http://schemas.openxmlformats.org/officeDocument/2006/relationships/hyperlink" Target="https://www.sec.gov/Archives/edgar/data/1535527/000153552721000022/gk-specialpsuawardagreemen.htm" TargetMode="External"/><Relationship Id="rId203" Type="http://schemas.openxmlformats.org/officeDocument/2006/relationships/hyperlink" Target="http://www.sec.gov/Archives/edgar/data/1535527/000153552721000022/crowdstrike-ceocicandsever.htm" TargetMode="External"/><Relationship Id="rId204" Type="http://schemas.openxmlformats.org/officeDocument/2006/relationships/hyperlink" Target="http://www.sec.gov/Archives/edgar/data/1535527/000110465922004504/tm222862d1_ex10-1.htm" TargetMode="External"/><Relationship Id="rId205" Type="http://schemas.openxmlformats.org/officeDocument/2006/relationships/hyperlink" Target="http://www.sec.gov/Archives/edgar/data/1535527/000153552721000013/a102_henrysupdated.htm" TargetMode="External"/><Relationship Id="rId206" Type="http://schemas.openxmlformats.org/officeDocument/2006/relationships/hyperlink" Target="http://www.sec.gov/Archives/edgar/data/1535527/000153552721000022/gk-specialpsuawardagreemen.htm" TargetMode="External"/><Relationship Id="rId207" Type="http://schemas.openxmlformats.org/officeDocument/2006/relationships/hyperlink" Target="http://www.sec.gov/Archives/edgar/data/1535527/000153552723000008/austin_xsecondxamendment.htm" TargetMode="External"/><Relationship Id="rId208"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2024-03-07T05:21:19Z</dcterms:created>
  <dcterms:modified xsi:type="dcterms:W3CDTF">2024-03-07T05:21:19Z</dcterms:modified>
</cp:coreProperties>
</file>