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0001201326</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7"/>
              </w:rPr>
              <w:t>CrowdStrike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001-38933</w:t>
            </w:r>
          </w:p>
        </w:tc>
      </w:tr>
      <w:tr>
        <w:trPr>
          <w:trHeight w:val="258"/>
        </w:trPr>
        <w:tc>
          <w:tcPr>
            <w:tcW w:w="300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206 E. 9th Street</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Suite 1400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40" w:type="dxa"/>
            <w:vAlign w:val="bottom"/>
          </w:tcPr>
          <w:p>
            <w:pPr>
              <w:spacing w:after="0"/>
              <w:rPr>
                <w:sz w:val="21"/>
                <w:szCs w:val="21"/>
                <w:color w:val="auto"/>
              </w:rPr>
            </w:pPr>
          </w:p>
        </w:tc>
        <w:tc>
          <w:tcPr>
            <w:tcW w:w="3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Austin</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78701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1-888-512-8906</w:t>
            </w:r>
          </w:p>
        </w:tc>
      </w:tr>
      <w:tr>
        <w:trPr>
          <w:trHeight w:val="297"/>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Potomac Investments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17527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9250224.79</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254580533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05/08/2026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4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304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Acquired from a</w:t>
            </w:r>
          </w:p>
        </w:tc>
        <w:tc>
          <w:tcPr>
            <w:tcW w:w="15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Accel Growth</w:t>
            </w:r>
          </w:p>
        </w:tc>
        <w:tc>
          <w:tcPr>
            <w:tcW w:w="26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3040" w:type="dxa"/>
            <w:vAlign w:val="bottom"/>
            <w:vMerge w:val="restart"/>
          </w:tcPr>
          <w:p>
            <w:pPr>
              <w:ind w:left="1380"/>
              <w:spacing w:after="0" w:line="217" w:lineRule="exact"/>
              <w:rPr>
                <w:sz w:val="20"/>
                <w:szCs w:val="20"/>
                <w:color w:val="auto"/>
              </w:rPr>
            </w:pPr>
            <w:r>
              <w:rPr>
                <w:rFonts w:ascii="Times New Roman" w:cs="Times New Roman" w:eastAsia="Times New Roman" w:hAnsi="Times New Roman"/>
                <w:sz w:val="22"/>
                <w:szCs w:val="22"/>
                <w:color w:val="auto"/>
              </w:rPr>
              <w:t>distribution by a</w:t>
            </w:r>
          </w:p>
        </w:tc>
        <w:tc>
          <w:tcPr>
            <w:tcW w:w="150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1140" w:type="dxa"/>
            <w:vAlign w:val="bottom"/>
          </w:tcPr>
          <w:p>
            <w:pPr>
              <w:spacing w:after="0"/>
              <w:rPr>
                <w:sz w:val="4"/>
                <w:szCs w:val="4"/>
                <w:color w:val="auto"/>
              </w:rPr>
            </w:pPr>
          </w:p>
        </w:tc>
        <w:tc>
          <w:tcPr>
            <w:tcW w:w="3040" w:type="dxa"/>
            <w:vAlign w:val="bottom"/>
            <w:vMerge w:val="continue"/>
          </w:tcPr>
          <w:p>
            <w:pPr>
              <w:spacing w:after="0"/>
              <w:rPr>
                <w:sz w:val="4"/>
                <w:szCs w:val="4"/>
                <w:color w:val="auto"/>
              </w:rPr>
            </w:pPr>
          </w:p>
        </w:tc>
        <w:tc>
          <w:tcPr>
            <w:tcW w:w="150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040" w:type="dxa"/>
            <w:vAlign w:val="bottom"/>
          </w:tcPr>
          <w:p>
            <w:pPr>
              <w:ind w:left="340"/>
              <w:spacing w:after="0" w:line="243" w:lineRule="exact"/>
              <w:rPr>
                <w:sz w:val="20"/>
                <w:szCs w:val="20"/>
                <w:color w:val="auto"/>
              </w:rPr>
            </w:pPr>
            <w:r>
              <w:rPr>
                <w:rFonts w:ascii="Times New Roman" w:cs="Times New Roman" w:eastAsia="Times New Roman" w:hAnsi="Times New Roman"/>
                <w:sz w:val="28"/>
                <w:szCs w:val="28"/>
                <w:color w:val="auto"/>
                <w:vertAlign w:val="superscript"/>
              </w:rPr>
              <w:t>08/21/2013</w:t>
            </w:r>
            <w:r>
              <w:rPr>
                <w:rFonts w:ascii="Times New Roman" w:cs="Times New Roman" w:eastAsia="Times New Roman" w:hAnsi="Times New Roman"/>
                <w:sz w:val="16"/>
                <w:szCs w:val="16"/>
                <w:color w:val="auto"/>
              </w:rPr>
              <w:t xml:space="preserve"> partnership or</w:t>
            </w:r>
          </w:p>
        </w:tc>
        <w:tc>
          <w:tcPr>
            <w:tcW w:w="15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Fund II</w:t>
            </w:r>
          </w:p>
        </w:tc>
        <w:tc>
          <w:tcPr>
            <w:tcW w:w="26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17527</w:t>
            </w:r>
          </w:p>
        </w:tc>
        <w:tc>
          <w:tcPr>
            <w:tcW w:w="20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06/03/2020 Securities</w:t>
            </w:r>
          </w:p>
        </w:tc>
        <w:tc>
          <w:tcPr>
            <w:tcW w:w="0" w:type="dxa"/>
            <w:vAlign w:val="bottom"/>
          </w:tcPr>
          <w:p>
            <w:pPr>
              <w:spacing w:after="0"/>
              <w:rPr>
                <w:sz w:val="1"/>
                <w:szCs w:val="1"/>
                <w:color w:val="auto"/>
              </w:rPr>
            </w:pPr>
          </w:p>
        </w:tc>
      </w:tr>
      <w:tr>
        <w:trPr>
          <w:trHeight w:val="309"/>
        </w:trPr>
        <w:tc>
          <w:tcPr>
            <w:tcW w:w="1140" w:type="dxa"/>
            <w:vAlign w:val="bottom"/>
          </w:tcPr>
          <w:p>
            <w:pPr>
              <w:spacing w:after="0"/>
              <w:rPr>
                <w:sz w:val="24"/>
                <w:szCs w:val="24"/>
                <w:color w:val="auto"/>
              </w:rPr>
            </w:pPr>
          </w:p>
        </w:tc>
        <w:tc>
          <w:tcPr>
            <w:tcW w:w="304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9"/>
              </w:rPr>
              <w:t>investment vehicle</w:t>
            </w:r>
          </w:p>
        </w:tc>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Associates LLD</w:t>
            </w:r>
          </w:p>
        </w:tc>
        <w:tc>
          <w:tcPr>
            <w:tcW w:w="2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-384175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6/27/2025, that is intended to comply with Rule 10b5-1(c). All shares to be sold by Potomac Investments LP.</w:t>
      </w:r>
    </w:p>
    <w:p>
      <w:pPr>
        <w:spacing w:after="0" w:line="11" w:lineRule="exact"/>
        <w:rPr>
          <w:sz w:val="20"/>
          <w:szCs w:val="20"/>
          <w:color w:val="auto"/>
        </w:rPr>
      </w:pPr>
    </w:p>
    <w:p>
      <w:pPr>
        <w:sectPr>
          <w:pgSz w:w="11900" w:h="16838" w:orient="portrait"/>
          <w:cols w:equalWidth="0" w:num="2">
            <w:col w:w="2460" w:space="720"/>
            <w:col w:w="806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05/08/2026</w:t>
      </w:r>
    </w:p>
    <w:p>
      <w:pPr>
        <w:spacing w:after="0" w:line="56" w:lineRule="exact"/>
        <w:rPr>
          <w:sz w:val="20"/>
          <w:szCs w:val="20"/>
          <w:color w:val="auto"/>
        </w:rPr>
      </w:pPr>
    </w:p>
    <w:p>
      <w:pPr>
        <w:sectPr>
          <w:pgSz w:w="11900" w:h="16838" w:orient="portrait"/>
          <w:cols w:equalWidth="0" w:num="2">
            <w:col w:w="2460" w:space="720"/>
            <w:col w:w="806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Date of Plan Adoption or Giving of</w:t>
      </w:r>
    </w:p>
    <w:p>
      <w:pPr>
        <w:spacing w:after="0" w:line="4" w:lineRule="exact"/>
        <w:rPr>
          <w:sz w:val="20"/>
          <w:szCs w:val="20"/>
          <w:color w:val="auto"/>
        </w:rPr>
      </w:pPr>
    </w:p>
    <w:p>
      <w:pPr>
        <w:ind w:left="40"/>
        <w:spacing w:after="0"/>
        <w:tabs>
          <w:tab w:leader="none" w:pos="3160" w:val="left"/>
        </w:tabs>
        <w:rPr>
          <w:sz w:val="20"/>
          <w:szCs w:val="20"/>
          <w:color w:val="auto"/>
        </w:rPr>
      </w:pPr>
      <w:r>
        <w:rPr>
          <w:rFonts w:ascii="Times New Roman" w:cs="Times New Roman" w:eastAsia="Times New Roman" w:hAnsi="Times New Roman"/>
          <w:sz w:val="22"/>
          <w:szCs w:val="22"/>
          <w:color w:val="auto"/>
        </w:rPr>
        <w:t>Instruction, If Relying on Rule</w:t>
      </w:r>
      <w:r>
        <w:rPr>
          <w:sz w:val="20"/>
          <w:szCs w:val="20"/>
          <w:color w:val="auto"/>
        </w:rPr>
        <w:tab/>
      </w:r>
      <w:r>
        <w:rPr>
          <w:rFonts w:ascii="Times New Roman" w:cs="Times New Roman" w:eastAsia="Times New Roman" w:hAnsi="Times New Roman"/>
          <w:sz w:val="21"/>
          <w:szCs w:val="21"/>
          <w:color w:val="auto"/>
        </w:rPr>
        <w:t>06/27/2025</w:t>
      </w:r>
    </w:p>
    <w:p>
      <w:pPr>
        <w:ind w:left="40"/>
        <w:spacing w:after="0"/>
        <w:rPr>
          <w:sz w:val="20"/>
          <w:szCs w:val="20"/>
          <w:color w:val="auto"/>
        </w:rPr>
      </w:pPr>
      <w:r>
        <w:rPr>
          <w:rFonts w:ascii="Times New Roman" w:cs="Times New Roman" w:eastAsia="Times New Roman" w:hAnsi="Times New Roman"/>
          <w:sz w:val="22"/>
          <w:szCs w:val="22"/>
          <w:color w:val="auto"/>
        </w:rPr>
        <w:t>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Sameer Gandhi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2026-05-08T17:22:30Z</dcterms:created>
  <dcterms:modified xsi:type="dcterms:W3CDTF">2026-05-08T17:22:30Z</dcterms:modified>
</cp:coreProperties>
</file>