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55880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001-38933</w:t>
            </w:r>
          </w:p>
        </w:tc>
        <w:tc>
          <w:tcPr>
            <w:tcW w:w="28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180"/>
        </w:trPr>
        <w:tc>
          <w:tcPr>
            <w:tcW w:w="2940" w:type="dxa"/>
            <w:vAlign w:val="bottom"/>
          </w:tcPr>
          <w:p>
            <w:pPr>
              <w:jc w:val="center"/>
              <w:ind w:left="59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820" w:type="dxa"/>
            <w:vAlign w:val="bottom"/>
          </w:tcPr>
          <w:p>
            <w:pPr>
              <w:jc w:val="center"/>
              <w:ind w:right="75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28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7"/>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282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Suite 1400</w:t>
            </w:r>
          </w:p>
        </w:tc>
        <w:tc>
          <w:tcPr>
            <w:tcW w:w="28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28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2820" w:type="dxa"/>
            <w:vAlign w:val="bottom"/>
          </w:tcPr>
          <w:p>
            <w:pPr>
              <w:spacing w:after="0"/>
              <w:rPr>
                <w:sz w:val="20"/>
                <w:szCs w:val="20"/>
                <w:color w:val="auto"/>
              </w:rPr>
            </w:pPr>
          </w:p>
        </w:tc>
      </w:tr>
      <w:tr>
        <w:trPr>
          <w:trHeight w:val="324"/>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2820" w:type="dxa"/>
            <w:vAlign w:val="bottom"/>
          </w:tcPr>
          <w:p>
            <w:pPr>
              <w:spacing w:after="0"/>
              <w:rPr>
                <w:sz w:val="24"/>
                <w:szCs w:val="24"/>
                <w:color w:val="auto"/>
              </w:rPr>
            </w:pPr>
          </w:p>
        </w:tc>
      </w:tr>
      <w:tr>
        <w:trPr>
          <w:trHeight w:val="306"/>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r>
        <w:trPr>
          <w:trHeight w:val="81"/>
        </w:trPr>
        <w:tc>
          <w:tcPr>
            <w:tcW w:w="294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r>
    </w:tbl>
    <w:p>
      <w:pPr>
        <w:spacing w:after="0" w:line="144"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3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00" w:type="dxa"/>
            <w:vAlign w:val="bottom"/>
          </w:tcPr>
          <w:p>
            <w:pPr>
              <w:spacing w:after="0"/>
              <w:rPr>
                <w:sz w:val="20"/>
                <w:szCs w:val="20"/>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 w:lineRule="exact"/>
        <w:rPr>
          <w:sz w:val="24"/>
          <w:szCs w:val="24"/>
          <w:color w:val="auto"/>
        </w:rPr>
      </w:pPr>
    </w:p>
    <w:p>
      <w:pPr>
        <w:ind w:left="20"/>
        <w:spacing w:after="0" w:line="207" w:lineRule="exact"/>
        <w:tabs>
          <w:tab w:leader="none" w:pos="40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left="20"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3, 2026, CrowdStrike Holdings, Inc. (the “Company”) issued a press release announcing its financial results for the fiscal quarter ended April 30, 2026. A copy of the press release is furnished herewith as Exhibit 99.1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 2026, the Company announced that its Board of Directors had approved a four-for-one stock split of the Company’s outstanding shares of Class A common stock, to be effected in the form of a stock dividend. Each stockholder of record at the close of business on June 25, 2026 (the “record date”), will receive, after the close of business on July 1, 2026, three additional shares for every share held on the record date, and trading is expected to begin on a split-adjusted basis on July 2,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5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3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June 3, 2026</w:t>
            </w:r>
          </w:p>
        </w:tc>
        <w:tc>
          <w:tcPr>
            <w:tcW w:w="7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80" w:hanging="1354"/>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53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820" w:top="1103" w:right="339" w:bottom="1440" w:gutter="0" w:footer="0" w:header="0"/>
        </w:sectPr>
      </w:pPr>
    </w:p>
    <w:bookmarkStart w:id="4" w:name="page5"/>
    <w:bookmarkEnd w:id="4"/>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71450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CrowdStrike Reports First Quarter Fiscal Year 2027 Financial Results</w:t>
      </w:r>
    </w:p>
    <w:p>
      <w:pPr>
        <w:spacing w:after="0" w:line="254"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Achieves record Q1 net new ARR of $256 million, up 32% year-over-year</w:t>
      </w:r>
    </w:p>
    <w:p>
      <w:pPr>
        <w:spacing w:after="0" w:line="25"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Delivers record cash flow from operations of $591 million and record free cash flow of $468 million</w:t>
      </w:r>
    </w:p>
    <w:p>
      <w:pPr>
        <w:spacing w:after="0" w:line="9"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Raises FY27 net new ARR growth guidance by 520 basis points at the midpoint</w:t>
      </w:r>
    </w:p>
    <w:p>
      <w:pPr>
        <w:spacing w:after="0" w:line="9"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Announces four-for-one stock split</w:t>
      </w:r>
    </w:p>
    <w:p>
      <w:pPr>
        <w:spacing w:after="0" w:line="22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AUSTIN, Texas, June 3, 2026 </w:t>
      </w:r>
      <w:r>
        <w:rPr>
          <w:rFonts w:ascii="Arial" w:cs="Arial" w:eastAsia="Arial" w:hAnsi="Arial"/>
          <w:sz w:val="18"/>
          <w:szCs w:val="18"/>
          <w:color w:val="auto"/>
        </w:rPr>
        <w:t>-- CrowdStrike Holdings, Inc. (Nasdaq: CRWD), today announced financial results for the first quarter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2027, ended April 30, 2026.</w:t>
      </w:r>
    </w:p>
    <w:p>
      <w:pPr>
        <w:spacing w:after="0" w:line="17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Q1, the worlds of cybersecurity and frontier AI collided: this was the Mythos moment. CrowdStrike is AI security infrastructure, critical to successful AI adoption,” said George Kurtz, CrowdStrike’s Founder and Chief Executive Officer. “Our record Q1 net new ARR, QuiltWorks</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coalition, and AIDR innovation are indicators of our own AI inflection point. We’re seeing platform adoption from existing customers, new logo lands, and increased partner engagement, each giving me the conviction to significantly raise our FY27 net new ARR guidance. The technology is here. The team is here. And the market opportunity is ours.”</w:t>
      </w:r>
    </w:p>
    <w:p>
      <w:pPr>
        <w:spacing w:after="0" w:line="20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Commenting on the company's financial results, Burt Podbere, CrowdStrike's Chief Financial Officer, added, "CrowdStrike delivered strong Q1 results, exceeding expectations across all guided metrics while accelerating growth and expanding profitability and cash flow. We delivered record Q1 net new ARR of $256 million, record cash flow from operations of $591 million, and record free cash flow of $468 million. We are raising our full-year net new ARR growth expectations to 27.7%, at the midpoint, now an acceleration over the prior fiscal year. Our</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record Q2 pipeline, continued strong retention, Falcon Flex momentum, and the AI technology wave are each tailwinds giving us conviction in CrowdStrike's growth trajectory.”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Authorization</w:t>
      </w:r>
    </w:p>
    <w:p>
      <w:pPr>
        <w:spacing w:after="0" w:line="2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CrowdStrike is also announcing that its board of directors has approved and declared a four-for-one split of the company’s outstanding shares of Class A common stock in the form of a stock dividend. Each stockholder of record at the close of business on June 25, 2026 (the “record date”) will receive, after the close of business on July 1, 2026, three additional shares for every share held on the record date, and trading is expected to begin on a split-adjusted basis on July 2, 2026.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2027 Financial Highlights</w:t>
      </w:r>
    </w:p>
    <w:p>
      <w:pPr>
        <w:spacing w:after="0" w:line="239" w:lineRule="exact"/>
        <w:rPr>
          <w:sz w:val="20"/>
          <w:szCs w:val="20"/>
          <w:color w:val="auto"/>
        </w:rPr>
      </w:pPr>
    </w:p>
    <w:p>
      <w:pPr>
        <w:ind w:left="660" w:right="200" w:hanging="328"/>
        <w:spacing w:after="0" w:line="27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$1.39 billion, a 26% increase, compared to $1.10 billion in the first quarter of fiscal 2026.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was $1.32 billion, a 26% increase, compared to $1.05 billion in the first quarter of fiscal 2026.</w:t>
      </w:r>
    </w:p>
    <w:p>
      <w:pPr>
        <w:spacing w:after="0" w:line="180" w:lineRule="exact"/>
        <w:rPr>
          <w:rFonts w:ascii="Arial" w:cs="Arial" w:eastAsia="Arial" w:hAnsi="Arial"/>
          <w:sz w:val="18"/>
          <w:szCs w:val="18"/>
          <w:color w:val="auto"/>
        </w:rPr>
      </w:pPr>
    </w:p>
    <w:p>
      <w:pPr>
        <w:ind w:left="660" w:right="280" w:hanging="328"/>
        <w:spacing w:after="0" w:line="27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Annual Recurring Revenue (ARR) </w:t>
      </w:r>
      <w:r>
        <w:rPr>
          <w:rFonts w:ascii="Arial" w:cs="Arial" w:eastAsia="Arial" w:hAnsi="Arial"/>
          <w:sz w:val="18"/>
          <w:szCs w:val="18"/>
          <w:color w:val="auto"/>
        </w:rPr>
        <w:t>grew 24% year-over-year to $5.51 billion as of April 30, 2026, of which $255.8 million was net</w:t>
      </w:r>
      <w:r>
        <w:rPr>
          <w:rFonts w:ascii="Arial" w:cs="Arial" w:eastAsia="Arial" w:hAnsi="Arial"/>
          <w:sz w:val="18"/>
          <w:szCs w:val="18"/>
          <w:b w:val="1"/>
          <w:bCs w:val="1"/>
          <w:color w:val="auto"/>
        </w:rPr>
        <w:t xml:space="preserve"> </w:t>
      </w:r>
      <w:r>
        <w:rPr>
          <w:rFonts w:ascii="Arial" w:cs="Arial" w:eastAsia="Arial" w:hAnsi="Arial"/>
          <w:sz w:val="18"/>
          <w:szCs w:val="18"/>
          <w:color w:val="auto"/>
        </w:rPr>
        <w:t>new ARR added in the quarter.</w:t>
      </w:r>
    </w:p>
    <w:p>
      <w:pPr>
        <w:spacing w:after="0" w:line="180" w:lineRule="exact"/>
        <w:rPr>
          <w:rFonts w:ascii="Arial" w:cs="Arial" w:eastAsia="Arial" w:hAnsi="Arial"/>
          <w:sz w:val="18"/>
          <w:szCs w:val="18"/>
          <w:color w:val="auto"/>
        </w:rPr>
      </w:pPr>
    </w:p>
    <w:p>
      <w:pPr>
        <w:ind w:left="660" w:right="260" w:hanging="328"/>
        <w:spacing w:after="0" w:line="27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Gross Margin: </w:t>
      </w:r>
      <w:r>
        <w:rPr>
          <w:rFonts w:ascii="Arial" w:cs="Arial" w:eastAsia="Arial" w:hAnsi="Arial"/>
          <w:sz w:val="18"/>
          <w:szCs w:val="18"/>
          <w:color w:val="auto"/>
        </w:rPr>
        <w:t>GAAP subscription gross margin was 78%, compared to 77% in the first quarter of fiscal 2026. Non-GAAP subscription gross margin was 81%, compared to 80% in the first quarter of fiscal 2026.</w:t>
      </w:r>
    </w:p>
    <w:p>
      <w:pPr>
        <w:spacing w:after="0" w:line="180" w:lineRule="exact"/>
        <w:rPr>
          <w:rFonts w:ascii="Arial" w:cs="Arial" w:eastAsia="Arial" w:hAnsi="Arial"/>
          <w:sz w:val="18"/>
          <w:szCs w:val="18"/>
          <w:color w:val="auto"/>
        </w:rPr>
      </w:pPr>
    </w:p>
    <w:p>
      <w:pPr>
        <w:jc w:val="both"/>
        <w:ind w:left="660" w:right="400" w:hanging="328"/>
        <w:spacing w:after="0" w:line="301" w:lineRule="auto"/>
        <w:tabs>
          <w:tab w:leader="none" w:pos="628"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Income/Loss from Operations: </w:t>
      </w:r>
      <w:r>
        <w:rPr>
          <w:rFonts w:ascii="Arial" w:cs="Arial" w:eastAsia="Arial" w:hAnsi="Arial"/>
          <w:sz w:val="17"/>
          <w:szCs w:val="17"/>
          <w:color w:val="auto"/>
        </w:rPr>
        <w:t>GAAP loss from operations was $30.6 million, compared to $118.7 million in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2026. Non-GAAP income from operations was $325.7 million, compared to $201.1 million in the first quarter of fiscal 2026.</w:t>
      </w:r>
    </w:p>
    <w:p>
      <w:pPr>
        <w:spacing w:after="0" w:line="157" w:lineRule="exact"/>
        <w:rPr>
          <w:rFonts w:ascii="Arial" w:cs="Arial" w:eastAsia="Arial" w:hAnsi="Arial"/>
          <w:sz w:val="17"/>
          <w:szCs w:val="17"/>
          <w:color w:val="auto"/>
        </w:rPr>
      </w:pPr>
    </w:p>
    <w:p>
      <w:pPr>
        <w:ind w:left="660" w:right="20" w:hanging="328"/>
        <w:spacing w:after="0"/>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Income/Loss Attributable to CrowdStrike: </w:t>
      </w:r>
      <w:r>
        <w:rPr>
          <w:rFonts w:ascii="Arial" w:cs="Arial" w:eastAsia="Arial" w:hAnsi="Arial"/>
          <w:sz w:val="18"/>
          <w:szCs w:val="18"/>
          <w:color w:val="auto"/>
        </w:rPr>
        <w:t>GAAP net income attributable to CrowdStrike was $27.8 million, compared to a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$104.3 million in the first quarter of fiscal 2026. GAAP net income per share attributable to CrowdStrike, diluted, was $0.11, compared to a loss of $0.42 in the first quarter of fiscal 2026. Non-GAAP net income attributable to CrowdStrike was $283.4 million, compared to $184.7 million in the first quarter of fiscal 2026. Non-GAAP net income attributable to CrowdStrike per share, diluted, was $1.10, compared to $0.73 in the first quarter of fiscal 2026.</w:t>
      </w:r>
    </w:p>
    <w:p>
      <w:pPr>
        <w:spacing w:after="0" w:line="207" w:lineRule="exact"/>
        <w:rPr>
          <w:rFonts w:ascii="Arial" w:cs="Arial" w:eastAsia="Arial" w:hAnsi="Arial"/>
          <w:sz w:val="18"/>
          <w:szCs w:val="18"/>
          <w:color w:val="auto"/>
        </w:rPr>
      </w:pPr>
    </w:p>
    <w:p>
      <w:pPr>
        <w:ind w:left="660" w:right="340" w:hanging="328"/>
        <w:spacing w:after="0" w:line="27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generated from operations was $590.9 million, compared to $384.1 million in the first quarter of fiscal 2026.</w:t>
      </w:r>
      <w:r>
        <w:rPr>
          <w:rFonts w:ascii="Arial" w:cs="Arial" w:eastAsia="Arial" w:hAnsi="Arial"/>
          <w:sz w:val="18"/>
          <w:szCs w:val="18"/>
          <w:b w:val="1"/>
          <w:bCs w:val="1"/>
          <w:color w:val="auto"/>
        </w:rPr>
        <w:t xml:space="preserve"> </w:t>
      </w:r>
      <w:r>
        <w:rPr>
          <w:rFonts w:ascii="Arial" w:cs="Arial" w:eastAsia="Arial" w:hAnsi="Arial"/>
          <w:sz w:val="18"/>
          <w:szCs w:val="18"/>
          <w:color w:val="auto"/>
        </w:rPr>
        <w:t>Free cash flow was $468.5 million, compared to $279.4 million in the first quarter of fiscal 2026.</w:t>
      </w:r>
    </w:p>
    <w:p>
      <w:pPr>
        <w:sectPr>
          <w:pgSz w:w="11900" w:h="16838" w:orient="portrait"/>
          <w:cols w:equalWidth="0" w:num="1">
            <w:col w:w="11240"/>
          </w:cols>
          <w:pgMar w:left="320" w:top="1440" w:right="339" w:bottom="1440" w:gutter="0" w:footer="0" w:header="0"/>
        </w:sectPr>
      </w:pPr>
    </w:p>
    <w:bookmarkStart w:id="5" w:name="page6"/>
    <w:bookmarkEnd w:id="5"/>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was $4.55 billion as of April 30, 2026.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93" w:lineRule="exact"/>
        <w:rPr>
          <w:sz w:val="20"/>
          <w:szCs w:val="20"/>
          <w:color w:val="auto"/>
        </w:rPr>
      </w:pPr>
    </w:p>
    <w:p>
      <w:pPr>
        <w:ind w:left="660" w:right="60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CrowdStrike’s module adoption rates grew to 51%, 35%, and 25% for six or more, seven or more, and eight or more modules, respectively, as of April 30, 2026.</w:t>
      </w:r>
    </w:p>
    <w:p>
      <w:pPr>
        <w:ind w:left="660" w:right="12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the launch and expansion of Project QuiltWorks, an industry-first cybersecurity coalition featuring OpenAI and Anthropic to remediate frontier AI risk via the Falcon platform.</w:t>
      </w:r>
    </w:p>
    <w:p>
      <w:pPr>
        <w:ind w:left="660" w:hanging="328"/>
        <w:spacing w:after="0" w:line="25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only cybersecurity company selected as a launch partner in both Anthropic’s Project Glasswing and OpenAI’s Trusted Access for Cyber (TAC) programs.</w:t>
      </w:r>
    </w:p>
    <w:p>
      <w:pPr>
        <w:spacing w:after="0" w:line="3" w:lineRule="exact"/>
        <w:rPr>
          <w:rFonts w:ascii="Arial" w:cs="Arial" w:eastAsia="Arial" w:hAnsi="Arial"/>
          <w:sz w:val="18"/>
          <w:szCs w:val="18"/>
          <w:color w:val="auto"/>
        </w:rPr>
      </w:pPr>
    </w:p>
    <w:p>
      <w:pPr>
        <w:ind w:left="66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the Charlotte AI AgentWorks Ecosystem, a no-code development platform created with AWS, NVIDIA, and OpenAI to build and scale custom security agents on the Falcon platform.</w:t>
      </w:r>
    </w:p>
    <w:p>
      <w:pPr>
        <w:ind w:left="660" w:right="14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Unveiled Agentic MDR, the next evolution of managed detection and response that leverages elite analysts and intelligent agents to automate high-friction workflows and stop AI-accelerated breaches at machine speed.</w:t>
      </w:r>
    </w:p>
    <w:p>
      <w:pPr>
        <w:ind w:left="660" w:right="32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the endpoint as the epicenter for AI security with new Falcon platform innovations that extend discovery, governance, and runtime protection across SaaS, browser, and cloud environments.</w:t>
      </w:r>
    </w:p>
    <w:p>
      <w:pPr>
        <w:ind w:left="660" w:right="22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GovCloud offerings to accelerate public sector AI adoption, introducing FedRAMP High-authorized capabilities including Charlotte AI for Gov and External Attack Surface Management.</w:t>
      </w:r>
    </w:p>
    <w:p>
      <w:pPr>
        <w:ind w:left="660" w:right="74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Introduced CrowdStrike Falcon Data Security, a unified solution that discovers, classifies, and protects sensitive data across endpoints, browsers, SaaS, cloud, and AI workflows to stop data theft in real time.</w:t>
      </w:r>
    </w:p>
    <w:p>
      <w:pPr>
        <w:ind w:left="660" w:right="300" w:hanging="328"/>
        <w:spacing w:after="0" w:line="258"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Cloud Detection and Response (CDR) capabilities to Google Cloud, providing unified, real-time protection and regional infrastructure support to meet global data sovereignty requirements.</w:t>
      </w:r>
    </w:p>
    <w:p>
      <w:pPr>
        <w:ind w:left="660" w:right="42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Introduced adversary-informed cloud risk prioritization within Falcon Cloud Security, unifying application behavior with adversary intelligence to identify and remediate the high-impact exposures most likely to be exploited.</w:t>
      </w:r>
    </w:p>
    <w:p>
      <w:pPr>
        <w:ind w:left="660" w:right="120" w:hanging="328"/>
        <w:spacing w:after="0" w:line="253"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support for Microsoft Defender environments by launching Falcon OverWatch for Defender for managed threat hunting and Falcon Next-Gen SIEM integration, enabling organizations to ingest third-party telemetry and stop sophisticated attacks without requiring an additional sensor.</w:t>
      </w:r>
    </w:p>
    <w:p>
      <w:pPr>
        <w:spacing w:after="0" w:line="6" w:lineRule="exact"/>
        <w:rPr>
          <w:rFonts w:ascii="Arial" w:cs="Arial" w:eastAsia="Arial" w:hAnsi="Arial"/>
          <w:sz w:val="18"/>
          <w:szCs w:val="18"/>
          <w:color w:val="auto"/>
        </w:rPr>
      </w:pPr>
    </w:p>
    <w:p>
      <w:pPr>
        <w:ind w:left="660" w:right="56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Flex for Services and the Zero Dollar Flex Fund, extending the Falcon Flex consumption model to CrowdStrike’s full services portfolio.</w:t>
      </w:r>
    </w:p>
    <w:p>
      <w:pPr>
        <w:ind w:left="660" w:right="84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FedRAMP High Authorization for Falcon for XIoT, extending the Falcon platform to secure mission-critical federal operational technology and connected infrastructure.</w:t>
      </w:r>
    </w:p>
    <w:p>
      <w:pPr>
        <w:ind w:left="660" w:right="70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the 2026 Google Cloud Security Partner of the Year for Infrastructure Protection for the second consecutive year and selected as a launch partner for the Google Agent Cloud Ecosystem to secure AI-driven applications.</w:t>
      </w:r>
    </w:p>
    <w:p>
      <w:pPr>
        <w:ind w:left="660" w:right="140" w:hanging="328"/>
        <w:spacing w:after="0" w:line="258"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Formed a strategic partnership with Schwarz Digits to deliver Falcon natively on STACKIT’s sovereign cloud infrastructure, enabling enterprises to secure AI workloads while maintaining full data residency and sovereignty.</w:t>
      </w:r>
    </w:p>
    <w:p>
      <w:pPr>
        <w:ind w:left="660" w:right="200" w:hanging="328"/>
        <w:spacing w:after="0" w:line="266"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an expanded strategic collaboration with IBM to accelerate agentic SOC transformation by integrating Charlotte AI with IBM’s Autonomous Threat Operations Machine (ATOM).</w:t>
      </w:r>
    </w:p>
    <w:p>
      <w:pPr>
        <w:ind w:left="660" w:right="360" w:hanging="328"/>
        <w:spacing w:after="0" w:line="264"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a strategic collaboration with Intel to optimize the Falcon platform for AI PCs, combining silicon-level telemetry with AI-native protection to secure data as workloads move to the endpoint.</w:t>
      </w:r>
    </w:p>
    <w:p>
      <w:pPr>
        <w:spacing w:after="0" w:line="1" w:lineRule="exact"/>
        <w:rPr>
          <w:rFonts w:ascii="Arial" w:cs="Arial" w:eastAsia="Arial" w:hAnsi="Arial"/>
          <w:sz w:val="18"/>
          <w:szCs w:val="18"/>
          <w:color w:val="auto"/>
        </w:rPr>
      </w:pPr>
    </w:p>
    <w:p>
      <w:pPr>
        <w:ind w:left="660" w:hanging="328"/>
        <w:spacing w:after="0" w:line="225"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 Leader in the 2026 Gartner Magic Quadrant™ for Endpoint Protection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the seventh consecutive time, positioned furthest right for Completeness of Vision and highest for Ability to Execute among all vendors evaluated for the fourth time in a row.</w:t>
      </w:r>
    </w:p>
    <w:p>
      <w:pPr>
        <w:spacing w:after="0" w:line="19" w:lineRule="exact"/>
        <w:rPr>
          <w:rFonts w:ascii="Arial" w:cs="Arial" w:eastAsia="Arial" w:hAnsi="Arial"/>
          <w:sz w:val="18"/>
          <w:szCs w:val="18"/>
          <w:color w:val="auto"/>
        </w:rPr>
      </w:pPr>
    </w:p>
    <w:p>
      <w:pPr>
        <w:ind w:left="660" w:right="60" w:hanging="328"/>
        <w:spacing w:after="0" w:line="253" w:lineRule="auto"/>
        <w:tabs>
          <w:tab w:leader="none" w:pos="628"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Named a Leader in the inaugural 2026 Gartner® ‘Magic Quadrant™ for Cyberthreat Intelligence Technologies’, a Customers’ Choice in the 2026 Gartner Peer Insights™ ‘Voice of the Customer for Security Information and Event Management (SIEM)’, a Customers’ Choice in the 2026 Gartner Peer Insights™ ‘Voice of the Customer’ for Managed Detection and Response (MDR)’ reports</w:t>
      </w:r>
      <w:r>
        <w:rPr>
          <w:rFonts w:ascii="Arial" w:cs="Arial" w:eastAsia="Arial" w:hAnsi="Arial"/>
          <w:sz w:val="22"/>
          <w:szCs w:val="22"/>
          <w:color w:val="auto"/>
          <w:vertAlign w:val="superscript"/>
        </w:rPr>
        <w:t>2</w:t>
      </w:r>
      <w:r>
        <w:rPr>
          <w:rFonts w:ascii="Arial" w:cs="Arial" w:eastAsia="Arial" w:hAnsi="Arial"/>
          <w:sz w:val="17"/>
          <w:szCs w:val="17"/>
          <w:color w:val="auto"/>
        </w:rPr>
        <w:t>.</w:t>
      </w:r>
    </w:p>
    <w:p>
      <w:pPr>
        <w:ind w:left="660" w:right="20" w:hanging="328"/>
        <w:spacing w:after="0" w:line="215"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an Innovation and Growth Leader in the 2026 Frost Radar™: Cloud-Native Application Protection Platforms (CNAPP)</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for the fourth consecutive time.</w:t>
      </w:r>
    </w:p>
    <w:p>
      <w:pPr>
        <w:spacing w:after="0" w:line="1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Frost &amp; Sullivan’s 2026 Global Company of the Year for Identity Threat Detection and Response</w:t>
      </w:r>
      <w:r>
        <w:rPr>
          <w:rFonts w:ascii="Arial" w:cs="Arial" w:eastAsia="Arial" w:hAnsi="Arial"/>
          <w:sz w:val="23"/>
          <w:szCs w:val="23"/>
          <w:color w:val="auto"/>
          <w:vertAlign w:val="superscript"/>
        </w:rPr>
        <w:t>4</w:t>
      </w:r>
      <w:r>
        <w:rPr>
          <w:rFonts w:ascii="Arial" w:cs="Arial" w:eastAsia="Arial" w:hAnsi="Arial"/>
          <w:sz w:val="18"/>
          <w:szCs w:val="18"/>
          <w:color w:val="auto"/>
        </w:rPr>
        <w:t>.</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 Leader and Fast Mover in the GigaOm Radar for Identity Threat Detection and Response (ITDR) Radar, v3</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CrowdStrike is providing the following guidance for the second quarter of fiscal 2027 (ending July 31, 2026) and increasing its guidance for fiscal year 2027 (ending January 31, 2027).</w:t>
      </w:r>
    </w:p>
    <w:p>
      <w:pPr>
        <w:sectPr>
          <w:pgSz w:w="11900" w:h="16838" w:orient="portrait"/>
          <w:cols w:equalWidth="0" w:num="1">
            <w:col w:w="11220"/>
          </w:cols>
          <w:pgMar w:left="320" w:top="1093" w:right="359" w:bottom="1440" w:gutter="0" w:footer="0" w:header="0"/>
        </w:sectPr>
      </w:pPr>
    </w:p>
    <w:bookmarkStart w:id="6" w:name="page7"/>
    <w:bookmarkEnd w:id="6"/>
    <w:p>
      <w:pPr>
        <w:ind w:right="180"/>
        <w:spacing w:after="0" w:line="237" w:lineRule="auto"/>
        <w:rPr>
          <w:sz w:val="20"/>
          <w:szCs w:val="20"/>
          <w:color w:val="auto"/>
        </w:rPr>
      </w:pPr>
      <w:r>
        <w:rPr>
          <w:rFonts w:ascii="Arial" w:cs="Arial" w:eastAsia="Arial" w:hAnsi="Arial"/>
          <w:sz w:val="18"/>
          <w:szCs w:val="18"/>
          <w:color w:val="auto"/>
        </w:rPr>
        <w:t>Guidance for non-GAAP financial measures excludes stock-based compensation expense and related employer payroll taxes, amortization of acquired intangible assets (including purchased patents), acquisition-related expenses (credits), net, amortization of debt issuance costs</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and discount, mark-to-market adjustments on deferred compensation liabilities, legal reserve and settlement charges or benefits, costs (recoveries) associated with the July 19 Incident and related matters, net, strategic plan related charges (benefits)</w:t>
      </w:r>
      <w:r>
        <w:rPr>
          <w:rFonts w:ascii="Arial" w:cs="Arial" w:eastAsia="Arial" w:hAnsi="Arial"/>
          <w:sz w:val="18"/>
          <w:szCs w:val="18"/>
          <w:color w:val="212529"/>
        </w:rPr>
        <w:t>, net,</w:t>
      </w:r>
      <w:r>
        <w:rPr>
          <w:rFonts w:ascii="Arial" w:cs="Arial" w:eastAsia="Arial" w:hAnsi="Arial"/>
          <w:sz w:val="18"/>
          <w:szCs w:val="18"/>
          <w:color w:val="auto"/>
        </w:rPr>
        <w:t xml:space="preserve"> losses (gains) and other expense (income) from strategic investments, and losses (gains) on deferred compensation assets, and is adjusted for its long-term non-GAAP effective tax rate. The company has not provided the most directly comparable GAAP measures because certain items are out of</w:t>
      </w:r>
    </w:p>
    <w:p>
      <w:pPr>
        <w:ind w:right="40"/>
        <w:spacing w:after="0" w:line="231" w:lineRule="auto"/>
        <w:rPr>
          <w:sz w:val="20"/>
          <w:szCs w:val="20"/>
          <w:color w:val="auto"/>
        </w:rPr>
      </w:pPr>
      <w:r>
        <w:rPr>
          <w:rFonts w:ascii="Arial" w:cs="Arial" w:eastAsia="Arial" w:hAnsi="Arial"/>
          <w:sz w:val="18"/>
          <w:szCs w:val="18"/>
          <w:color w:val="auto"/>
        </w:rPr>
        <w:t>the company's control or cannot be reasonably predicted. Accordingly, a reconciliation for non-GAAP income from operations, non-GAAP net income attributable to CrowdStrike, and non-GAAP net income per share attributable to CrowdStrike common stockholders, diluted, is not available without unreasonable effort.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jc w:val="center"/>
              <w:ind w:right="990"/>
              <w:spacing w:after="0"/>
              <w:rPr>
                <w:sz w:val="20"/>
                <w:szCs w:val="20"/>
                <w:color w:val="auto"/>
              </w:rPr>
            </w:pPr>
            <w:r>
              <w:rPr>
                <w:rFonts w:ascii="Arial" w:cs="Arial" w:eastAsia="Arial" w:hAnsi="Arial"/>
                <w:sz w:val="18"/>
                <w:szCs w:val="18"/>
                <w:color w:val="auto"/>
                <w:w w:val="99"/>
              </w:rPr>
              <w:t>Q2 FY27</w:t>
            </w:r>
          </w:p>
        </w:tc>
        <w:tc>
          <w:tcPr>
            <w:tcW w:w="2880" w:type="dxa"/>
            <w:vAlign w:val="bottom"/>
          </w:tcPr>
          <w:p>
            <w:pPr>
              <w:jc w:val="center"/>
              <w:spacing w:after="0"/>
              <w:rPr>
                <w:sz w:val="20"/>
                <w:szCs w:val="20"/>
                <w:color w:val="auto"/>
              </w:rPr>
            </w:pPr>
            <w:r>
              <w:rPr>
                <w:rFonts w:ascii="Arial" w:cs="Arial" w:eastAsia="Arial" w:hAnsi="Arial"/>
                <w:sz w:val="18"/>
                <w:szCs w:val="18"/>
                <w:color w:val="auto"/>
                <w:w w:val="98"/>
              </w:rPr>
              <w:t>Full Year FY27</w:t>
            </w:r>
          </w:p>
        </w:tc>
        <w:tc>
          <w:tcPr>
            <w:tcW w:w="0" w:type="dxa"/>
            <w:vAlign w:val="bottom"/>
          </w:tcPr>
          <w:p>
            <w:pPr>
              <w:spacing w:after="0"/>
              <w:rPr>
                <w:sz w:val="1"/>
                <w:szCs w:val="1"/>
                <w:color w:val="auto"/>
              </w:rPr>
            </w:pPr>
          </w:p>
        </w:tc>
      </w:tr>
      <w:tr>
        <w:trPr>
          <w:trHeight w:val="244"/>
        </w:trPr>
        <w:tc>
          <w:tcPr>
            <w:tcW w:w="5640" w:type="dxa"/>
            <w:vAlign w:val="bottom"/>
          </w:tcPr>
          <w:p>
            <w:pPr>
              <w:spacing w:after="0"/>
              <w:rPr>
                <w:sz w:val="21"/>
                <w:szCs w:val="21"/>
                <w:color w:val="auto"/>
              </w:rPr>
            </w:pPr>
          </w:p>
        </w:tc>
        <w:tc>
          <w:tcPr>
            <w:tcW w:w="2720" w:type="dxa"/>
            <w:vAlign w:val="bottom"/>
            <w:gridSpan w:val="2"/>
          </w:tcPr>
          <w:p>
            <w:pPr>
              <w:jc w:val="center"/>
              <w:ind w:right="70"/>
              <w:spacing w:after="0"/>
              <w:rPr>
                <w:sz w:val="20"/>
                <w:szCs w:val="20"/>
                <w:color w:val="auto"/>
              </w:rPr>
            </w:pPr>
            <w:r>
              <w:rPr>
                <w:rFonts w:ascii="Arial" w:cs="Arial" w:eastAsia="Arial" w:hAnsi="Arial"/>
                <w:sz w:val="18"/>
                <w:szCs w:val="18"/>
                <w:color w:val="auto"/>
                <w:w w:val="98"/>
              </w:rPr>
              <w:t>Guidance</w:t>
            </w:r>
          </w:p>
        </w:tc>
        <w:tc>
          <w:tcPr>
            <w:tcW w:w="2880" w:type="dxa"/>
            <w:vAlign w:val="bottom"/>
          </w:tcPr>
          <w:p>
            <w:pPr>
              <w:jc w:val="center"/>
              <w:spacing w:after="0"/>
              <w:rPr>
                <w:sz w:val="20"/>
                <w:szCs w:val="20"/>
                <w:color w:val="auto"/>
              </w:rPr>
            </w:pPr>
            <w:r>
              <w:rPr>
                <w:rFonts w:ascii="Arial" w:cs="Arial" w:eastAsia="Arial" w:hAnsi="Arial"/>
                <w:sz w:val="18"/>
                <w:szCs w:val="18"/>
                <w:color w:val="auto"/>
                <w:w w:val="98"/>
              </w:rPr>
              <w:t>Guidance</w:t>
            </w:r>
          </w:p>
        </w:tc>
        <w:tc>
          <w:tcPr>
            <w:tcW w:w="0" w:type="dxa"/>
            <w:vAlign w:val="bottom"/>
          </w:tcPr>
          <w:p>
            <w:pPr>
              <w:spacing w:after="0"/>
              <w:rPr>
                <w:sz w:val="1"/>
                <w:szCs w:val="1"/>
                <w:color w:val="auto"/>
              </w:rPr>
            </w:pPr>
          </w:p>
        </w:tc>
      </w:tr>
      <w:tr>
        <w:trPr>
          <w:trHeight w:val="24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$5,792.6</w:t>
            </w:r>
          </w:p>
        </w:tc>
        <w:tc>
          <w:tcPr>
            <w:tcW w:w="1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$5,794.6 million</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$6,531.7 - $6,555.5 million</w:t>
            </w:r>
          </w:p>
        </w:tc>
        <w:tc>
          <w:tcPr>
            <w:tcW w:w="0" w:type="dxa"/>
            <w:vAlign w:val="bottom"/>
          </w:tcPr>
          <w:p>
            <w:pPr>
              <w:spacing w:after="0"/>
              <w:rPr>
                <w:sz w:val="1"/>
                <w:szCs w:val="1"/>
                <w:color w:val="auto"/>
              </w:rPr>
            </w:pPr>
          </w:p>
        </w:tc>
      </w:tr>
      <w:tr>
        <w:trPr>
          <w:trHeight w:val="241"/>
        </w:trPr>
        <w:tc>
          <w:tcPr>
            <w:tcW w:w="5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$1,436.0</w:t>
            </w:r>
          </w:p>
        </w:tc>
        <w:tc>
          <w:tcPr>
            <w:tcW w:w="1800" w:type="dxa"/>
            <w:vAlign w:val="bottom"/>
          </w:tcPr>
          <w:p>
            <w:pPr>
              <w:ind w:left="60"/>
              <w:spacing w:after="0"/>
              <w:rPr>
                <w:sz w:val="20"/>
                <w:szCs w:val="20"/>
                <w:color w:val="auto"/>
              </w:rPr>
            </w:pPr>
            <w:r>
              <w:rPr>
                <w:rFonts w:ascii="Arial" w:cs="Arial" w:eastAsia="Arial" w:hAnsi="Arial"/>
                <w:sz w:val="18"/>
                <w:szCs w:val="18"/>
                <w:color w:val="auto"/>
              </w:rPr>
              <w:t>- $1,442.0 million</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$5,914.7 - $5,958.7 million</w:t>
            </w:r>
          </w:p>
        </w:tc>
        <w:tc>
          <w:tcPr>
            <w:tcW w:w="0" w:type="dxa"/>
            <w:vAlign w:val="bottom"/>
          </w:tcPr>
          <w:p>
            <w:pPr>
              <w:spacing w:after="0"/>
              <w:rPr>
                <w:sz w:val="1"/>
                <w:szCs w:val="1"/>
                <w:color w:val="auto"/>
              </w:rPr>
            </w:pPr>
          </w:p>
        </w:tc>
      </w:tr>
      <w:tr>
        <w:trPr>
          <w:trHeight w:val="24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$349.1 million</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$1,452.3 - $1,480.3 million</w:t>
            </w:r>
          </w:p>
        </w:tc>
        <w:tc>
          <w:tcPr>
            <w:tcW w:w="0" w:type="dxa"/>
            <w:vAlign w:val="bottom"/>
          </w:tcPr>
          <w:p>
            <w:pPr>
              <w:spacing w:after="0"/>
              <w:rPr>
                <w:sz w:val="1"/>
                <w:szCs w:val="1"/>
                <w:color w:val="auto"/>
              </w:rPr>
            </w:pPr>
          </w:p>
        </w:tc>
      </w:tr>
      <w:tr>
        <w:trPr>
          <w:trHeight w:val="241"/>
        </w:trPr>
        <w:tc>
          <w:tcPr>
            <w:tcW w:w="5640" w:type="dxa"/>
            <w:vAlign w:val="bottom"/>
          </w:tcPr>
          <w:p>
            <w:pPr>
              <w:ind w:left="20"/>
              <w:spacing w:after="0"/>
              <w:rPr>
                <w:sz w:val="20"/>
                <w:szCs w:val="20"/>
                <w:color w:val="auto"/>
              </w:rPr>
            </w:pPr>
            <w:r>
              <w:rPr>
                <w:rFonts w:ascii="Arial" w:cs="Arial" w:eastAsia="Arial" w:hAnsi="Arial"/>
                <w:sz w:val="18"/>
                <w:szCs w:val="18"/>
                <w:color w:val="auto"/>
              </w:rPr>
              <w:t>Non-GAAP net income attributable to CrowdStrike</w:t>
            </w:r>
          </w:p>
        </w:tc>
        <w:tc>
          <w:tcPr>
            <w:tcW w:w="920" w:type="dxa"/>
            <w:vAlign w:val="bottom"/>
          </w:tcPr>
          <w:p>
            <w:pPr>
              <w:jc w:val="right"/>
              <w:spacing w:after="0"/>
              <w:rPr>
                <w:sz w:val="20"/>
                <w:szCs w:val="20"/>
                <w:color w:val="auto"/>
              </w:rPr>
            </w:pPr>
            <w:r>
              <w:rPr>
                <w:rFonts w:ascii="Arial" w:cs="Arial" w:eastAsia="Arial" w:hAnsi="Arial"/>
                <w:sz w:val="18"/>
                <w:szCs w:val="18"/>
                <w:color w:val="auto"/>
              </w:rPr>
              <w:t>$300.7</w:t>
            </w:r>
          </w:p>
        </w:tc>
        <w:tc>
          <w:tcPr>
            <w:tcW w:w="1800" w:type="dxa"/>
            <w:vAlign w:val="bottom"/>
          </w:tcPr>
          <w:p>
            <w:pPr>
              <w:ind w:left="60"/>
              <w:spacing w:after="0"/>
              <w:rPr>
                <w:sz w:val="20"/>
                <w:szCs w:val="20"/>
                <w:color w:val="auto"/>
              </w:rPr>
            </w:pPr>
            <w:r>
              <w:rPr>
                <w:rFonts w:ascii="Arial" w:cs="Arial" w:eastAsia="Arial" w:hAnsi="Arial"/>
                <w:sz w:val="18"/>
                <w:szCs w:val="18"/>
                <w:color w:val="auto"/>
              </w:rPr>
              <w:t>- $303.4 million</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$1,263.1 - $1,285.2 million</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Non-GAAP net income per share attributable to CrowdStrike</w:t>
            </w:r>
          </w:p>
        </w:tc>
        <w:tc>
          <w:tcPr>
            <w:tcW w:w="2720" w:type="dxa"/>
            <w:vAlign w:val="bottom"/>
            <w:gridSpan w:val="2"/>
            <w:vMerge w:val="restart"/>
            <w:shd w:val="clear" w:color="auto" w:fill="CCEEFF"/>
          </w:tcPr>
          <w:p>
            <w:pPr>
              <w:jc w:val="center"/>
              <w:ind w:right="70"/>
              <w:spacing w:after="0"/>
              <w:rPr>
                <w:sz w:val="20"/>
                <w:szCs w:val="20"/>
                <w:color w:val="auto"/>
              </w:rPr>
            </w:pPr>
            <w:r>
              <w:rPr>
                <w:rFonts w:ascii="Arial" w:cs="Arial" w:eastAsia="Arial" w:hAnsi="Arial"/>
                <w:sz w:val="18"/>
                <w:szCs w:val="18"/>
                <w:color w:val="auto"/>
              </w:rPr>
              <w:t>$1.16 - $1.17</w:t>
            </w:r>
          </w:p>
        </w:tc>
        <w:tc>
          <w:tcPr>
            <w:tcW w:w="288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rPr>
              <w:t>$4.88 - $4.96</w:t>
            </w:r>
          </w:p>
        </w:tc>
        <w:tc>
          <w:tcPr>
            <w:tcW w:w="0" w:type="dxa"/>
            <w:vAlign w:val="bottom"/>
          </w:tcPr>
          <w:p>
            <w:pPr>
              <w:spacing w:after="0"/>
              <w:rPr>
                <w:sz w:val="1"/>
                <w:szCs w:val="1"/>
                <w:color w:val="auto"/>
              </w:rPr>
            </w:pPr>
          </w:p>
        </w:tc>
      </w:tr>
      <w:tr>
        <w:trPr>
          <w:trHeight w:val="131"/>
        </w:trPr>
        <w:tc>
          <w:tcPr>
            <w:tcW w:w="5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common stockholders, diluted</w:t>
            </w:r>
          </w:p>
        </w:tc>
        <w:tc>
          <w:tcPr>
            <w:tcW w:w="2720" w:type="dxa"/>
            <w:vAlign w:val="bottom"/>
            <w:gridSpan w:val="2"/>
            <w:vMerge w:val="continue"/>
            <w:shd w:val="clear" w:color="auto" w:fill="CCEEFF"/>
          </w:tcPr>
          <w:p>
            <w:pPr>
              <w:spacing w:after="0"/>
              <w:rPr>
                <w:sz w:val="11"/>
                <w:szCs w:val="11"/>
                <w:color w:val="auto"/>
              </w:rPr>
            </w:pPr>
          </w:p>
        </w:tc>
        <w:tc>
          <w:tcPr>
            <w:tcW w:w="2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64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line="197" w:lineRule="exact"/>
              <w:rPr>
                <w:sz w:val="20"/>
                <w:szCs w:val="20"/>
                <w:color w:val="auto"/>
              </w:rPr>
            </w:pPr>
            <w:r>
              <w:rPr>
                <w:rFonts w:ascii="Arial" w:cs="Arial" w:eastAsia="Arial" w:hAnsi="Arial"/>
                <w:sz w:val="18"/>
                <w:szCs w:val="18"/>
                <w:color w:val="auto"/>
              </w:rPr>
              <w:t>Weighted average shares used in computing non-GAAP net income</w:t>
            </w:r>
          </w:p>
        </w:tc>
        <w:tc>
          <w:tcPr>
            <w:tcW w:w="27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rPr>
              <w:t>258 million</w:t>
            </w:r>
          </w:p>
        </w:tc>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9"/>
              </w:rPr>
              <w:t>259 million</w:t>
            </w: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per share attributable to common stockholders, diluted</w:t>
            </w:r>
          </w:p>
        </w:tc>
        <w:tc>
          <w:tcPr>
            <w:tcW w:w="2720" w:type="dxa"/>
            <w:vAlign w:val="bottom"/>
            <w:gridSpan w:val="2"/>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6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tax rate</w:t>
            </w:r>
          </w:p>
        </w:tc>
        <w:tc>
          <w:tcPr>
            <w:tcW w:w="920" w:type="dxa"/>
            <w:vAlign w:val="bottom"/>
            <w:shd w:val="clear" w:color="auto" w:fill="CCEEFF"/>
          </w:tcPr>
          <w:p>
            <w:pPr>
              <w:spacing w:after="0"/>
              <w:rPr>
                <w:sz w:val="21"/>
                <w:szCs w:val="21"/>
                <w:color w:val="auto"/>
              </w:rPr>
            </w:pPr>
          </w:p>
        </w:tc>
        <w:tc>
          <w:tcPr>
            <w:tcW w:w="1800" w:type="dxa"/>
            <w:vAlign w:val="bottom"/>
            <w:shd w:val="clear" w:color="auto" w:fill="CCEEFF"/>
          </w:tcPr>
          <w:p>
            <w:pPr>
              <w:jc w:val="center"/>
              <w:ind w:right="990"/>
              <w:spacing w:after="0"/>
              <w:rPr>
                <w:sz w:val="20"/>
                <w:szCs w:val="20"/>
                <w:color w:val="auto"/>
              </w:rPr>
            </w:pPr>
            <w:r>
              <w:rPr>
                <w:rFonts w:ascii="Arial" w:cs="Arial" w:eastAsia="Arial" w:hAnsi="Arial"/>
                <w:sz w:val="18"/>
                <w:szCs w:val="18"/>
                <w:color w:val="auto"/>
              </w:rPr>
              <w:t>21.0%</w:t>
            </w:r>
          </w:p>
        </w:tc>
        <w:tc>
          <w:tcPr>
            <w:tcW w:w="28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These statements are forward-looking and actual results may differ materially as a result of many factors. Refer to the Forward-Looking Statements safe harbor below for information on the factors that could cause the company's actual results to differ materially from these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CrowdStrike will host a conference call for analysts and investors to discuss its earnings results for the first quarter of fiscal 2027 and outlook for its fiscal second quarter and fiscal year 2027 today at 2:00 p.m. Pacific time (5:00 p.m. Eastern time). A recorded webcast of the event will also be available for one year on the CrowdStrike Investor Relations website ir.crowdstrike.com.</w:t>
      </w:r>
    </w:p>
    <w:p>
      <w:pPr>
        <w:sectPr>
          <w:pgSz w:w="11900" w:h="16838" w:orient="portrait"/>
          <w:cols w:equalWidth="0" w:num="1">
            <w:col w:w="11240"/>
          </w:cols>
          <w:pgMar w:left="320" w:top="1336"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June 3, 2026</w:t>
      </w:r>
    </w:p>
    <w:p>
      <w:pPr>
        <w:spacing w:after="0" w:line="43" w:lineRule="exact"/>
        <w:rPr>
          <w:sz w:val="20"/>
          <w:szCs w:val="20"/>
          <w:color w:val="auto"/>
        </w:rPr>
      </w:pPr>
    </w:p>
    <w:p>
      <w:pPr>
        <w:sectPr>
          <w:pgSz w:w="11900" w:h="16838" w:orient="portrait"/>
          <w:cols w:equalWidth="0" w:num="2">
            <w:col w:w="2760" w:space="720"/>
            <w:col w:w="7760"/>
          </w:cols>
          <w:pgMar w:left="320" w:top="133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2:00 p.m. Pacific time / 5:00 p.m. Eastern time</w:t>
      </w:r>
    </w:p>
    <w:p>
      <w:pPr>
        <w:spacing w:after="0" w:line="34" w:lineRule="exact"/>
        <w:rPr>
          <w:sz w:val="20"/>
          <w:szCs w:val="20"/>
          <w:color w:val="auto"/>
        </w:rPr>
      </w:pPr>
    </w:p>
    <w:p>
      <w:pPr>
        <w:sectPr>
          <w:pgSz w:w="11900" w:h="16838" w:orient="portrait"/>
          <w:cols w:equalWidth="0" w:num="2">
            <w:col w:w="2760" w:space="720"/>
            <w:col w:w="7760"/>
          </w:cols>
          <w:pgMar w:left="320" w:top="1336"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Webcast link: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3051F2"/>
        </w:rPr>
        <w:t>crowdstrike-fiscal-first-quarter-2027-results-conference-call.open-exchange.net/registration</w:t>
      </w:r>
    </w:p>
    <w:p>
      <w:pPr>
        <w:sectPr>
          <w:pgSz w:w="11900" w:h="16838" w:orient="portrait"/>
          <w:cols w:equalWidth="0" w:num="2">
            <w:col w:w="2760" w:space="720"/>
            <w:col w:w="7760"/>
          </w:cols>
          <w:pgMar w:left="320" w:top="133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This press release contains forward-looking statements that involve risks and uncertainties, including statements regarding CrowdStrike’s future growth and future financial and operating performance, including CrowdStrike’s financial outlook for the second quarter fiscal 2027, fiscal year 2027, and beyond; product developments; and anticipated tax rate. There are a significant number of factors that could cause actual results to differ materially from statements made in this press release, including: risks associated with the content configuration update CrowdStrike released on July 19, 2024 for its Falcon sensor that resulted in system crashes for certain Windows systems (the “July 19</w:t>
      </w:r>
    </w:p>
    <w:p>
      <w:pPr>
        <w:ind w:right="20"/>
        <w:spacing w:after="0"/>
        <w:rPr>
          <w:sz w:val="20"/>
          <w:szCs w:val="20"/>
          <w:color w:val="auto"/>
        </w:rPr>
      </w:pPr>
      <w:r>
        <w:rPr>
          <w:rFonts w:ascii="Arial" w:cs="Arial" w:eastAsia="Arial" w:hAnsi="Arial"/>
          <w:sz w:val="17"/>
          <w:szCs w:val="17"/>
          <w:color w:val="auto"/>
        </w:rPr>
        <w:t>Incident”); risks associated with managing CrowdStrike’s rapid growth; CrowdStrike’s ability to identify and effectively implement necessary changes to address execution challenges; risks associated with new or existing products and services, including the risk of defects, errors, or</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vulnerabilities; CrowdStrike's ability to respond to an intensely competitive and rapidly evolving market; length and unpredictability of sales cycles; CrowdStrike’s ability to attract new and retain existing customers; CrowdStrike’s ability to complete and successfully integrate acquisitions; the failure to timely develop and achieve market acceptance of new or existing products and services; CrowdStrike’s ability to collaborate and integrate its products with offerings from other parties to deliver benefits to customers; industry trends; rapidly evolving technological developments in the market for security products and services; and general market, political, economic, and business conditions, including those related to a deterioration in macroeconomic conditions, inflation, geopolitical uncertainty and conflicts, public health crises and volatility in the banking and financial services sector.</w:t>
      </w:r>
    </w:p>
    <w:p>
      <w:pPr>
        <w:spacing w:after="0" w:line="212"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Additional risks and uncertainties that could affect CrowdStrike’s financial results are included in the filings CrowdStrike makes with the Securities and Exchange Commission (“SEC”) from time to time, particularly under the captions “Risk Factors” and “Management’s Discussion and Analysis of Financial Condition and Results of Operations,” including CrowdStrike’s most recently filed Annual Report on Form 10-K, most recently filed Quarterly Report on Form 10-Q, and subsequent filings.</w:t>
      </w:r>
    </w:p>
    <w:p>
      <w:pPr>
        <w:spacing w:after="0" w:line="2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Actual outcomes and results may differ materially from those contemplated by these forward-looking statements as a result of such risks and uncertainties. All forward-looking statements in this press release are based on information available to CrowdStrike as of the date hereof,</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and CrowdStrike does not assume any obligation to update the forward-looking statements provided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3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CrowdStrike believes that the presentation of non-GAAP financial information provides important supplemental information to management and investors regarding financial and business trends relating to CrowdStrike’s financial condition and results of operations. For further information regarding these non-GAAP measures, including the reconciliation of these non-GAAP financial measures to their most directly comparable GAAP financial measures, please refer to the financial tables below, as well as the “Explanation of Non-GAAP Financial Measures” and “Change in Non-GAAP Measures Presentation” sections of this press release.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CrowdStrike intends to announce material information to the public through the CrowdStrike Investor Relations website </w:t>
      </w:r>
      <w:r>
        <w:rPr>
          <w:rFonts w:ascii="Arial" w:cs="Arial" w:eastAsia="Arial" w:hAnsi="Arial"/>
          <w:sz w:val="17"/>
          <w:szCs w:val="17"/>
          <w:color w:val="3051F2"/>
        </w:rPr>
        <w:t>ir.crowdstrike.com</w:t>
      </w:r>
      <w:r>
        <w:rPr>
          <w:rFonts w:ascii="Arial" w:cs="Arial" w:eastAsia="Arial" w:hAnsi="Arial"/>
          <w:sz w:val="17"/>
          <w:szCs w:val="17"/>
          <w:color w:val="auto"/>
        </w:rPr>
        <w:t>, SEC filings, press releases, public conference calls, and public webcasts. CrowdStrike uses these channels, as well as social media and its</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3051F2"/>
        </w:rPr>
        <w:t>blog</w:t>
      </w:r>
      <w:r>
        <w:rPr>
          <w:rFonts w:ascii="Arial" w:cs="Arial" w:eastAsia="Arial" w:hAnsi="Arial"/>
          <w:sz w:val="18"/>
          <w:szCs w:val="18"/>
          <w:color w:val="000000"/>
        </w:rPr>
        <w:t>, to communicate with its investors, customers, and the public about the company, its offerings, and other issues. It is possible that the</w:t>
      </w:r>
      <w:r>
        <w:rPr>
          <w:rFonts w:ascii="Arial" w:cs="Arial" w:eastAsia="Arial" w:hAnsi="Arial"/>
          <w:sz w:val="18"/>
          <w:szCs w:val="18"/>
          <w:color w:val="3051F2"/>
        </w:rPr>
        <w:t xml:space="preserve"> </w:t>
      </w:r>
      <w:r>
        <w:rPr>
          <w:rFonts w:ascii="Arial" w:cs="Arial" w:eastAsia="Arial" w:hAnsi="Arial"/>
          <w:sz w:val="18"/>
          <w:szCs w:val="18"/>
          <w:color w:val="000000"/>
        </w:rPr>
        <w:t>information CrowdStrike posts on social media and its blog could be deemed to be material information. As such, CrowdStrike encourages</w:t>
      </w:r>
    </w:p>
    <w:p>
      <w:pPr>
        <w:spacing w:after="0" w:line="2"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color w:val="auto"/>
        </w:rPr>
        <w:t>investors, the media, and others to follow the channels listed above, including the social media channels listed on CrowdStrike’s investor relations website, and to review the information disclosed through such channels. Any updates to the list of disclosure channels through which CrowdStrike will announce information will be posted on the investor relations page on CrowdStrike’s website.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Referenced and Disclaimers</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Gartner® Magic Quadrant™ for Endpoint Protection, Deepak Mishra, Evgeny Mirolyubov, Nikul Patel, May 26, 2026</w:t>
      </w:r>
    </w:p>
    <w:p>
      <w:pPr>
        <w:spacing w:after="0" w:line="13" w:lineRule="exact"/>
        <w:rPr>
          <w:rFonts w:ascii="Arial" w:cs="Arial" w:eastAsia="Arial" w:hAnsi="Arial"/>
          <w:sz w:val="18"/>
          <w:szCs w:val="18"/>
          <w:color w:val="auto"/>
        </w:rPr>
      </w:pPr>
    </w:p>
    <w:p>
      <w:pPr>
        <w:ind w:left="660" w:hanging="328"/>
        <w:spacing w:after="0" w:line="242"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Gartner® Magic Quadrant™ for Cyberthreat Intelligence Technologies, Jonathan Nunez, Jaime Anderson, Carlos De Sola Caraballo, May 4, 2026</w:t>
      </w:r>
    </w:p>
    <w:p>
      <w:pPr>
        <w:spacing w:after="0" w:line="1" w:lineRule="exact"/>
        <w:rPr>
          <w:rFonts w:ascii="Arial" w:cs="Arial" w:eastAsia="Arial" w:hAnsi="Arial"/>
          <w:sz w:val="18"/>
          <w:szCs w:val="18"/>
          <w:color w:val="auto"/>
        </w:rPr>
      </w:pPr>
    </w:p>
    <w:p>
      <w:pPr>
        <w:ind w:left="660" w:right="340"/>
        <w:spacing w:after="0" w:line="250" w:lineRule="auto"/>
        <w:rPr>
          <w:rFonts w:ascii="Arial" w:cs="Arial" w:eastAsia="Arial" w:hAnsi="Arial"/>
          <w:sz w:val="18"/>
          <w:szCs w:val="18"/>
          <w:color w:val="auto"/>
        </w:rPr>
      </w:pPr>
      <w:r>
        <w:rPr>
          <w:rFonts w:ascii="Arial" w:cs="Arial" w:eastAsia="Arial" w:hAnsi="Arial"/>
          <w:sz w:val="18"/>
          <w:szCs w:val="18"/>
          <w:color w:val="auto"/>
        </w:rPr>
        <w:t>Gartner®, Peer Insights™, Voice of the Customer for Security Information and Event Management, Peer Community Contributor, April 10, 2026</w:t>
      </w:r>
    </w:p>
    <w:p>
      <w:pPr>
        <w:ind w:left="660" w:right="20"/>
        <w:spacing w:after="0" w:line="250" w:lineRule="auto"/>
        <w:rPr>
          <w:rFonts w:ascii="Arial" w:cs="Arial" w:eastAsia="Arial" w:hAnsi="Arial"/>
          <w:sz w:val="18"/>
          <w:szCs w:val="18"/>
          <w:color w:val="auto"/>
        </w:rPr>
      </w:pPr>
      <w:r>
        <w:rPr>
          <w:rFonts w:ascii="Arial" w:cs="Arial" w:eastAsia="Arial" w:hAnsi="Arial"/>
          <w:sz w:val="18"/>
          <w:szCs w:val="18"/>
          <w:color w:val="auto"/>
        </w:rPr>
        <w:t>Gartner®, Peer Insights™, Voice of the Customer for Managed Detection and Response, By Peer Community Contributor, March 31, 2026</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2026 Frost Radar™: Cloud-Native Application Protection Platforms (CNAPP)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Frost &amp; Sullivan’s 2026 Global Company of the Year for Identity Threat Detection and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GigaOm Radar: Identity Threat Detection and Response (ITDR) Radar, v3, 26 May 2026</w:t>
      </w:r>
    </w:p>
    <w:p>
      <w:pPr>
        <w:sectPr>
          <w:pgSz w:w="11900" w:h="16838" w:orient="portrait"/>
          <w:cols w:equalWidth="0" w:num="1">
            <w:col w:w="11220"/>
          </w:cols>
          <w:pgMar w:left="320" w:top="130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Gartner, Magic Quadrant and Peer Insights are trademarks of Gartner, Inc. and/or its affiliates.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Gartner does not endorse any company, vendor, product or service depicted in its publications, and does not advise technology users to select only those vendors with the highest ratings or other designation. Gartner publications consist of the opinions of Gartner’s business and technology insights organization and should not be construed as statements of fact. Gartner disclaims all warranties, expressed or implied, with respect to this publication, including any warranties of merchantability or fitness for a particular purpose.</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Gartner Peer Insights content consists of the opinions of individual end users based on their own experiences, and should not be construed as statements of fact, nor do they represent the views of Gartner or its affiliates. Gartner does not endorse any vendor, product or service depicted in this content nor makes any warranties, expressed or implied, with respect to this content, about its accuracy or completeness, including any warranties of merchantability or fitness for a particular purpose.</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Earnings Press Release), and the opinions expressed in the Gartner Content are subject to change without notice.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CrowdStrike Holdings</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CrowdStrike (Nasdaq: CRWD), a global cybersecurity leader, has redefined modern security with the world’s most advanced cloud-native platform for protecting critical areas of enterprise risk – endpoints and cloud workloads, identity, and data.</w:t>
      </w:r>
    </w:p>
    <w:p>
      <w:pPr>
        <w:spacing w:after="0" w:line="18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Powered by the CrowdStrike Security Cloud and world-class AI, the CrowdStrike Falcon® platform leverages real-time indicators of attack, threat intelligence, evolving adversary tradecraft, and enriched telemetry from across the enterprise to deliver hyper-accurate detections, automated protection and remediation, elite threat hunting, and prioritized observability of vulnerabilities.</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Purpose-built in the cloud with a single lightweight-agent architecture, the Falcon platform delivers rapid and scalable deployment, superior protection and performance, reduced complexity, and immediate time-to-value.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CrowdStrike: We stop breaches.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color w:val="3051F2"/>
        </w:rPr>
        <w:t>ir.crowdstrike.com</w:t>
      </w:r>
    </w:p>
    <w:p>
      <w:pPr>
        <w:spacing w:after="0" w:line="239" w:lineRule="exact"/>
        <w:rPr>
          <w:sz w:val="20"/>
          <w:szCs w:val="20"/>
          <w:color w:val="auto"/>
        </w:rPr>
      </w:pPr>
    </w:p>
    <w:p>
      <w:pPr>
        <w:ind w:right="60" w:firstLine="8"/>
        <w:spacing w:after="0" w:line="253" w:lineRule="auto"/>
        <w:tabs>
          <w:tab w:leader="none" w:pos="183"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2026 CrowdStrike, Inc. All rights reserved. CrowdStrike and CrowdStrike Falcon are marks owned by CrowdStrike, Inc. and are registered in the United States and other countries. CrowdStrike owns other trademarks and service marks and may use the brands of third parties to identify their products and services.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Nowinski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investors@crowdstrike.com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669-721-0742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Jake Schuster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press@crowdstrike.com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20"/>
          </w:cols>
          <w:pgMar w:left="320" w:top="1108" w:right="359" w:bottom="1440" w:gutter="0" w:footer="0" w:header="0"/>
        </w:sectPr>
      </w:pPr>
    </w:p>
    <w:bookmarkStart w:id="9" w:name="page10"/>
    <w:bookmarkEnd w:id="9"/>
    <w:p>
      <w:pPr>
        <w:ind w:left="4360"/>
        <w:spacing w:after="0"/>
        <w:rPr>
          <w:sz w:val="20"/>
          <w:szCs w:val="20"/>
          <w:color w:val="auto"/>
        </w:rPr>
      </w:pPr>
      <w:r>
        <w:rPr>
          <w:rFonts w:ascii="Arial" w:cs="Arial" w:eastAsia="Arial" w:hAnsi="Arial"/>
          <w:sz w:val="16"/>
          <w:szCs w:val="16"/>
          <w:b w:val="1"/>
          <w:bCs w:val="1"/>
          <w:color w:val="auto"/>
        </w:rPr>
        <w:t>CROWDSTRIKE HOLDINGS, INC.</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April 30,</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1,320,853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1,050,768</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64,776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52,666</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1,385,629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1,103,434</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Subscription </w:t>
            </w:r>
            <w:r>
              <w:rPr>
                <w:rFonts w:ascii="Arial" w:cs="Arial" w:eastAsia="Arial" w:hAnsi="Arial"/>
                <w:sz w:val="21"/>
                <w:szCs w:val="21"/>
                <w:color w:val="auto"/>
                <w:vertAlign w:val="superscript"/>
              </w:rPr>
              <w:t>(1)(2)</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288,463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241,360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Professional services </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46,515</w:t>
            </w:r>
          </w:p>
        </w:tc>
        <w:tc>
          <w:tcPr>
            <w:tcW w:w="0" w:type="dxa"/>
            <w:vAlign w:val="bottom"/>
          </w:tcPr>
          <w:p>
            <w:pPr>
              <w:spacing w:after="0"/>
              <w:rPr>
                <w:sz w:val="1"/>
                <w:szCs w:val="1"/>
                <w:color w:val="auto"/>
              </w:rPr>
            </w:pPr>
          </w:p>
        </w:tc>
      </w:tr>
      <w:tr>
        <w:trPr>
          <w:trHeight w:val="209"/>
        </w:trPr>
        <w:tc>
          <w:tcPr>
            <w:tcW w:w="758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342,277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287,875</w:t>
            </w:r>
          </w:p>
        </w:tc>
        <w:tc>
          <w:tcPr>
            <w:tcW w:w="0" w:type="dxa"/>
            <w:vAlign w:val="bottom"/>
          </w:tcPr>
          <w:p>
            <w:pPr>
              <w:spacing w:after="0"/>
              <w:rPr>
                <w:sz w:val="1"/>
                <w:szCs w:val="1"/>
                <w:color w:val="auto"/>
              </w:rPr>
            </w:pPr>
          </w:p>
        </w:tc>
      </w:tr>
      <w:tr>
        <w:trPr>
          <w:trHeight w:val="271"/>
        </w:trPr>
        <w:tc>
          <w:tcPr>
            <w:tcW w:w="75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1,043,352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815,559</w:t>
            </w:r>
          </w:p>
        </w:tc>
        <w:tc>
          <w:tcPr>
            <w:tcW w:w="0" w:type="dxa"/>
            <w:vAlign w:val="bottom"/>
          </w:tcPr>
          <w:p>
            <w:pPr>
              <w:spacing w:after="0"/>
              <w:rPr>
                <w:sz w:val="1"/>
                <w:szCs w:val="1"/>
                <w:color w:val="auto"/>
              </w:rPr>
            </w:pPr>
          </w:p>
        </w:tc>
      </w:tr>
      <w:tr>
        <w:trPr>
          <w:trHeight w:val="271"/>
        </w:trPr>
        <w:tc>
          <w:tcPr>
            <w:tcW w:w="75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(1)(2)(3)(4)(5)</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439,211</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(1)(3)(4)(5)</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408,326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330,926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(1)(2)(3)(4)(5)(6)</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176,952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164,135</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1,073,952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934,272</w:t>
            </w:r>
          </w:p>
        </w:tc>
        <w:tc>
          <w:tcPr>
            <w:tcW w:w="0" w:type="dxa"/>
            <w:vAlign w:val="bottom"/>
          </w:tcPr>
          <w:p>
            <w:pPr>
              <w:spacing w:after="0"/>
              <w:rPr>
                <w:sz w:val="1"/>
                <w:szCs w:val="1"/>
                <w:color w:val="auto"/>
              </w:rPr>
            </w:pPr>
          </w:p>
        </w:tc>
      </w:tr>
      <w:tr>
        <w:trPr>
          <w:trHeight w:val="251"/>
        </w:trPr>
        <w:tc>
          <w:tcPr>
            <w:tcW w:w="75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(118,713)</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w:t>
            </w:r>
          </w:p>
        </w:tc>
        <w:tc>
          <w:tcPr>
            <w:tcW w:w="0" w:type="dxa"/>
            <w:vAlign w:val="bottom"/>
          </w:tcPr>
          <w:p>
            <w:pPr>
              <w:spacing w:after="0"/>
              <w:rPr>
                <w:sz w:val="1"/>
                <w:szCs w:val="1"/>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45,380</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income (expense), net</w:t>
            </w:r>
            <w:r>
              <w:rPr>
                <w:rFonts w:ascii="Arial" w:cs="Arial" w:eastAsia="Arial" w:hAnsi="Arial"/>
                <w:sz w:val="21"/>
                <w:szCs w:val="21"/>
                <w:color w:val="auto"/>
                <w:vertAlign w:val="superscript"/>
              </w:rPr>
              <w:t>(8)(9)</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39,063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(83,944)</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21,106</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(105,050)</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Net income (loss) attributable to CrowdStrike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(104,264)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CrowdStrike common stockholders: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shares used in computing net income (loss) per share attributable to CrowdStrike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common stockholders: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248,432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257,881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248,432</w:t>
            </w:r>
          </w:p>
        </w:tc>
        <w:tc>
          <w:tcPr>
            <w:tcW w:w="0" w:type="dxa"/>
            <w:vAlign w:val="bottom"/>
          </w:tcPr>
          <w:p>
            <w:pPr>
              <w:spacing w:after="0"/>
              <w:rPr>
                <w:sz w:val="1"/>
                <w:szCs w:val="1"/>
                <w:color w:val="auto"/>
              </w:rPr>
            </w:pPr>
          </w:p>
        </w:tc>
      </w:tr>
      <w:tr>
        <w:trPr>
          <w:trHeight w:val="21"/>
        </w:trPr>
        <w:tc>
          <w:tcPr>
            <w:tcW w:w="758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75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1" w:right="339" w:bottom="1440" w:gutter="0" w:footer="0" w:header="0"/>
        </w:sectPr>
      </w:pPr>
    </w:p>
    <w:bookmarkStart w:id="10" w:name="page11"/>
    <w:bookmarkEnd w:id="10"/>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stock-based compensation expense and related employer payroll taxes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68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24,983</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Professional services cost of revenue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10,232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10,217</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69,416</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134,543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112,215</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73,724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48,797</w:t>
            </w:r>
          </w:p>
        </w:tc>
      </w:tr>
      <w:tr>
        <w:trPr>
          <w:trHeight w:val="210"/>
        </w:trPr>
        <w:tc>
          <w:tcPr>
            <w:tcW w:w="7580" w:type="dxa"/>
            <w:vAlign w:val="bottom"/>
          </w:tcPr>
          <w:p>
            <w:pPr>
              <w:ind w:left="140"/>
              <w:spacing w:after="0" w:line="210" w:lineRule="exact"/>
              <w:rPr>
                <w:sz w:val="20"/>
                <w:szCs w:val="20"/>
                <w:color w:val="auto"/>
              </w:rPr>
            </w:pPr>
            <w:r>
              <w:rPr>
                <w:rFonts w:ascii="Arial" w:cs="Arial" w:eastAsia="Arial" w:hAnsi="Arial"/>
                <w:sz w:val="16"/>
                <w:szCs w:val="16"/>
                <w:color w:val="auto"/>
              </w:rPr>
              <w:t xml:space="preserve">Total stock-based compensation expense and related employer payroll taxes </w:t>
            </w:r>
            <w:r>
              <w:rPr>
                <w:rFonts w:ascii="Arial" w:cs="Arial" w:eastAsia="Arial" w:hAnsi="Arial"/>
                <w:sz w:val="21"/>
                <w:szCs w:val="21"/>
                <w:color w:val="auto"/>
                <w:vertAlign w:val="superscript"/>
              </w:rPr>
              <w:t>(1)(2)</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317,627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265,628</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amortization of acquired intangible assets, including purchased patents,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April 30,</w:t>
            </w:r>
          </w:p>
        </w:tc>
        <w:tc>
          <w:tcPr>
            <w:tcW w:w="58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amortization of acquired intangible assets</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w:t>
            </w:r>
          </w:p>
        </w:tc>
      </w:tr>
      <w:tr>
        <w:trPr>
          <w:trHeight w:val="21"/>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acquisition-related expenses, net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April 30,</w:t>
            </w:r>
          </w:p>
        </w:tc>
        <w:tc>
          <w:tcPr>
            <w:tcW w:w="52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acquisition-related expenses, net</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r>
        <w:trPr>
          <w:trHeight w:val="20"/>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mark-to-market adjustments on deferred compensation liabilities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mark-to-market adjustments on deferred compensation liabilities</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27" w:right="339" w:bottom="1440" w:gutter="0" w:footer="0" w:header="0"/>
        </w:sectPr>
      </w:pPr>
    </w:p>
    <w:bookmarkStart w:id="11" w:name="page12"/>
    <w:bookmarkEnd w:id="11"/>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costs, net, such as legal fees, remediation costs, sensor testing costs, and insurance receivables among others, associated with the July</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19 Incident and related matters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62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18,109</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38,658</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costs associated with the July 19 Incident and related matters, net</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39,727</w:t>
            </w:r>
          </w:p>
        </w:tc>
      </w:tr>
      <w:tr>
        <w:trPr>
          <w:trHeight w:val="21"/>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strategic plan related charges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April 30,</w:t>
            </w:r>
          </w:p>
        </w:tc>
        <w:tc>
          <w:tcPr>
            <w:tcW w:w="58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6,621</w:t>
            </w: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Total strategic plan related charges</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6,621</w:t>
            </w:r>
          </w:p>
        </w:tc>
      </w:tr>
      <w:tr>
        <w:trPr>
          <w:trHeight w:val="21"/>
        </w:trPr>
        <w:tc>
          <w:tcPr>
            <w:tcW w:w="7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amortization of debt issuance costs and discount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April 30,</w:t>
            </w:r>
          </w:p>
        </w:tc>
      </w:tr>
      <w:tr>
        <w:trPr>
          <w:trHeight w:val="210"/>
        </w:trPr>
        <w:tc>
          <w:tcPr>
            <w:tcW w:w="75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amortization of debt issuance costs and discount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gains (losses) and other income (expense) from strategic investments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April 30,</w:t>
            </w:r>
          </w:p>
        </w:tc>
      </w:tr>
      <w:tr>
        <w:trPr>
          <w:trHeight w:val="210"/>
        </w:trPr>
        <w:tc>
          <w:tcPr>
            <w:tcW w:w="75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10"/>
        </w:trPr>
        <w:tc>
          <w:tcPr>
            <w:tcW w:w="7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Total gains (losses) and other income (expense) from strategic investments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w:t>
            </w:r>
          </w:p>
        </w:tc>
      </w:tr>
      <w:tr>
        <w:trPr>
          <w:trHeight w:val="21"/>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gains (losses) on deferred compensation assets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Total gains (losses) on deferred compensation assets</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30, 2026</w:t>
            </w: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31, 2026</w:t>
            </w:r>
          </w:p>
        </w:tc>
        <w:tc>
          <w:tcPr>
            <w:tcW w:w="0" w:type="dxa"/>
            <w:vAlign w:val="bottom"/>
          </w:tcPr>
          <w:p>
            <w:pPr>
              <w:spacing w:after="0"/>
              <w:rPr>
                <w:sz w:val="1"/>
                <w:szCs w:val="1"/>
                <w:color w:val="auto"/>
              </w:rPr>
            </w:pPr>
          </w:p>
        </w:tc>
      </w:tr>
      <w:tr>
        <w:trPr>
          <w:trHeight w:val="19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5,230,125</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credit losses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933,887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1,361,844</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contract acquisition costs, current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447,455</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379,695</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7,419,119</w:t>
            </w: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Strategic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76,832</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976,331</w:t>
            </w: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69,860</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655,658</w:t>
            </w: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2,267,493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1,363,294</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136,702</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388,888</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11,270,100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11,086,684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54,221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105,319</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181,089</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Accrued payroll and benefits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372,055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389,690</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18,232</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3,370,233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3,421,051</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68,811</w:t>
            </w:r>
          </w:p>
        </w:tc>
        <w:tc>
          <w:tcPr>
            <w:tcW w:w="0" w:type="dxa"/>
            <w:vAlign w:val="bottom"/>
          </w:tcPr>
          <w:p>
            <w:pPr>
              <w:spacing w:after="0"/>
              <w:rPr>
                <w:sz w:val="1"/>
                <w:szCs w:val="1"/>
                <w:color w:val="auto"/>
              </w:rPr>
            </w:pPr>
          </w:p>
        </w:tc>
      </w:tr>
      <w:tr>
        <w:trPr>
          <w:trHeight w:val="209"/>
        </w:trPr>
        <w:tc>
          <w:tcPr>
            <w:tcW w:w="76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4,115,862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4,184,192</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745,471</w:t>
            </w: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1,351,960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1,332,387</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56,374</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295,655</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6,594,768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6,614,079</w:t>
            </w:r>
          </w:p>
        </w:tc>
        <w:tc>
          <w:tcPr>
            <w:tcW w:w="0" w:type="dxa"/>
            <w:vAlign w:val="bottom"/>
          </w:tcPr>
          <w:p>
            <w:pPr>
              <w:spacing w:after="0"/>
              <w:rPr>
                <w:sz w:val="1"/>
                <w:szCs w:val="1"/>
                <w:color w:val="auto"/>
              </w:rPr>
            </w:pPr>
          </w:p>
        </w:tc>
      </w:tr>
      <w:tr>
        <w:trPr>
          <w:trHeight w:val="195"/>
        </w:trPr>
        <w:tc>
          <w:tcPr>
            <w:tcW w:w="76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Common stock, Class A and Class B</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5,694,549</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(1,255,268)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(1,283,042)</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16,756</w:t>
            </w:r>
          </w:p>
        </w:tc>
        <w:tc>
          <w:tcPr>
            <w:tcW w:w="0" w:type="dxa"/>
            <w:vAlign w:val="bottom"/>
          </w:tcPr>
          <w:p>
            <w:pPr>
              <w:spacing w:after="0"/>
              <w:rPr>
                <w:sz w:val="1"/>
                <w:szCs w:val="1"/>
                <w:color w:val="auto"/>
              </w:rPr>
            </w:pPr>
          </w:p>
        </w:tc>
      </w:tr>
      <w:tr>
        <w:trPr>
          <w:trHeight w:val="209"/>
        </w:trPr>
        <w:tc>
          <w:tcPr>
            <w:tcW w:w="7620" w:type="dxa"/>
            <w:vAlign w:val="bottom"/>
          </w:tcPr>
          <w:p>
            <w:pPr>
              <w:ind w:left="220"/>
              <w:spacing w:after="0"/>
              <w:rPr>
                <w:sz w:val="20"/>
                <w:szCs w:val="20"/>
                <w:color w:val="auto"/>
              </w:rPr>
            </w:pPr>
            <w:r>
              <w:rPr>
                <w:rFonts w:ascii="Arial" w:cs="Arial" w:eastAsia="Arial" w:hAnsi="Arial"/>
                <w:sz w:val="16"/>
                <w:szCs w:val="16"/>
                <w:color w:val="auto"/>
              </w:rPr>
              <w:t>Total CrowdStrike Holdings, Inc. stockholders’ equity</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4,633,877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4,428,390</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44,215</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4,675,332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4,472,605</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11,270,100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11,086,684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0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Borders>
              <w:bottom w:val="single" w:sz="8" w:color="auto"/>
            </w:tcBorders>
          </w:tcPr>
          <w:p>
            <w:pPr>
              <w:spacing w:after="0"/>
              <w:rPr>
                <w:sz w:val="17"/>
                <w:szCs w:val="17"/>
                <w:color w:val="auto"/>
              </w:rPr>
            </w:pPr>
          </w:p>
        </w:tc>
      </w:tr>
      <w:tr>
        <w:trPr>
          <w:trHeight w:val="196"/>
        </w:trPr>
        <w:tc>
          <w:tcPr>
            <w:tcW w:w="76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r>
      <w:tr>
        <w:trPr>
          <w:trHeight w:val="184"/>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45,966</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(105,050)</w:t>
            </w: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75,522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56,423</w:t>
            </w: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intangible assets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7,634</w:t>
            </w: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Amortization of deferred contract acquisition costs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98,856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102,903</w:t>
            </w: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operating lease cost</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w:t>
            </w: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297,703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247,661</w:t>
            </w: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Realized gains on strategic investments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(36,362)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interest expense</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Change in fair value of strategic investments</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1,579</w:t>
            </w: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 net of impact of acquisitions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762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428,834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319,871</w:t>
            </w:r>
          </w:p>
        </w:tc>
      </w:tr>
      <w:tr>
        <w:trPr>
          <w:trHeight w:val="207"/>
        </w:trPr>
        <w:tc>
          <w:tcPr>
            <w:tcW w:w="7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contract acquisition costs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(92,702)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(102,803)</w:t>
            </w:r>
          </w:p>
        </w:tc>
      </w:tr>
      <w:tr>
        <w:trPr>
          <w:trHeight w:val="198"/>
        </w:trPr>
        <w:tc>
          <w:tcPr>
            <w:tcW w:w="762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(74,992)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(20,995)</w:t>
            </w:r>
          </w:p>
        </w:tc>
      </w:tr>
      <w:tr>
        <w:trPr>
          <w:trHeight w:val="207"/>
        </w:trPr>
        <w:tc>
          <w:tcPr>
            <w:tcW w:w="7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(83,228)</w:t>
            </w:r>
          </w:p>
        </w:tc>
      </w:tr>
      <w:tr>
        <w:trPr>
          <w:trHeight w:val="198"/>
        </w:trPr>
        <w:tc>
          <w:tcPr>
            <w:tcW w:w="762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(43,990)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(43,763)</w:t>
            </w:r>
          </w:p>
        </w:tc>
      </w:tr>
      <w:tr>
        <w:trPr>
          <w:trHeight w:val="206"/>
        </w:trPr>
        <w:tc>
          <w:tcPr>
            <w:tcW w:w="7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benefits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(37,848)</w:t>
            </w:r>
          </w:p>
        </w:tc>
      </w:tr>
      <w:tr>
        <w:trPr>
          <w:trHeight w:val="199"/>
        </w:trPr>
        <w:tc>
          <w:tcPr>
            <w:tcW w:w="762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(4,586)</w:t>
            </w:r>
          </w:p>
        </w:tc>
      </w:tr>
      <w:tr>
        <w:trPr>
          <w:trHeight w:val="206"/>
        </w:trPr>
        <w:tc>
          <w:tcPr>
            <w:tcW w:w="7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42,716</w:t>
            </w:r>
          </w:p>
        </w:tc>
      </w:tr>
      <w:tr>
        <w:trPr>
          <w:trHeight w:val="192"/>
        </w:trPr>
        <w:tc>
          <w:tcPr>
            <w:tcW w:w="7620" w:type="dxa"/>
            <w:vAlign w:val="bottom"/>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590,937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384,107</w:t>
            </w: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(97,624)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(85,751)</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 and website development costs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(17,437)</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Purchases of strategic investments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sales of strategic investments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Business acquisitions, net of cash and restricted cash acquired</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(881,376)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deferred compensation investments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the sale of deferred compensation investments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200"/>
        </w:trPr>
        <w:tc>
          <w:tcPr>
            <w:tcW w:w="7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(994,053)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(101,830)</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(20,952)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non-controlling interest holders</w:t>
            </w:r>
          </w:p>
        </w:tc>
        <w:tc>
          <w:tcPr>
            <w:tcW w:w="10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Repurchases of common stock</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(175,622)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(195,891)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w:t>
            </w:r>
          </w:p>
        </w:tc>
      </w:tr>
      <w:tr>
        <w:trPr>
          <w:trHeight w:val="216"/>
        </w:trPr>
        <w:tc>
          <w:tcPr>
            <w:tcW w:w="7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8"/>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cash equivalents and restricted cash</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r>
      <w:tr>
        <w:trPr>
          <w:trHeight w:val="200"/>
        </w:trPr>
        <w:tc>
          <w:tcPr>
            <w:tcW w:w="7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7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(598,891)</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290,957</w:t>
            </w:r>
          </w:p>
        </w:tc>
      </w:tr>
      <w:tr>
        <w:trPr>
          <w:trHeight w:val="200"/>
        </w:trPr>
        <w:tc>
          <w:tcPr>
            <w:tcW w:w="7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5,314,617</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4,324,666</w:t>
            </w:r>
          </w:p>
        </w:tc>
      </w:tr>
      <w:tr>
        <w:trPr>
          <w:trHeight w:val="200"/>
        </w:trPr>
        <w:tc>
          <w:tcPr>
            <w:tcW w:w="76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4,715,726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4,615,623</w:t>
            </w:r>
          </w:p>
        </w:tc>
      </w:tr>
      <w:tr>
        <w:trPr>
          <w:trHeight w:val="21"/>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06" w:right="339" w:bottom="1440" w:gutter="0" w:footer="0" w:header="0"/>
        </w:sectPr>
      </w:pPr>
    </w:p>
    <w:bookmarkStart w:id="14" w:name="page15"/>
    <w:bookmarkEnd w:id="14"/>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GAAP to Non-GAAP Reconciliations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percentages)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97"/>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subscription revenue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1,320,853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1,050,768</w:t>
            </w:r>
          </w:p>
        </w:tc>
      </w:tr>
      <w:tr>
        <w:trPr>
          <w:trHeight w:val="19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GAAP professional services revenue</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64,776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52,666</w:t>
            </w: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1,385,629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1,103,434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subscription gross profit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1,032,390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809,408</w:t>
            </w: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25,050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24,983</w:t>
            </w:r>
          </w:p>
        </w:tc>
      </w:tr>
      <w:tr>
        <w:trPr>
          <w:trHeight w:val="198"/>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11,178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6,377</w:t>
            </w:r>
          </w:p>
        </w:tc>
      </w:tr>
      <w:tr>
        <w:trPr>
          <w:trHeight w:val="200"/>
        </w:trPr>
        <w:tc>
          <w:tcPr>
            <w:tcW w:w="7640" w:type="dxa"/>
            <w:vAlign w:val="bottom"/>
          </w:tcPr>
          <w:p>
            <w:pPr>
              <w:ind w:left="20"/>
              <w:spacing w:after="0"/>
              <w:rPr>
                <w:sz w:val="20"/>
                <w:szCs w:val="20"/>
                <w:color w:val="auto"/>
              </w:rPr>
            </w:pPr>
            <w:r>
              <w:rPr>
                <w:rFonts w:ascii="Arial" w:cs="Arial" w:eastAsia="Arial" w:hAnsi="Arial"/>
                <w:sz w:val="14"/>
                <w:szCs w:val="14"/>
                <w:color w:val="auto"/>
              </w:rPr>
              <w:t>Non-GAAP subscription gross profit</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1,068,618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840,768</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7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8"/>
        </w:trPr>
        <w:tc>
          <w:tcPr>
            <w:tcW w:w="7640" w:type="dxa"/>
            <w:vAlign w:val="bottom"/>
          </w:tcPr>
          <w:p>
            <w:pPr>
              <w:ind w:left="20"/>
              <w:spacing w:after="0"/>
              <w:rPr>
                <w:sz w:val="20"/>
                <w:szCs w:val="20"/>
                <w:color w:val="auto"/>
              </w:rPr>
            </w:pPr>
            <w:r>
              <w:rPr>
                <w:rFonts w:ascii="Arial" w:cs="Arial" w:eastAsia="Arial" w:hAnsi="Arial"/>
                <w:sz w:val="14"/>
                <w:szCs w:val="14"/>
                <w:color w:val="auto"/>
              </w:rPr>
              <w:t>GAAP subscription gross margin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207"/>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subscription gross margin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216"/>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professional services gross profit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6,151</w:t>
            </w:r>
          </w:p>
        </w:tc>
      </w:tr>
      <w:tr>
        <w:trPr>
          <w:trHeight w:val="203"/>
        </w:trPr>
        <w:tc>
          <w:tcPr>
            <w:tcW w:w="76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10,232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10,217</w:t>
            </w:r>
          </w:p>
        </w:tc>
      </w:tr>
      <w:tr>
        <w:trPr>
          <w:trHeight w:val="221"/>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professional services gross profit</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21,194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16,368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professional services gross margin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7640" w:type="dxa"/>
            <w:vAlign w:val="bottom"/>
          </w:tcPr>
          <w:p>
            <w:pPr>
              <w:ind w:left="20"/>
              <w:spacing w:after="0"/>
              <w:rPr>
                <w:sz w:val="20"/>
                <w:szCs w:val="20"/>
                <w:color w:val="auto"/>
              </w:rPr>
            </w:pPr>
            <w:r>
              <w:rPr>
                <w:rFonts w:ascii="Arial" w:cs="Arial" w:eastAsia="Arial" w:hAnsi="Arial"/>
                <w:sz w:val="14"/>
                <w:szCs w:val="14"/>
                <w:color w:val="auto"/>
              </w:rPr>
              <w:t>Non-GAAP professional services gross margin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20"/>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Total GAAP gross margin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74 %</w:t>
            </w:r>
          </w:p>
        </w:tc>
      </w:tr>
      <w:tr>
        <w:trPr>
          <w:trHeight w:val="206"/>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Non-GAAP gross margin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r>
      <w:tr>
        <w:trPr>
          <w:trHeight w:val="216"/>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sales and marketing operating expenses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488,674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439,211</w:t>
            </w:r>
          </w:p>
        </w:tc>
      </w:tr>
      <w:tr>
        <w:trPr>
          <w:trHeight w:val="202"/>
        </w:trPr>
        <w:tc>
          <w:tcPr>
            <w:tcW w:w="76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(74,078)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(69,416)</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(916)</w:t>
            </w:r>
          </w:p>
        </w:tc>
      </w:tr>
      <w:tr>
        <w:trPr>
          <w:trHeight w:val="199"/>
        </w:trPr>
        <w:tc>
          <w:tcPr>
            <w:tcW w:w="7640" w:type="dxa"/>
            <w:vAlign w:val="bottom"/>
          </w:tcPr>
          <w:p>
            <w:pPr>
              <w:ind w:left="140"/>
              <w:spacing w:after="0"/>
              <w:rPr>
                <w:sz w:val="20"/>
                <w:szCs w:val="20"/>
                <w:color w:val="auto"/>
              </w:rPr>
            </w:pPr>
            <w:r>
              <w:rPr>
                <w:rFonts w:ascii="Arial" w:cs="Arial" w:eastAsia="Arial" w:hAnsi="Arial"/>
                <w:sz w:val="14"/>
                <w:szCs w:val="14"/>
                <w:color w:val="auto"/>
              </w:rPr>
              <w:t>Acquisition-related expenses, net</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(77)</w:t>
            </w:r>
          </w:p>
        </w:tc>
      </w:tr>
      <w:tr>
        <w:trPr>
          <w:trHeight w:val="206"/>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w:t>
            </w:r>
          </w:p>
        </w:tc>
      </w:tr>
      <w:tr>
        <w:trPr>
          <w:trHeight w:val="19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(532)</w:t>
            </w: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sales and marketing operating expenses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413,114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368,456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sales and marketing operating expenses as a percentage of revenue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94"/>
        </w:trPr>
        <w:tc>
          <w:tcPr>
            <w:tcW w:w="7640" w:type="dxa"/>
            <w:vAlign w:val="bottom"/>
          </w:tcPr>
          <w:p>
            <w:pPr>
              <w:ind w:left="20"/>
              <w:spacing w:after="0"/>
              <w:rPr>
                <w:sz w:val="20"/>
                <w:szCs w:val="20"/>
                <w:color w:val="auto"/>
              </w:rPr>
            </w:pPr>
            <w:r>
              <w:rPr>
                <w:rFonts w:ascii="Arial" w:cs="Arial" w:eastAsia="Arial" w:hAnsi="Arial"/>
                <w:sz w:val="14"/>
                <w:szCs w:val="14"/>
                <w:color w:val="auto"/>
              </w:rPr>
              <w:t>Non-GAAP sales and marketing operating expenses as a percentage of revenue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33 %</w:t>
            </w:r>
          </w:p>
        </w:tc>
      </w:tr>
    </w:tbl>
    <w:p>
      <w:pPr>
        <w:sectPr>
          <w:pgSz w:w="11900" w:h="16838" w:orient="portrait"/>
          <w:cols w:equalWidth="0" w:num="1">
            <w:col w:w="11240"/>
          </w:cols>
          <w:pgMar w:left="320" w:top="1440" w:right="339" w:bottom="1440" w:gutter="0" w:footer="0" w:header="0"/>
        </w:sectPr>
      </w:pPr>
    </w:p>
    <w:bookmarkStart w:id="15" w:name="page16"/>
    <w:bookmarkEnd w:id="15"/>
    <w:p>
      <w:pPr>
        <w:ind w:left="4360"/>
        <w:spacing w:after="0"/>
        <w:rPr>
          <w:sz w:val="20"/>
          <w:szCs w:val="20"/>
          <w:color w:val="auto"/>
        </w:rPr>
      </w:pPr>
      <w:r>
        <w:rPr>
          <w:rFonts w:ascii="Arial" w:cs="Arial" w:eastAsia="Arial" w:hAnsi="Arial"/>
          <w:sz w:val="16"/>
          <w:szCs w:val="16"/>
          <w:b w:val="1"/>
          <w:bCs w:val="1"/>
          <w:color w:val="auto"/>
        </w:rPr>
        <w:t>CROWDSTRIKE HOLDINGS, INC.</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GAAP to Non-GAAP Reconciliations (continued)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97"/>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research and development operating expenses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408,326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330,926</w:t>
            </w: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(134,543)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(112,215)</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Acquisition-related expenses,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w:t>
            </w:r>
          </w:p>
        </w:tc>
      </w:tr>
      <w:tr>
        <w:trPr>
          <w:trHeight w:val="199"/>
        </w:trPr>
        <w:tc>
          <w:tcPr>
            <w:tcW w:w="7640" w:type="dxa"/>
            <w:vAlign w:val="bottom"/>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116</w:t>
            </w:r>
          </w:p>
        </w:tc>
      </w:tr>
      <w:tr>
        <w:trPr>
          <w:trHeight w:val="206"/>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w:t>
            </w:r>
          </w:p>
        </w:tc>
      </w:tr>
      <w:tr>
        <w:trPr>
          <w:trHeight w:val="192"/>
        </w:trPr>
        <w:tc>
          <w:tcPr>
            <w:tcW w:w="7640" w:type="dxa"/>
            <w:vAlign w:val="bottom"/>
          </w:tcPr>
          <w:p>
            <w:pPr>
              <w:ind w:left="20"/>
              <w:spacing w:after="0"/>
              <w:rPr>
                <w:sz w:val="20"/>
                <w:szCs w:val="20"/>
                <w:color w:val="auto"/>
              </w:rPr>
            </w:pPr>
            <w:r>
              <w:rPr>
                <w:rFonts w:ascii="Arial" w:cs="Arial" w:eastAsia="Arial" w:hAnsi="Arial"/>
                <w:sz w:val="14"/>
                <w:szCs w:val="14"/>
                <w:color w:val="auto"/>
              </w:rPr>
              <w:t>Non-GAAP research and development operating expenses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273,364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218,216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7"/>
        </w:trPr>
        <w:tc>
          <w:tcPr>
            <w:tcW w:w="7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98"/>
        </w:trPr>
        <w:tc>
          <w:tcPr>
            <w:tcW w:w="7640" w:type="dxa"/>
            <w:vAlign w:val="bottom"/>
          </w:tcPr>
          <w:p>
            <w:pPr>
              <w:ind w:left="20"/>
              <w:spacing w:after="0"/>
              <w:rPr>
                <w:sz w:val="20"/>
                <w:szCs w:val="20"/>
                <w:color w:val="auto"/>
              </w:rPr>
            </w:pPr>
            <w:r>
              <w:rPr>
                <w:rFonts w:ascii="Arial" w:cs="Arial" w:eastAsia="Arial" w:hAnsi="Arial"/>
                <w:sz w:val="14"/>
                <w:szCs w:val="14"/>
                <w:color w:val="auto"/>
              </w:rPr>
              <w:t>GAAP research and development operating expenses as a percentage of revenue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07"/>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research and development operating expenses as a percentage of revenue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16"/>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general and administrative operating expenses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176,952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164,135</w:t>
            </w: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(73,724)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(48,797)</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r>
      <w:tr>
        <w:trPr>
          <w:trHeight w:val="198"/>
        </w:trPr>
        <w:tc>
          <w:tcPr>
            <w:tcW w:w="7640" w:type="dxa"/>
            <w:vAlign w:val="bottom"/>
          </w:tcPr>
          <w:p>
            <w:pPr>
              <w:ind w:left="140"/>
              <w:spacing w:after="0"/>
              <w:rPr>
                <w:sz w:val="20"/>
                <w:szCs w:val="20"/>
                <w:color w:val="auto"/>
              </w:rPr>
            </w:pPr>
            <w:r>
              <w:rPr>
                <w:rFonts w:ascii="Arial" w:cs="Arial" w:eastAsia="Arial" w:hAnsi="Arial"/>
                <w:sz w:val="14"/>
                <w:szCs w:val="14"/>
                <w:color w:val="auto"/>
              </w:rPr>
              <w:t>Acquisition-related expenses, net</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(6,947)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(392)</w:t>
            </w:r>
          </w:p>
        </w:tc>
      </w:tr>
      <w:tr>
        <w:trPr>
          <w:trHeight w:val="207"/>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r>
      <w:tr>
        <w:trPr>
          <w:trHeight w:val="198"/>
        </w:trPr>
        <w:tc>
          <w:tcPr>
            <w:tcW w:w="7640" w:type="dxa"/>
            <w:vAlign w:val="bottom"/>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(18,109)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(38,658)</w:t>
            </w:r>
          </w:p>
        </w:tc>
      </w:tr>
      <w:tr>
        <w:trPr>
          <w:trHeight w:val="207"/>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Strategic plan related charges</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(6,621)</w:t>
            </w:r>
          </w:p>
        </w:tc>
      </w:tr>
      <w:tr>
        <w:trPr>
          <w:trHeight w:val="192"/>
        </w:trPr>
        <w:tc>
          <w:tcPr>
            <w:tcW w:w="7640" w:type="dxa"/>
            <w:vAlign w:val="bottom"/>
          </w:tcPr>
          <w:p>
            <w:pPr>
              <w:ind w:left="20"/>
              <w:spacing w:after="0"/>
              <w:rPr>
                <w:sz w:val="20"/>
                <w:szCs w:val="20"/>
                <w:color w:val="auto"/>
              </w:rPr>
            </w:pPr>
            <w:r>
              <w:rPr>
                <w:rFonts w:ascii="Arial" w:cs="Arial" w:eastAsia="Arial" w:hAnsi="Arial"/>
                <w:sz w:val="14"/>
                <w:szCs w:val="14"/>
                <w:color w:val="auto"/>
              </w:rPr>
              <w:t>Non-GAAP general and administrative operating expenses</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77,664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69,341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7"/>
        </w:trPr>
        <w:tc>
          <w:tcPr>
            <w:tcW w:w="7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98"/>
        </w:trPr>
        <w:tc>
          <w:tcPr>
            <w:tcW w:w="7640" w:type="dxa"/>
            <w:vAlign w:val="bottom"/>
          </w:tcPr>
          <w:p>
            <w:pPr>
              <w:ind w:left="20"/>
              <w:spacing w:after="0"/>
              <w:rPr>
                <w:sz w:val="20"/>
                <w:szCs w:val="20"/>
                <w:color w:val="auto"/>
              </w:rPr>
            </w:pPr>
            <w:r>
              <w:rPr>
                <w:rFonts w:ascii="Arial" w:cs="Arial" w:eastAsia="Arial" w:hAnsi="Arial"/>
                <w:sz w:val="14"/>
                <w:szCs w:val="14"/>
                <w:color w:val="auto"/>
              </w:rPr>
              <w:t>GAAP general and administrative operating expenses as a percentage of revenue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07"/>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general and administrative operating expenses as a percentage of revenue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216"/>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loss from operations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(118,713)</w:t>
            </w: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317,627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265,628</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12,405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7,634</w:t>
            </w:r>
          </w:p>
        </w:tc>
      </w:tr>
      <w:tr>
        <w:trPr>
          <w:trHeight w:val="198"/>
        </w:trPr>
        <w:tc>
          <w:tcPr>
            <w:tcW w:w="7640" w:type="dxa"/>
            <w:vAlign w:val="bottom"/>
          </w:tcPr>
          <w:p>
            <w:pPr>
              <w:ind w:left="140"/>
              <w:spacing w:after="0"/>
              <w:rPr>
                <w:sz w:val="20"/>
                <w:szCs w:val="20"/>
                <w:color w:val="auto"/>
              </w:rPr>
            </w:pPr>
            <w:r>
              <w:rPr>
                <w:rFonts w:ascii="Arial" w:cs="Arial" w:eastAsia="Arial" w:hAnsi="Arial"/>
                <w:sz w:val="14"/>
                <w:szCs w:val="14"/>
                <w:color w:val="auto"/>
              </w:rPr>
              <w:t>Acquisition-related expenses, net</w:t>
            </w:r>
          </w:p>
        </w:tc>
        <w:tc>
          <w:tcPr>
            <w:tcW w:w="4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7,569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543</w:t>
            </w:r>
          </w:p>
        </w:tc>
      </w:tr>
      <w:tr>
        <w:trPr>
          <w:trHeight w:val="207"/>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w:t>
            </w:r>
          </w:p>
        </w:tc>
      </w:tr>
      <w:tr>
        <w:trPr>
          <w:trHeight w:val="198"/>
        </w:trPr>
        <w:tc>
          <w:tcPr>
            <w:tcW w:w="7640" w:type="dxa"/>
            <w:vAlign w:val="bottom"/>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4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18,128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39,727</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Strategic plan related charges</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6,621</w:t>
            </w:r>
          </w:p>
        </w:tc>
      </w:tr>
      <w:tr>
        <w:trPr>
          <w:trHeight w:val="200"/>
        </w:trPr>
        <w:tc>
          <w:tcPr>
            <w:tcW w:w="7640" w:type="dxa"/>
            <w:vAlign w:val="bottom"/>
          </w:tcPr>
          <w:p>
            <w:pPr>
              <w:ind w:left="20"/>
              <w:spacing w:after="0"/>
              <w:rPr>
                <w:sz w:val="20"/>
                <w:szCs w:val="20"/>
                <w:color w:val="auto"/>
              </w:rPr>
            </w:pPr>
            <w:r>
              <w:rPr>
                <w:rFonts w:ascii="Arial" w:cs="Arial" w:eastAsia="Arial" w:hAnsi="Arial"/>
                <w:sz w:val="14"/>
                <w:szCs w:val="14"/>
                <w:color w:val="auto"/>
              </w:rPr>
              <w:t>Non-GAAP income from operations</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325,670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201,123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7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GAAP operating margin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6"/>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operating margin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16"/>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provision (benefit) for income taxes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21,106</w:t>
            </w:r>
          </w:p>
        </w:tc>
      </w:tr>
      <w:tr>
        <w:trPr>
          <w:trHeight w:val="203"/>
        </w:trPr>
        <w:tc>
          <w:tcPr>
            <w:tcW w:w="76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Income tax adjustments</w:t>
            </w:r>
            <w:r>
              <w:rPr>
                <w:rFonts w:ascii="Arial" w:cs="Arial" w:eastAsia="Arial" w:hAnsi="Arial"/>
                <w:sz w:val="18"/>
                <w:szCs w:val="18"/>
                <w:color w:val="auto"/>
                <w:vertAlign w:val="superscript"/>
              </w:rPr>
              <w:t>(3)</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82,247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32,518</w:t>
            </w:r>
          </w:p>
        </w:tc>
      </w:tr>
      <w:tr>
        <w:trPr>
          <w:trHeight w:val="221"/>
        </w:trPr>
        <w:tc>
          <w:tcPr>
            <w:tcW w:w="7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Non-GAAP provision for income taxes</w:t>
            </w:r>
            <w:r>
              <w:rPr>
                <w:rFonts w:ascii="Arial" w:cs="Arial" w:eastAsia="Arial" w:hAnsi="Arial"/>
                <w:sz w:val="18"/>
                <w:szCs w:val="18"/>
                <w:color w:val="auto"/>
                <w:vertAlign w:val="superscript"/>
              </w:rPr>
              <w:t>(2)</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75,344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53,624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73" w:right="339" w:bottom="1440" w:gutter="0" w:footer="0" w:header="0"/>
        </w:sectPr>
      </w:pPr>
    </w:p>
    <w:bookmarkStart w:id="16" w:name="page17"/>
    <w:bookmarkEnd w:id="16"/>
    <w:p>
      <w:pPr>
        <w:ind w:left="4360"/>
        <w:spacing w:after="0"/>
        <w:rPr>
          <w:sz w:val="20"/>
          <w:szCs w:val="20"/>
          <w:color w:val="auto"/>
        </w:rPr>
      </w:pPr>
      <w:r>
        <w:rPr>
          <w:rFonts w:ascii="Arial" w:cs="Arial" w:eastAsia="Arial" w:hAnsi="Arial"/>
          <w:sz w:val="16"/>
          <w:szCs w:val="16"/>
          <w:b w:val="1"/>
          <w:bCs w:val="1"/>
          <w:color w:val="auto"/>
        </w:rPr>
        <w:t>CROWDSTRIKE HOLDINGS, INC.</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GAAP to Non-GAAP Reconciliations (continued)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(loss) attributable to CrowdStrike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27,774</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(104,264)</w:t>
            </w:r>
          </w:p>
        </w:tc>
        <w:tc>
          <w:tcPr>
            <w:tcW w:w="0" w:type="dxa"/>
            <w:vAlign w:val="bottom"/>
          </w:tcPr>
          <w:p>
            <w:pPr>
              <w:spacing w:after="0"/>
              <w:rPr>
                <w:sz w:val="1"/>
                <w:szCs w:val="1"/>
                <w:color w:val="auto"/>
              </w:rPr>
            </w:pPr>
          </w:p>
        </w:tc>
      </w:tr>
      <w:tr>
        <w:trPr>
          <w:trHeight w:val="203"/>
        </w:trPr>
        <w:tc>
          <w:tcPr>
            <w:tcW w:w="7840" w:type="dxa"/>
            <w:vAlign w:val="bottom"/>
          </w:tcPr>
          <w:p>
            <w:pPr>
              <w:ind w:left="140"/>
              <w:spacing w:after="0" w:line="20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317,627</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265,628</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Acquisition-related expenses, net</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7,569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18,128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39,727</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Strategic plan related charges</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6,621</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Amortization of debt issuance costs and discount</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(gains) and other expense (income) from strategic investments attributable to CrowdStrike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Losses (gains) on deferred compensation assets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adjustments</w:t>
            </w:r>
            <w:r>
              <w:rPr>
                <w:rFonts w:ascii="Arial" w:cs="Arial" w:eastAsia="Arial" w:hAnsi="Arial"/>
                <w:sz w:val="18"/>
                <w:szCs w:val="18"/>
                <w:color w:val="auto"/>
                <w:vertAlign w:val="superscript"/>
              </w:rPr>
              <w:t>(3)</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(82,247)</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(32,518)</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Non-GAAP net income attributable to CrowdStrike</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283,436</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184,704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used in computing GAAP basic net income (loss) per share attributable to CrowdStrike common</w:t>
            </w:r>
          </w:p>
        </w:tc>
        <w:tc>
          <w:tcPr>
            <w:tcW w:w="10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253,732</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248,432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10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40" w:type="dxa"/>
            <w:vAlign w:val="bottom"/>
          </w:tcPr>
          <w:p>
            <w:pPr>
              <w:ind w:left="20"/>
              <w:spacing w:after="0"/>
              <w:rPr>
                <w:sz w:val="20"/>
                <w:szCs w:val="20"/>
                <w:color w:val="auto"/>
              </w:rPr>
            </w:pPr>
            <w:r>
              <w:rPr>
                <w:rFonts w:ascii="Arial" w:cs="Arial" w:eastAsia="Arial" w:hAnsi="Arial"/>
                <w:sz w:val="14"/>
                <w:szCs w:val="14"/>
                <w:color w:val="auto"/>
              </w:rPr>
              <w:t>GAAP basic net income (loss) per share attributable to CrowdStrike common stockholders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40" w:type="dxa"/>
            <w:vAlign w:val="bottom"/>
          </w:tcPr>
          <w:p>
            <w:pPr>
              <w:ind w:left="20"/>
              <w:spacing w:after="0"/>
              <w:rPr>
                <w:sz w:val="20"/>
                <w:szCs w:val="20"/>
                <w:color w:val="auto"/>
              </w:rPr>
            </w:pPr>
            <w:r>
              <w:rPr>
                <w:rFonts w:ascii="Arial" w:cs="Arial" w:eastAsia="Arial" w:hAnsi="Arial"/>
                <w:sz w:val="14"/>
                <w:szCs w:val="14"/>
                <w:color w:val="auto"/>
              </w:rPr>
              <w:t>GAAP diluted net income (loss) per share attributable to CrowdStrike common stockholders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Acquisition-related expenses, net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Mark-to-market adjustments on deferred compensation liabilities</w:t>
            </w:r>
          </w:p>
        </w:tc>
        <w:tc>
          <w:tcPr>
            <w:tcW w:w="10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associated with the July 19 Incident and related matters, net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Strategic plan related charges</w:t>
            </w:r>
          </w:p>
        </w:tc>
        <w:tc>
          <w:tcPr>
            <w:tcW w:w="10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 and discount</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840" w:type="dxa"/>
            <w:vAlign w:val="bottom"/>
          </w:tcPr>
          <w:p>
            <w:pPr>
              <w:ind w:left="140"/>
              <w:spacing w:after="0"/>
              <w:rPr>
                <w:sz w:val="20"/>
                <w:szCs w:val="20"/>
                <w:color w:val="auto"/>
              </w:rPr>
            </w:pPr>
            <w:r>
              <w:rPr>
                <w:rFonts w:ascii="Arial" w:cs="Arial" w:eastAsia="Arial" w:hAnsi="Arial"/>
                <w:sz w:val="14"/>
                <w:szCs w:val="14"/>
                <w:color w:val="auto"/>
              </w:rPr>
              <w:t>Losses (gains) and other expense (income) from strategic investments attributable to CrowdStrike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(gains) on deferred compensation assets</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40" w:type="dxa"/>
            <w:vAlign w:val="bottom"/>
          </w:tcPr>
          <w:p>
            <w:pPr>
              <w:ind w:left="140"/>
              <w:spacing w:after="0" w:line="202" w:lineRule="exact"/>
              <w:rPr>
                <w:sz w:val="20"/>
                <w:szCs w:val="20"/>
                <w:color w:val="auto"/>
              </w:rPr>
            </w:pPr>
            <w:r>
              <w:rPr>
                <w:rFonts w:ascii="Arial" w:cs="Arial" w:eastAsia="Arial" w:hAnsi="Arial"/>
                <w:sz w:val="14"/>
                <w:szCs w:val="14"/>
                <w:color w:val="auto"/>
              </w:rPr>
              <w:t>Income tax adjustments</w:t>
            </w:r>
            <w:r>
              <w:rPr>
                <w:rFonts w:ascii="Arial" w:cs="Arial" w:eastAsia="Arial" w:hAnsi="Arial"/>
                <w:sz w:val="18"/>
                <w:szCs w:val="18"/>
                <w:color w:val="auto"/>
                <w:vertAlign w:val="superscript"/>
              </w:rPr>
              <w:t>(3)</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(4)</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Non-GAAP diluted net income per share attributable to CrowdStrike common stockholders</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used to calculate Non-GAAP diluted net income per share attributable to CrowdStrike common</w:t>
            </w:r>
          </w:p>
        </w:tc>
        <w:tc>
          <w:tcPr>
            <w:tcW w:w="10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257,881</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254,550</w:t>
            </w:r>
          </w:p>
        </w:tc>
        <w:tc>
          <w:tcPr>
            <w:tcW w:w="0" w:type="dxa"/>
            <w:vAlign w:val="bottom"/>
          </w:tcPr>
          <w:p>
            <w:pPr>
              <w:spacing w:after="0"/>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10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3"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Stock-based compensation expense has been revised to reflect immaterial prior period adjustments.</w:t>
      </w:r>
    </w:p>
    <w:p>
      <w:pPr>
        <w:spacing w:after="0" w:line="116" w:lineRule="exact"/>
        <w:rPr>
          <w:rFonts w:ascii="Arial" w:cs="Arial" w:eastAsia="Arial" w:hAnsi="Arial"/>
          <w:sz w:val="11"/>
          <w:szCs w:val="11"/>
          <w:color w:val="auto"/>
        </w:rPr>
      </w:pPr>
    </w:p>
    <w:p>
      <w:pPr>
        <w:ind w:right="40" w:firstLine="8"/>
        <w:spacing w:after="0" w:line="259" w:lineRule="auto"/>
        <w:tabs>
          <w:tab w:leader="none" w:pos="1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Effective second quarter fiscal year 2026, we adopted a 21.0% long-term projected non-GAAP tax rate, reduced from the previous rate of 22.5%, in connection with the enactment of the One Big Beautiful Bill Act. This rate reflects the anticipated tax benefit from earning income outside the U.S. while retaining intellectual property within the U.S. The change is applied prospectively, and the tax rate for prior periods remains unchanged.</w:t>
      </w:r>
    </w:p>
    <w:p>
      <w:pPr>
        <w:spacing w:after="0" w:line="91" w:lineRule="exact"/>
        <w:rPr>
          <w:rFonts w:ascii="Arial" w:cs="Arial" w:eastAsia="Arial" w:hAnsi="Arial"/>
          <w:sz w:val="11"/>
          <w:szCs w:val="11"/>
          <w:color w:val="auto"/>
        </w:rPr>
      </w:pPr>
    </w:p>
    <w:p>
      <w:pPr>
        <w:ind w:left="120" w:hanging="112"/>
        <w:spacing w:after="0"/>
        <w:tabs>
          <w:tab w:leader="none" w:pos="1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Adjustments are related to the difference between the GAAP provision for income taxes and non-GAAP provision for income taxes.</w:t>
      </w:r>
    </w:p>
    <w:p>
      <w:pPr>
        <w:spacing w:after="0" w:line="116" w:lineRule="exact"/>
        <w:rPr>
          <w:rFonts w:ascii="Arial" w:cs="Arial" w:eastAsia="Arial" w:hAnsi="Arial"/>
          <w:sz w:val="11"/>
          <w:szCs w:val="11"/>
          <w:color w:val="auto"/>
        </w:rPr>
      </w:pPr>
    </w:p>
    <w:p>
      <w:pPr>
        <w:ind w:right="220" w:firstLine="8"/>
        <w:spacing w:after="0" w:line="259" w:lineRule="auto"/>
        <w:tabs>
          <w:tab w:leader="none" w:pos="1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For periods in which we had diluted non-GAAP net income per share attributable to CrowdStrike common stockholders, the sum of the impact of individual reconciling items may not total to diluted non-GAAP net income per share attributable to CrowdStrike common stockholders because of rounding differences.</w:t>
      </w:r>
    </w:p>
    <w:p>
      <w:pPr>
        <w:sectPr>
          <w:pgSz w:w="11900" w:h="16838" w:orient="portrait"/>
          <w:cols w:equalWidth="0" w:num="1">
            <w:col w:w="11240"/>
          </w:cols>
          <w:pgMar w:left="320" w:top="127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2025</w:t>
            </w: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cash provided by operating activities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590,937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384,107</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8"/>
                <w:szCs w:val="18"/>
                <w:color w:val="auto"/>
              </w:rPr>
            </w:pP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(97,624)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(85,751)</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internal-use software and website development costs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(22,571)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(17,437)</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Purchases of and proceeds from deferred compensation investments, net</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(1,504)</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468,463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279,415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cash used in investing activities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(994,053)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(101,830)</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GAAP net cash provided by (used in) financing activities</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(195,891)</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2,134</w:t>
            </w:r>
          </w:p>
        </w:tc>
      </w:tr>
      <w:tr>
        <w:trPr>
          <w:trHeight w:val="271"/>
        </w:trPr>
        <w:tc>
          <w:tcPr>
            <w:tcW w:w="73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GAAP net cash provided by operating activities as a percentage of revenue</w:t>
            </w:r>
          </w:p>
        </w:tc>
        <w:tc>
          <w:tcPr>
            <w:tcW w:w="2200" w:type="dxa"/>
            <w:vAlign w:val="bottom"/>
          </w:tcPr>
          <w:p>
            <w:pPr>
              <w:jc w:val="right"/>
              <w:ind w:right="739"/>
              <w:spacing w:after="0"/>
              <w:rPr>
                <w:sz w:val="20"/>
                <w:szCs w:val="20"/>
                <w:color w:val="auto"/>
              </w:rPr>
            </w:pPr>
            <w:r>
              <w:rPr>
                <w:rFonts w:ascii="Arial" w:cs="Arial" w:eastAsia="Arial" w:hAnsi="Arial"/>
                <w:sz w:val="16"/>
                <w:szCs w:val="16"/>
                <w:color w:val="auto"/>
              </w:rPr>
              <w:t>43 %</w:t>
            </w: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as a percentage of revenue</w:t>
            </w:r>
          </w:p>
        </w:tc>
        <w:tc>
          <w:tcPr>
            <w:tcW w:w="22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7840" w:type="dxa"/>
            <w:vAlign w:val="bottom"/>
          </w:tcPr>
          <w:p>
            <w:pPr>
              <w:ind w:left="140"/>
              <w:spacing w:after="0"/>
              <w:rPr>
                <w:sz w:val="20"/>
                <w:szCs w:val="20"/>
                <w:color w:val="auto"/>
              </w:rPr>
            </w:pPr>
            <w:r>
              <w:rPr>
                <w:rFonts w:ascii="Arial" w:cs="Arial" w:eastAsia="Arial" w:hAnsi="Arial"/>
                <w:sz w:val="16"/>
                <w:szCs w:val="16"/>
                <w:color w:val="auto"/>
              </w:rPr>
              <w:t>Capitalized internal-use software and website development costs as a percentage of revenue</w:t>
            </w:r>
          </w:p>
        </w:tc>
        <w:tc>
          <w:tcPr>
            <w:tcW w:w="2200" w:type="dxa"/>
            <w:vAlign w:val="bottom"/>
          </w:tcPr>
          <w:p>
            <w:pPr>
              <w:jc w:val="right"/>
              <w:ind w:right="739"/>
              <w:spacing w:after="0"/>
              <w:rPr>
                <w:sz w:val="20"/>
                <w:szCs w:val="20"/>
                <w:color w:val="auto"/>
              </w:rPr>
            </w:pPr>
            <w:r>
              <w:rPr>
                <w:rFonts w:ascii="Arial" w:cs="Arial" w:eastAsia="Arial" w:hAnsi="Arial"/>
                <w:sz w:val="16"/>
                <w:szCs w:val="16"/>
                <w:color w:val="auto"/>
              </w:rPr>
              <w:t>(2)%</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Purchases of and proceeds from deferred compensation investments, net as a percentage of</w:t>
            </w:r>
          </w:p>
        </w:tc>
        <w:tc>
          <w:tcPr>
            <w:tcW w:w="220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rPr>
              <w:t>—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w:t>
            </w:r>
          </w:p>
        </w:tc>
        <w:tc>
          <w:tcPr>
            <w:tcW w:w="22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Free cash flow margin</w:t>
            </w:r>
          </w:p>
        </w:tc>
        <w:tc>
          <w:tcPr>
            <w:tcW w:w="2200" w:type="dxa"/>
            <w:vAlign w:val="bottom"/>
          </w:tcPr>
          <w:p>
            <w:pPr>
              <w:jc w:val="right"/>
              <w:ind w:right="739"/>
              <w:spacing w:after="0"/>
              <w:rPr>
                <w:sz w:val="20"/>
                <w:szCs w:val="20"/>
                <w:color w:val="auto"/>
              </w:rPr>
            </w:pPr>
            <w:r>
              <w:rPr>
                <w:rFonts w:ascii="Arial" w:cs="Arial" w:eastAsia="Arial" w:hAnsi="Arial"/>
                <w:sz w:val="16"/>
                <w:szCs w:val="16"/>
                <w:color w:val="auto"/>
              </w:rPr>
              <w:t>34 %</w:t>
            </w:r>
          </w:p>
        </w:tc>
        <w:tc>
          <w:tcPr>
            <w:tcW w:w="120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40"/>
          </w:cols>
          <w:pgMar w:left="320" w:top="121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Explanation of Non-GAAP Financial Measures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determining results in accordance with U.S. generally accepted accounting principles (“GAAP”), CrowdStrike believes the following non-GAAP measures are useful in evaluating its operating performance. CrowdStrike uses the following non-GAAP financial information to evaluate its ongoing operations and for internal planning and forecasting purposes. CrowdStrike believes that non-GAAP financial information, when taken collectively, may be helpful to investors because it provides consistency and comparability with past financial performance and facilitates period-to-period comparisons of operations, as these measures eliminate the effects of certain variables unrelated to CrowdStrike’s overall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21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Other companies, including companies in CrowdStrike’s industry, may calculate similarly titled non-GAAP measures differently or may use other measures to evaluate their performance, all of which could reduce the usefulness of CrowdStrike’s non-GAAP financial measures as tools for comparison.</w:t>
      </w:r>
    </w:p>
    <w:p>
      <w:pPr>
        <w:spacing w:after="0" w:line="198" w:lineRule="exact"/>
        <w:rPr>
          <w:sz w:val="20"/>
          <w:szCs w:val="20"/>
          <w:color w:val="auto"/>
        </w:rPr>
      </w:pPr>
    </w:p>
    <w:p>
      <w:pPr>
        <w:jc w:val="both"/>
        <w:ind w:right="260"/>
        <w:spacing w:after="0" w:line="318" w:lineRule="auto"/>
        <w:rPr>
          <w:sz w:val="20"/>
          <w:szCs w:val="20"/>
          <w:color w:val="auto"/>
        </w:rPr>
      </w:pPr>
      <w:r>
        <w:rPr>
          <w:rFonts w:ascii="Arial" w:cs="Arial" w:eastAsia="Arial" w:hAnsi="Arial"/>
          <w:sz w:val="17"/>
          <w:szCs w:val="17"/>
          <w:color w:val="auto"/>
        </w:rPr>
        <w:t>Investors are encouraged to review the related GAAP financial measures and the reconciliation of these non-GAAP financial measures to their most directly comparable GAAP financial measures and not rely on any single financial measure to evaluate CrowdStrike’s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Non-GAAP Measures Presentation</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Effective second quarter fiscal year 2026, CrowdStrike adopted a 21.0% long-term projected non-GAAP tax rate, reduced from the previous rate of 22.5%, in connection with the enactment of the One Big Beautiful Bill Act. This rate reflects the anticipated tax benefit from earning income outside the United States (U.S.) while retaining intellectual property within the U.S. The change is applied prospectively, and the tax rate for prior periods remains unchanged.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CrowdStrike defines non-GAAP subscription gross profit and non-GAAP subscription gross margin as GAAP subscription gross profit and GAAP subscription gross margin, respectively, excluding stock-based compensation expense and related employer payroll taxes, amortization of acquired intangible assets, and strategic plan related charges (benefits), net.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from Operations</w:t>
      </w:r>
    </w:p>
    <w:p>
      <w:pPr>
        <w:spacing w:after="0" w:line="23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CrowdStrike defines non-GAAP income from operations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Attributable to CrowdStrike</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212529"/>
        </w:rPr>
        <w:t xml:space="preserve">CrowdStrike defines non-GAAP net income attributable to CrowdStrike as GAAP net income (loss) attributable to CrowdStrike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w:t>
      </w:r>
      <w:r>
        <w:rPr>
          <w:rFonts w:ascii="Arial" w:cs="Arial" w:eastAsia="Arial" w:hAnsi="Arial"/>
          <w:sz w:val="18"/>
          <w:szCs w:val="18"/>
          <w:color w:val="000000"/>
        </w:rPr>
        <w:t>costs (recoveries) associated with the July 19 Incident and related matters, net</w:t>
      </w:r>
      <w:r>
        <w:rPr>
          <w:rFonts w:ascii="Arial" w:cs="Arial" w:eastAsia="Arial" w:hAnsi="Arial"/>
          <w:sz w:val="18"/>
          <w:szCs w:val="18"/>
          <w:color w:val="212529"/>
        </w:rPr>
        <w:t>, strategic plan related charges (benefits), net, amortization of debt issuance costs and discount, losses (gains) and other expense (income) from strategic investments, and losses (gains) on deferred compensation assets, and is adjusted for its long-term non-GAAP effective tax rate.</w:t>
      </w:r>
    </w:p>
    <w:p>
      <w:pPr>
        <w:sectPr>
          <w:pgSz w:w="11900" w:h="16838" w:orient="portrait"/>
          <w:cols w:equalWidth="0" w:num="1">
            <w:col w:w="11220"/>
          </w:cols>
          <w:pgMar w:left="320" w:top="110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Non-GAAP Net Income per Share Attributable to CrowdStrike Common Stockholders, Diluted</w:t>
      </w:r>
    </w:p>
    <w:p>
      <w:pPr>
        <w:spacing w:after="0" w:line="25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212529"/>
        </w:rPr>
        <w:t>CrowdStrike defines non-GAAP net income per share attributable to CrowdStrike common stockholders, as non-GAAP net income attributable to CrowdStrike divided by the weighted-average shares outstanding, which includes the dilutive effect of potentially dilutive common stock equivalents outstanding during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Free cash flow is a non-GAAP financial measure that CrowdStrike defines as net cash provided by operating activities less purchases of property and equipment, capitalized internal-use software and website development costs, and purchases of and proceeds from deferred compensation investments, net. CrowdStrike monitors free cash flow as one measure of its overall business performance, which enables CrowdStrike to analyze its future performance without the effects of non-cash items and allows CrowdStrike to better understand the cash needs of its business. While CrowdStrike believes that free cash flow is useful in evaluating its business, free cash flow is a non-GAAP financial measure that has limitations as an analytical tool, and free cash flow should not be considered as an alternative to, or substitute for, net cash provided by operating activities in accordance with GAAP. The utility of free cash flow as a measure of CrowdStrike’s liquidity is further limited as it does not represent the total increase or decrease in CrowdStrike’s cash balance for any given period. In addition, other companies, including companies in CrowdStrike's industry, may calculate free cash flow differently or not at all, which reduces the usefulness of free cash flow as a tool for comparison.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Operational Measures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ARR is calculated as the annualized value of CrowdStrike’s customer subscription contracts as of the measurement date, assuming any contract that expires during the next 12 months is renewed on its existing terms. To the extent that CrowdStrike is negotiating a renewal with a customer after the expiration of the subscription, CrowdStrike continues to include that revenue in ARR if CrowdStrike is actively in discussion with such an organization for a new subscription or renewal, or until such organization notifies CrowdStrike that it is not renewing its subscription.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CrowdStrike's dollar-based net retention rate compares its ARR from a set of subscription customers against the same metric for those subscription customers from the prior year. CrowdStrike's dollar-based net retention rate reflects customer renewals, expansion, contraction and churn, and excludes revenue from its incident response and proactive services. Dollar-based net retention rate as of period end is calculated by starting with the ARR from all subscription customers as of 12 months prior to such period end, or Prior Period ARR. CrowdStrike then calculates the ARR from these same subscription customers as of the current period end, or Current Period ARR. Current Period ARR includes any expansion and is net of contraction or churn over the trailing 12 months, but excludes revenue from new subscription customers in the current period. CrowdStrike then divides the Current Period ARR by the Prior Period ARR to arrive at its dollar-based net retention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Gross Retention Rate</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Dollar-based gross retention rate as of the period end is calculated by starting with the ARR from all subscription customers as of 12 months prior to such period, or Prior Period ARR. CrowdStrike then deducts from the Prior Period ARR any ARR from subscription customers who are no longer customers as of the current period end, or Current Period Remaining ARR. CrowdStrike then divides the total Current Period Remaining ARR by the total Prior Period ARR to arrive at its dollar-based gross retention rate, which is the percentage of ARR from all subscription customers as of the year prior that is not lost to customer churn.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Module Adoption Rates</w:t>
      </w:r>
    </w:p>
    <w:p>
      <w:pPr>
        <w:spacing w:after="0" w:line="23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Module adoption rates are calculated by taking the total number of customers with six or more, seven or more, and eight or more modules, respectively, divided by the total number of subscription customers (excluding Falcon Go customers). Falcon Go customers are defined as customers who have subscribed with the Falcon Go bundle, a package designed for organizations with 100 endpoints or less.</w:t>
      </w:r>
    </w:p>
    <w:sectPr>
      <w:pgSz w:w="11900" w:h="16838" w:orient="portrait"/>
      <w:cols w:equalWidth="0" w:num="1">
        <w:col w:w="11200"/>
      </w:cols>
      <w:pgMar w:left="320" w:top="1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6"/>
    </w:lvl>
  </w:abstractNum>
  <w:abstractNum w:abstractNumId="14">
    <w:nsid w:val="4E6AFB66"/>
    <w:multiLevelType w:val="hybridMultilevel"/>
    <w:lvl w:ilvl="0">
      <w:lvlJc w:val="left"/>
      <w:lvlText w:val="(%1)"/>
      <w:numFmt w:val="decimal"/>
      <w:start w:val="7"/>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9"/>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2026-06-03T15:11:16Z</dcterms:created>
  <dcterms:modified xsi:type="dcterms:W3CDTF">2026-06-03T15:11:16Z</dcterms:modified>
</cp:coreProperties>
</file>