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3"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80"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13"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October 31, 2020</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transition period from 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001-38933</w:t>
      </w:r>
    </w:p>
    <w:p>
      <w:pPr>
        <w:spacing w:after="0" w:line="2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CROWDSTRIKE HOLDINGS,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23" w:lineRule="exact"/>
        <w:rPr>
          <w:sz w:val="24"/>
          <w:szCs w:val="24"/>
          <w:color w:val="auto"/>
        </w:rPr>
      </w:pPr>
    </w:p>
    <w:tbl>
      <w:tblPr>
        <w:tblLayout w:type="fixed"/>
        <w:tblInd w:w="1060" w:type="dxa"/>
        <w:tblCellMar>
          <w:top w:w="0" w:type="dxa"/>
          <w:left w:w="0" w:type="dxa"/>
          <w:bottom w:w="0" w:type="dxa"/>
          <w:right w:w="0" w:type="dxa"/>
        </w:tblCellMar>
      </w:tblPr>
      <w:tr>
        <w:trPr>
          <w:trHeight w:val="210"/>
        </w:trPr>
        <w:tc>
          <w:tcPr>
            <w:tcW w:w="4680" w:type="dxa"/>
            <w:vAlign w:val="bottom"/>
          </w:tcPr>
          <w:p>
            <w:pPr>
              <w:jc w:val="center"/>
              <w:ind w:right="2659"/>
              <w:spacing w:after="0"/>
              <w:rPr>
                <w:sz w:val="20"/>
                <w:szCs w:val="20"/>
                <w:color w:val="auto"/>
              </w:rPr>
            </w:pPr>
            <w:r>
              <w:rPr>
                <w:rFonts w:ascii="Arial" w:cs="Arial" w:eastAsia="Arial" w:hAnsi="Arial"/>
                <w:sz w:val="16"/>
                <w:szCs w:val="16"/>
                <w:b w:val="1"/>
                <w:bCs w:val="1"/>
                <w:color w:val="auto"/>
                <w:w w:val="93"/>
              </w:rPr>
              <w:t>Delaware</w:t>
            </w:r>
          </w:p>
        </w:tc>
        <w:tc>
          <w:tcPr>
            <w:tcW w:w="4220" w:type="dxa"/>
            <w:vAlign w:val="bottom"/>
          </w:tcPr>
          <w:p>
            <w:pPr>
              <w:jc w:val="center"/>
              <w:ind w:left="2639"/>
              <w:spacing w:after="0"/>
              <w:rPr>
                <w:sz w:val="20"/>
                <w:szCs w:val="20"/>
                <w:color w:val="auto"/>
              </w:rPr>
            </w:pPr>
            <w:r>
              <w:rPr>
                <w:rFonts w:ascii="Arial" w:cs="Arial" w:eastAsia="Arial" w:hAnsi="Arial"/>
                <w:sz w:val="16"/>
                <w:szCs w:val="16"/>
                <w:b w:val="1"/>
                <w:bCs w:val="1"/>
                <w:color w:val="auto"/>
                <w:w w:val="91"/>
              </w:rPr>
              <w:t>45-3788918</w:t>
            </w:r>
          </w:p>
        </w:tc>
      </w:tr>
      <w:tr>
        <w:trPr>
          <w:trHeight w:val="172"/>
        </w:trPr>
        <w:tc>
          <w:tcPr>
            <w:tcW w:w="4680" w:type="dxa"/>
            <w:vAlign w:val="bottom"/>
          </w:tcPr>
          <w:p>
            <w:pPr>
              <w:jc w:val="center"/>
              <w:ind w:right="2719"/>
              <w:spacing w:after="0" w:line="171" w:lineRule="exact"/>
              <w:rPr>
                <w:sz w:val="20"/>
                <w:szCs w:val="20"/>
                <w:color w:val="auto"/>
              </w:rPr>
            </w:pPr>
            <w:r>
              <w:rPr>
                <w:rFonts w:ascii="Arial" w:cs="Arial" w:eastAsia="Arial" w:hAnsi="Arial"/>
                <w:sz w:val="16"/>
                <w:szCs w:val="16"/>
                <w:color w:val="auto"/>
                <w:w w:val="93"/>
              </w:rPr>
              <w:t>(State or other jurisdiction of</w:t>
            </w:r>
          </w:p>
        </w:tc>
        <w:tc>
          <w:tcPr>
            <w:tcW w:w="4220" w:type="dxa"/>
            <w:vAlign w:val="bottom"/>
          </w:tcPr>
          <w:p>
            <w:pPr>
              <w:jc w:val="center"/>
              <w:ind w:left="259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4680" w:type="dxa"/>
            <w:vAlign w:val="bottom"/>
          </w:tcPr>
          <w:p>
            <w:pPr>
              <w:jc w:val="center"/>
              <w:ind w:right="2659"/>
              <w:spacing w:after="0"/>
              <w:rPr>
                <w:sz w:val="20"/>
                <w:szCs w:val="20"/>
                <w:color w:val="auto"/>
              </w:rPr>
            </w:pPr>
            <w:r>
              <w:rPr>
                <w:rFonts w:ascii="Arial" w:cs="Arial" w:eastAsia="Arial" w:hAnsi="Arial"/>
                <w:sz w:val="16"/>
                <w:szCs w:val="16"/>
                <w:color w:val="auto"/>
                <w:w w:val="93"/>
              </w:rPr>
              <w:t>incorporation or organization)</w:t>
            </w:r>
          </w:p>
        </w:tc>
        <w:tc>
          <w:tcPr>
            <w:tcW w:w="4220" w:type="dxa"/>
            <w:vAlign w:val="bottom"/>
          </w:tcPr>
          <w:p>
            <w:pPr>
              <w:jc w:val="center"/>
              <w:ind w:left="2639"/>
              <w:spacing w:after="0"/>
              <w:rPr>
                <w:sz w:val="20"/>
                <w:szCs w:val="20"/>
                <w:color w:val="auto"/>
              </w:rPr>
            </w:pPr>
            <w:r>
              <w:rPr>
                <w:rFonts w:ascii="Arial" w:cs="Arial" w:eastAsia="Arial" w:hAnsi="Arial"/>
                <w:sz w:val="16"/>
                <w:szCs w:val="16"/>
                <w:color w:val="auto"/>
                <w:w w:val="95"/>
              </w:rPr>
              <w:t>Identification Number)</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150 Mathilda Place, Suite 300, Sunnyvale, California 94086</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Title of each class of securities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3"/>
              </w:rPr>
              <w:t>Trading symbol(s)</w:t>
            </w:r>
          </w:p>
        </w:tc>
        <w:tc>
          <w:tcPr>
            <w:tcW w:w="620" w:type="dxa"/>
            <w:vAlign w:val="bottom"/>
            <w:tcBorders>
              <w:top w:val="single" w:sz="8" w:color="auto"/>
            </w:tcBorders>
          </w:tcPr>
          <w:p>
            <w:pPr>
              <w:spacing w:after="0"/>
              <w:rPr>
                <w:sz w:val="16"/>
                <w:szCs w:val="16"/>
                <w:color w:val="auto"/>
              </w:rPr>
            </w:pPr>
          </w:p>
        </w:tc>
        <w:tc>
          <w:tcPr>
            <w:tcW w:w="3140" w:type="dxa"/>
            <w:vAlign w:val="bottom"/>
            <w:tcBorders>
              <w:top w:val="single" w:sz="8" w:color="auto"/>
              <w:right w:val="single" w:sz="8" w:color="auto"/>
            </w:tcBorders>
            <w:gridSpan w:val="4"/>
          </w:tcPr>
          <w:p>
            <w:pPr>
              <w:jc w:val="center"/>
              <w:ind w:right="680"/>
              <w:spacing w:after="0"/>
              <w:rPr>
                <w:sz w:val="20"/>
                <w:szCs w:val="20"/>
                <w:color w:val="auto"/>
              </w:rPr>
            </w:pPr>
            <w:r>
              <w:rPr>
                <w:rFonts w:ascii="Arial" w:cs="Arial" w:eastAsia="Arial" w:hAnsi="Arial"/>
                <w:sz w:val="16"/>
                <w:szCs w:val="16"/>
                <w:color w:val="auto"/>
                <w:w w:val="89"/>
              </w:rPr>
              <w:t>Name of each national exchange and</w:t>
            </w:r>
          </w:p>
        </w:tc>
      </w:tr>
      <w:tr>
        <w:trPr>
          <w:trHeight w:val="142"/>
        </w:trPr>
        <w:tc>
          <w:tcPr>
            <w:tcW w:w="880" w:type="dxa"/>
            <w:vAlign w:val="bottom"/>
            <w:tcBorders>
              <w:left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6"/>
                <w:szCs w:val="16"/>
                <w:color w:val="auto"/>
                <w:w w:val="89"/>
              </w:rPr>
              <w:t>principal U.S. market for the securities</w:t>
            </w:r>
          </w:p>
        </w:tc>
        <w:tc>
          <w:tcPr>
            <w:tcW w:w="40" w:type="dxa"/>
            <w:vAlign w:val="bottom"/>
            <w:tcBorders>
              <w:bottom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r>
      <w:tr>
        <w:trPr>
          <w:trHeight w:val="20"/>
        </w:trPr>
        <w:tc>
          <w:tcPr>
            <w:tcW w:w="880" w:type="dxa"/>
            <w:vAlign w:val="bottom"/>
            <w:tcBorders>
              <w:left w:val="single" w:sz="8" w:color="auto"/>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Class A common stock, par value $0.0005 per share</w:t>
            </w:r>
          </w:p>
        </w:tc>
        <w:tc>
          <w:tcPr>
            <w:tcW w:w="1260" w:type="dxa"/>
            <w:vAlign w:val="bottom"/>
          </w:tcPr>
          <w:p>
            <w:pPr>
              <w:spacing w:after="0"/>
              <w:rPr>
                <w:sz w:val="17"/>
                <w:szCs w:val="17"/>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Arial" w:cs="Arial" w:eastAsia="Arial" w:hAnsi="Arial"/>
                <w:sz w:val="16"/>
                <w:szCs w:val="16"/>
                <w:color w:val="auto"/>
                <w:w w:val="96"/>
              </w:rPr>
              <w:t>CRWD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6"/>
                <w:szCs w:val="16"/>
                <w:color w:val="auto"/>
                <w:w w:val="94"/>
              </w:rPr>
              <w:t>The Nasdaq Stock Market LLC</w:t>
            </w:r>
          </w:p>
        </w:tc>
      </w:tr>
      <w:tr>
        <w:trPr>
          <w:trHeight w:val="243"/>
        </w:trPr>
        <w:tc>
          <w:tcPr>
            <w:tcW w:w="880" w:type="dxa"/>
            <w:vAlign w:val="bottom"/>
            <w:tcBorders>
              <w:left w:val="single" w:sz="8" w:color="auto"/>
            </w:tcBorders>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6"/>
                <w:szCs w:val="16"/>
                <w:color w:val="auto"/>
                <w:w w:val="92"/>
              </w:rPr>
              <w:t>(Nasdaq Global Select Market)</w:t>
            </w:r>
          </w:p>
        </w:tc>
      </w:tr>
      <w:tr>
        <w:trPr>
          <w:trHeight w:val="46"/>
        </w:trPr>
        <w:tc>
          <w:tcPr>
            <w:tcW w:w="880" w:type="dxa"/>
            <w:vAlign w:val="bottom"/>
            <w:tcBorders>
              <w:left w:val="single" w:sz="8" w:color="auto"/>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r>
    </w:tbl>
    <w:p>
      <w:pPr>
        <w:spacing w:after="0" w:line="337" w:lineRule="exact"/>
        <w:rPr>
          <w:sz w:val="24"/>
          <w:szCs w:val="24"/>
          <w:color w:val="auto"/>
        </w:rPr>
      </w:pPr>
    </w:p>
    <w:p>
      <w:pPr>
        <w:ind w:left="29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(888) 512-8906</w:t>
      </w:r>
    </w:p>
    <w:p>
      <w:pPr>
        <w:spacing w:after="0" w:line="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41" w:lineRule="exact"/>
        <w:rPr>
          <w:sz w:val="24"/>
          <w:szCs w:val="24"/>
          <w:color w:val="auto"/>
        </w:rPr>
      </w:pPr>
    </w:p>
    <w:p>
      <w:pPr>
        <w:jc w:val="both"/>
        <w:ind w:right="300" w:firstLine="648"/>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80" w:firstLine="648"/>
        <w:spacing w:after="0" w:line="21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right="120" w:firstLine="648"/>
        <w:spacing w:after="0" w:line="263" w:lineRule="auto"/>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7"/>
          <w:szCs w:val="17"/>
          <w:color w:val="auto"/>
        </w:rPr>
        <w:t>“</w:t>
      </w:r>
      <w:r>
        <w:rPr>
          <w:rFonts w:ascii="Arial" w:cs="Arial" w:eastAsia="Arial" w:hAnsi="Arial"/>
          <w:sz w:val="16"/>
          <w:szCs w:val="16"/>
          <w:color w:val="auto"/>
        </w:rPr>
        <w:t>large accelerated filer,</w:t>
      </w:r>
      <w:r>
        <w:rPr>
          <w:rFonts w:ascii="Arial" w:cs="Arial" w:eastAsia="Arial" w:hAnsi="Arial"/>
          <w:sz w:val="17"/>
          <w:szCs w:val="17"/>
          <w:color w:val="auto"/>
        </w:rPr>
        <w:t>” “</w:t>
      </w:r>
      <w:r>
        <w:rPr>
          <w:rFonts w:ascii="Arial" w:cs="Arial" w:eastAsia="Arial" w:hAnsi="Arial"/>
          <w:sz w:val="16"/>
          <w:szCs w:val="16"/>
          <w:color w:val="auto"/>
        </w:rPr>
        <w:t>accelerated filer,</w:t>
      </w:r>
      <w:r>
        <w:rPr>
          <w:rFonts w:ascii="Arial" w:cs="Arial" w:eastAsia="Arial" w:hAnsi="Arial"/>
          <w:sz w:val="17"/>
          <w:szCs w:val="17"/>
          <w:color w:val="auto"/>
        </w:rPr>
        <w:t>” “</w:t>
      </w:r>
      <w:r>
        <w:rPr>
          <w:rFonts w:ascii="Arial" w:cs="Arial" w:eastAsia="Arial" w:hAnsi="Arial"/>
          <w:sz w:val="16"/>
          <w:szCs w:val="16"/>
          <w:color w:val="auto"/>
        </w:rPr>
        <w:t>smaller reporting company</w:t>
      </w:r>
      <w:r>
        <w:rPr>
          <w:rFonts w:ascii="Arial" w:cs="Arial" w:eastAsia="Arial" w:hAnsi="Arial"/>
          <w:sz w:val="17"/>
          <w:szCs w:val="17"/>
          <w:color w:val="auto"/>
        </w:rPr>
        <w:t>”</w:t>
      </w:r>
      <w:r>
        <w:rPr>
          <w:rFonts w:ascii="Arial" w:cs="Arial" w:eastAsia="Arial" w:hAnsi="Arial"/>
          <w:sz w:val="16"/>
          <w:szCs w:val="16"/>
          <w:color w:val="auto"/>
        </w:rPr>
        <w:t xml:space="preserve"> and </w:t>
      </w:r>
      <w:r>
        <w:rPr>
          <w:rFonts w:ascii="Arial" w:cs="Arial" w:eastAsia="Arial" w:hAnsi="Arial"/>
          <w:sz w:val="17"/>
          <w:szCs w:val="17"/>
          <w:color w:val="auto"/>
        </w:rPr>
        <w:t>“</w:t>
      </w:r>
      <w:r>
        <w:rPr>
          <w:rFonts w:ascii="Arial" w:cs="Arial" w:eastAsia="Arial" w:hAnsi="Arial"/>
          <w:sz w:val="16"/>
          <w:szCs w:val="16"/>
          <w:color w:val="auto"/>
        </w:rPr>
        <w:t>emerging growth company</w:t>
      </w:r>
      <w:r>
        <w:rPr>
          <w:rFonts w:ascii="Arial" w:cs="Arial" w:eastAsia="Arial" w:hAnsi="Arial"/>
          <w:sz w:val="17"/>
          <w:szCs w:val="17"/>
          <w:color w:val="auto"/>
        </w:rPr>
        <w:t>”</w:t>
      </w:r>
      <w:r>
        <w:rPr>
          <w:rFonts w:ascii="Arial" w:cs="Arial" w:eastAsia="Arial" w:hAnsi="Arial"/>
          <w:sz w:val="16"/>
          <w:szCs w:val="16"/>
          <w:color w:val="auto"/>
        </w:rPr>
        <w:t xml:space="preserve"> in Rule 12b-2 of the Exchange Act.</w:t>
      </w:r>
    </w:p>
    <w:p>
      <w:pPr>
        <w:spacing w:after="0" w:line="48" w:lineRule="exact"/>
        <w:rPr>
          <w:sz w:val="24"/>
          <w:szCs w:val="24"/>
          <w:color w:val="auto"/>
        </w:rPr>
      </w:pPr>
    </w:p>
    <w:tbl>
      <w:tblPr>
        <w:tblLayout w:type="fixed"/>
        <w:tblInd w:w="1140" w:type="dxa"/>
        <w:tblCellMar>
          <w:top w:w="0" w:type="dxa"/>
          <w:left w:w="0" w:type="dxa"/>
          <w:bottom w:w="0" w:type="dxa"/>
          <w:right w:w="0" w:type="dxa"/>
        </w:tblCellMar>
      </w:tblPr>
      <w:tr>
        <w:trPr>
          <w:trHeight w:val="243"/>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1"/>
              </w:rPr>
              <w:t>Large Accelerated Filer</w:t>
            </w:r>
          </w:p>
        </w:tc>
        <w:tc>
          <w:tcPr>
            <w:tcW w:w="16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1"/>
              </w:rPr>
              <w:t>Non-accelerated Filer</w:t>
            </w:r>
          </w:p>
        </w:tc>
        <w:tc>
          <w:tcPr>
            <w:tcW w:w="16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2"/>
              </w:rPr>
              <w:t>(Do not check if a smaller reporting company)</w:t>
            </w:r>
          </w:p>
        </w:tc>
        <w:tc>
          <w:tcPr>
            <w:tcW w:w="16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1" w:lineRule="exact"/>
        <w:rPr>
          <w:sz w:val="24"/>
          <w:szCs w:val="24"/>
          <w:color w:val="auto"/>
        </w:rPr>
      </w:pPr>
    </w:p>
    <w:p>
      <w:pPr>
        <w:ind w:right="460" w:firstLine="648"/>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660"/>
        <w:spacing w:after="0" w:line="189" w:lineRule="exact"/>
        <w:tabs>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No</w:t>
      </w:r>
      <w:r>
        <w:rPr>
          <w:rFonts w:ascii="MS PGothic" w:cs="MS PGothic" w:eastAsia="MS PGothic" w:hAnsi="MS PGothic"/>
          <w:sz w:val="18"/>
          <w:szCs w:val="18"/>
          <w:color w:val="auto"/>
        </w:rPr>
        <w:t xml:space="preserve">  ☑</w:t>
      </w:r>
    </w:p>
    <w:p>
      <w:pPr>
        <w:spacing w:after="0" w:line="146" w:lineRule="exact"/>
        <w:rPr>
          <w:sz w:val="24"/>
          <w:szCs w:val="24"/>
          <w:color w:val="auto"/>
        </w:rPr>
      </w:pPr>
    </w:p>
    <w:p>
      <w:pPr>
        <w:ind w:right="720" w:firstLine="648"/>
        <w:spacing w:after="0" w:line="275" w:lineRule="auto"/>
        <w:rPr>
          <w:sz w:val="20"/>
          <w:szCs w:val="20"/>
          <w:color w:val="auto"/>
        </w:rPr>
      </w:pPr>
      <w:r>
        <w:rPr>
          <w:rFonts w:ascii="Arial" w:cs="Arial" w:eastAsia="Arial" w:hAnsi="Arial"/>
          <w:sz w:val="16"/>
          <w:szCs w:val="16"/>
          <w:color w:val="auto"/>
        </w:rPr>
        <w:t>As of November 30, 2020, the number of shares of the registrant’s Class A common stock outstanding was 188,279,983, and the number of shares of the registrant’s Class B common stock outstanding was 32,983,756.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852805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9320" w:type="dxa"/>
            <w:vAlign w:val="bottom"/>
            <w:gridSpan w:val="1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gridSpan w:val="7"/>
          </w:tcPr>
          <w:p>
            <w:pPr>
              <w:jc w:val="center"/>
              <w:ind w:right="980"/>
              <w:spacing w:after="0"/>
              <w:rPr>
                <w:sz w:val="20"/>
                <w:szCs w:val="20"/>
                <w:color w:val="auto"/>
              </w:rPr>
            </w:pPr>
            <w:r>
              <w:rPr>
                <w:rFonts w:ascii="Arial" w:cs="Arial" w:eastAsia="Arial" w:hAnsi="Arial"/>
                <w:sz w:val="18"/>
                <w:szCs w:val="18"/>
                <w:b w:val="1"/>
                <w:bCs w:val="1"/>
                <w:color w:val="auto"/>
              </w:rPr>
              <w:t>CROWDSTRIKE HOLDINGS, INC.</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gridSpan w:val="7"/>
          </w:tcPr>
          <w:p>
            <w:pPr>
              <w:jc w:val="center"/>
              <w:ind w:right="98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ind w:left="500"/>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740" w:type="dxa"/>
            <w:vAlign w:val="bottom"/>
            <w:gridSpan w:val="7"/>
          </w:tcPr>
          <w:p>
            <w:pPr>
              <w:jc w:val="center"/>
              <w:ind w:right="1000"/>
              <w:spacing w:after="0"/>
              <w:rPr>
                <w:rFonts w:ascii="Arial" w:cs="Arial" w:eastAsia="Arial" w:hAnsi="Arial"/>
                <w:sz w:val="18"/>
                <w:szCs w:val="18"/>
                <w:u w:val="single" w:color="auto"/>
                <w:color w:val="0000FF"/>
                <w:w w:val="98"/>
              </w:rPr>
            </w:pPr>
            <w:hyperlink w:anchor="page5">
              <w:r>
                <w:rPr>
                  <w:rFonts w:ascii="Arial" w:cs="Arial" w:eastAsia="Arial" w:hAnsi="Arial"/>
                  <w:sz w:val="18"/>
                  <w:szCs w:val="18"/>
                  <w:u w:val="single" w:color="auto"/>
                  <w:color w:val="0000FF"/>
                  <w:w w:val="98"/>
                </w:rPr>
                <w:t>PART I. FINANCIAL INFORMATION</w:t>
              </w:r>
            </w:hyperlink>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gridSpan w:val="2"/>
          </w:tcPr>
          <w:p>
            <w:pPr>
              <w:spacing w:after="0"/>
              <w:rPr>
                <w:sz w:val="23"/>
                <w:szCs w:val="23"/>
                <w:color w:val="auto"/>
              </w:rPr>
            </w:pPr>
          </w:p>
        </w:tc>
        <w:tc>
          <w:tcPr>
            <w:tcW w:w="3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w:t>
              </w:r>
            </w:hyperlink>
          </w:p>
        </w:tc>
        <w:tc>
          <w:tcPr>
            <w:tcW w:w="9000" w:type="dxa"/>
            <w:vAlign w:val="bottom"/>
            <w:gridSpan w:val="10"/>
            <w:shd w:val="clear" w:color="auto" w:fill="CCEEFF"/>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Financial Statements (unaudited)</w:t>
              </w:r>
            </w:hyperlink>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0" w:type="dxa"/>
            <w:vAlign w:val="bottom"/>
            <w:gridSpan w:val="10"/>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 Consolidated Balance Sheets as of October 31, 2020 and January 31,</w:t>
              </w:r>
              <w:r>
                <w:rPr>
                  <w:rFonts w:ascii="Arial" w:cs="Arial" w:eastAsia="Arial" w:hAnsi="Arial"/>
                  <w:sz w:val="18"/>
                  <w:szCs w:val="18"/>
                  <w:color w:val="0000FF"/>
                </w:rPr>
                <w:t xml:space="preserve"> 20</w:t>
              </w:r>
            </w:hyperlink>
            <w:r>
              <w:rPr>
                <w:rFonts w:ascii="Arial" w:cs="Arial" w:eastAsia="Arial" w:hAnsi="Arial"/>
                <w:sz w:val="18"/>
                <w:szCs w:val="18"/>
                <w:color w:val="0000FF"/>
              </w:rPr>
              <w:t>20</w:t>
            </w:r>
          </w:p>
        </w:tc>
        <w:tc>
          <w:tcPr>
            <w:tcW w:w="1260" w:type="dxa"/>
            <w:vAlign w:val="bottom"/>
          </w:tcPr>
          <w:p>
            <w:pPr>
              <w:jc w:val="center"/>
              <w:ind w:left="191"/>
              <w:spacing w:after="0" w:line="189"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0" w:type="dxa"/>
            <w:vAlign w:val="bottom"/>
            <w:gridSpan w:val="10"/>
            <w:shd w:val="clear" w:color="auto" w:fill="CCEEFF"/>
          </w:tcPr>
          <w:p>
            <w:pPr>
              <w:spacing w:after="0" w:line="189"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Operations for the Three and Nine Months Ended October 31, 2020 and October 31,</w:t>
              </w:r>
            </w:hyperlink>
          </w:p>
        </w:tc>
        <w:tc>
          <w:tcPr>
            <w:tcW w:w="1260" w:type="dxa"/>
            <w:vAlign w:val="bottom"/>
            <w:vMerge w:val="restart"/>
            <w:shd w:val="clear" w:color="auto" w:fill="CCEEFF"/>
          </w:tcPr>
          <w:p>
            <w:pPr>
              <w:jc w:val="center"/>
              <w:ind w:left="191"/>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7</w:t>
              </w:r>
            </w:hyperlink>
          </w:p>
        </w:tc>
        <w:tc>
          <w:tcPr>
            <w:tcW w:w="0" w:type="dxa"/>
            <w:vAlign w:val="bottom"/>
          </w:tcPr>
          <w:p>
            <w:pPr>
              <w:spacing w:after="0"/>
              <w:rPr>
                <w:sz w:val="1"/>
                <w:szCs w:val="1"/>
                <w:color w:val="auto"/>
              </w:rPr>
            </w:pPr>
          </w:p>
        </w:tc>
      </w:tr>
      <w:tr>
        <w:trPr>
          <w:trHeight w:val="156"/>
        </w:trPr>
        <w:tc>
          <w:tcPr>
            <w:tcW w:w="6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2019</w:t>
              </w:r>
            </w:hyperlink>
          </w:p>
        </w:tc>
        <w:tc>
          <w:tcPr>
            <w:tcW w:w="300" w:type="dxa"/>
            <w:vAlign w:val="bottom"/>
            <w:tcBorders>
              <w:top w:val="single" w:sz="8" w:color="0000FF"/>
            </w:tcBorders>
            <w:shd w:val="clear" w:color="auto" w:fill="CCEEFF"/>
          </w:tcPr>
          <w:p>
            <w:pPr>
              <w:spacing w:after="0"/>
              <w:rPr>
                <w:sz w:val="13"/>
                <w:szCs w:val="13"/>
                <w:color w:val="auto"/>
              </w:rPr>
            </w:pPr>
          </w:p>
        </w:tc>
        <w:tc>
          <w:tcPr>
            <w:tcW w:w="3860" w:type="dxa"/>
            <w:vAlign w:val="bottom"/>
            <w:tcBorders>
              <w:top w:val="single" w:sz="8" w:color="0000FF"/>
            </w:tcBorders>
            <w:shd w:val="clear" w:color="auto" w:fill="CCEEFF"/>
          </w:tcPr>
          <w:p>
            <w:pPr>
              <w:spacing w:after="0"/>
              <w:rPr>
                <w:sz w:val="13"/>
                <w:szCs w:val="13"/>
                <w:color w:val="auto"/>
              </w:rPr>
            </w:pPr>
          </w:p>
        </w:tc>
        <w:tc>
          <w:tcPr>
            <w:tcW w:w="9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56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0" w:type="dxa"/>
            <w:vAlign w:val="bottom"/>
            <w:gridSpan w:val="10"/>
          </w:tcPr>
          <w:p>
            <w:pPr>
              <w:spacing w:after="0" w:line="189" w:lineRule="exact"/>
              <w:rPr>
                <w:rFonts w:ascii="Arial" w:cs="Arial" w:eastAsia="Arial" w:hAnsi="Arial"/>
                <w:sz w:val="18"/>
                <w:szCs w:val="18"/>
                <w:color w:val="0000FF"/>
                <w:w w:val="91"/>
              </w:rPr>
            </w:pPr>
            <w:hyperlink w:anchor="page7">
              <w:r>
                <w:rPr>
                  <w:rFonts w:ascii="Arial" w:cs="Arial" w:eastAsia="Arial" w:hAnsi="Arial"/>
                  <w:sz w:val="18"/>
                  <w:szCs w:val="18"/>
                  <w:color w:val="0000FF"/>
                  <w:w w:val="91"/>
                </w:rPr>
                <w:t>Condensed Consolidated Statements of Comprehensive Loss for the Three and Nine Months Ended October 31, 2020 and</w:t>
              </w:r>
            </w:hyperlink>
          </w:p>
        </w:tc>
        <w:tc>
          <w:tcPr>
            <w:tcW w:w="1260" w:type="dxa"/>
            <w:vAlign w:val="bottom"/>
            <w:vMerge w:val="restart"/>
          </w:tcPr>
          <w:p>
            <w:pPr>
              <w:jc w:val="center"/>
              <w:ind w:left="191"/>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October 31, 2019</w:t>
              </w:r>
            </w:hyperlink>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0" w:type="dxa"/>
            <w:vAlign w:val="bottom"/>
            <w:gridSpan w:val="10"/>
            <w:shd w:val="clear" w:color="auto" w:fill="CCEEFF"/>
          </w:tcPr>
          <w:p>
            <w:pPr>
              <w:spacing w:after="0" w:line="189" w:lineRule="exact"/>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Consolidated Statements of Redeemable Convertible Preferred Stock and Stockholders’ Equity (Deficit) for the</w:t>
              </w:r>
            </w:hyperlink>
          </w:p>
        </w:tc>
        <w:tc>
          <w:tcPr>
            <w:tcW w:w="1260" w:type="dxa"/>
            <w:vAlign w:val="bottom"/>
            <w:vMerge w:val="restart"/>
            <w:shd w:val="clear" w:color="auto" w:fill="CCEEFF"/>
          </w:tcPr>
          <w:p>
            <w:pPr>
              <w:jc w:val="center"/>
              <w:ind w:left="191"/>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9</w:t>
              </w:r>
            </w:hyperlink>
          </w:p>
        </w:tc>
        <w:tc>
          <w:tcPr>
            <w:tcW w:w="0" w:type="dxa"/>
            <w:vAlign w:val="bottom"/>
          </w:tcPr>
          <w:p>
            <w:pPr>
              <w:spacing w:after="0"/>
              <w:rPr>
                <w:sz w:val="1"/>
                <w:szCs w:val="1"/>
                <w:color w:val="auto"/>
              </w:rPr>
            </w:pPr>
          </w:p>
        </w:tc>
      </w:tr>
      <w:tr>
        <w:trPr>
          <w:trHeight w:val="155"/>
        </w:trPr>
        <w:tc>
          <w:tcPr>
            <w:tcW w:w="6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880" w:type="dxa"/>
            <w:vAlign w:val="bottom"/>
            <w:tcBorders>
              <w:top w:val="single" w:sz="8" w:color="0000FF"/>
            </w:tcBorders>
            <w:gridSpan w:val="8"/>
            <w:shd w:val="clear" w:color="auto" w:fill="CCEEFF"/>
          </w:tcPr>
          <w:p>
            <w:pPr>
              <w:spacing w:after="0" w:line="142" w:lineRule="exact"/>
              <w:rPr>
                <w:rFonts w:ascii="Arial" w:cs="Arial" w:eastAsia="Arial" w:hAnsi="Arial"/>
                <w:sz w:val="16"/>
                <w:szCs w:val="16"/>
                <w:color w:val="0000FF"/>
              </w:rPr>
            </w:pPr>
            <w:hyperlink w:anchor="page8">
              <w:r>
                <w:rPr>
                  <w:rFonts w:ascii="Arial" w:cs="Arial" w:eastAsia="Arial" w:hAnsi="Arial"/>
                  <w:sz w:val="16"/>
                  <w:szCs w:val="16"/>
                  <w:color w:val="0000FF"/>
                </w:rPr>
                <w:t>Three and Nine Months Ended October 31, 2020 and October 31, 2019</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12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86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0" w:type="dxa"/>
            <w:vAlign w:val="bottom"/>
            <w:tcBorders>
              <w:bottom w:val="single" w:sz="8" w:color="0000FF"/>
            </w:tcBorders>
            <w:gridSpan w:val="10"/>
          </w:tcPr>
          <w:p>
            <w:pPr>
              <w:spacing w:after="0" w:line="189" w:lineRule="exact"/>
              <w:rPr>
                <w:rFonts w:ascii="Arial" w:cs="Arial" w:eastAsia="Arial" w:hAnsi="Arial"/>
                <w:sz w:val="18"/>
                <w:szCs w:val="18"/>
                <w:color w:val="0000FF"/>
                <w:w w:val="89"/>
              </w:rPr>
            </w:pPr>
            <w:hyperlink w:anchor="page10">
              <w:r>
                <w:rPr>
                  <w:rFonts w:ascii="Arial" w:cs="Arial" w:eastAsia="Arial" w:hAnsi="Arial"/>
                  <w:sz w:val="18"/>
                  <w:szCs w:val="18"/>
                  <w:color w:val="0000FF"/>
                  <w:w w:val="89"/>
                </w:rPr>
                <w:t>Condensed Consolidated Statements of Cash Flows for the Three and Nine Months Ended October 31, 2020 and October 31,</w:t>
              </w:r>
            </w:hyperlink>
          </w:p>
        </w:tc>
        <w:tc>
          <w:tcPr>
            <w:tcW w:w="1260" w:type="dxa"/>
            <w:vAlign w:val="bottom"/>
            <w:vMerge w:val="restart"/>
          </w:tcPr>
          <w:p>
            <w:pPr>
              <w:jc w:val="center"/>
              <w:ind w:left="191"/>
              <w:spacing w:after="0"/>
              <w:rPr>
                <w:rFonts w:ascii="Arial" w:cs="Arial" w:eastAsia="Arial" w:hAnsi="Arial"/>
                <w:sz w:val="18"/>
                <w:szCs w:val="18"/>
                <w:color w:val="auto"/>
                <w:w w:val="89"/>
              </w:rPr>
            </w:pPr>
            <w:hyperlink w:anchor="page10">
              <w:r>
                <w:rPr>
                  <w:rFonts w:ascii="Arial" w:cs="Arial" w:eastAsia="Arial" w:hAnsi="Arial"/>
                  <w:sz w:val="18"/>
                  <w:szCs w:val="18"/>
                  <w:color w:val="auto"/>
                  <w:w w:val="89"/>
                </w:rPr>
                <w:t>11</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2"/>
          </w:tcPr>
          <w:p>
            <w:pPr>
              <w:spacing w:after="0" w:line="156" w:lineRule="exact"/>
              <w:rPr>
                <w:rFonts w:ascii="Arial" w:cs="Arial" w:eastAsia="Arial" w:hAnsi="Arial"/>
                <w:sz w:val="18"/>
                <w:szCs w:val="18"/>
                <w:color w:val="0000FF"/>
              </w:rPr>
            </w:pPr>
            <w:hyperlink w:anchor="page10">
              <w:r>
                <w:rPr>
                  <w:rFonts w:ascii="Arial" w:cs="Arial" w:eastAsia="Arial" w:hAnsi="Arial"/>
                  <w:sz w:val="18"/>
                  <w:szCs w:val="18"/>
                  <w:color w:val="0000FF"/>
                </w:rPr>
                <w:t>2019</w:t>
              </w:r>
            </w:hyperlink>
          </w:p>
        </w:tc>
        <w:tc>
          <w:tcPr>
            <w:tcW w:w="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0" w:type="dxa"/>
            <w:vAlign w:val="bottom"/>
            <w:gridSpan w:val="10"/>
            <w:shd w:val="clear" w:color="auto" w:fill="CCEEFF"/>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Condensed Consolidated Financial Statements</w:t>
              </w:r>
            </w:hyperlink>
          </w:p>
        </w:tc>
        <w:tc>
          <w:tcPr>
            <w:tcW w:w="1260" w:type="dxa"/>
            <w:vAlign w:val="bottom"/>
            <w:shd w:val="clear" w:color="auto" w:fill="CCEEFF"/>
          </w:tcPr>
          <w:p>
            <w:pPr>
              <w:jc w:val="center"/>
              <w:ind w:left="191"/>
              <w:spacing w:after="0"/>
              <w:rPr>
                <w:rFonts w:ascii="Arial" w:cs="Arial" w:eastAsia="Arial" w:hAnsi="Arial"/>
                <w:sz w:val="18"/>
                <w:szCs w:val="18"/>
                <w:color w:val="auto"/>
                <w:w w:val="89"/>
              </w:rPr>
            </w:pPr>
            <w:hyperlink w:anchor="page11">
              <w:r>
                <w:rPr>
                  <w:rFonts w:ascii="Arial" w:cs="Arial" w:eastAsia="Arial" w:hAnsi="Arial"/>
                  <w:sz w:val="18"/>
                  <w:szCs w:val="18"/>
                  <w:color w:val="auto"/>
                  <w:w w:val="89"/>
                </w:rPr>
                <w:t>12</w:t>
              </w:r>
            </w:hyperlink>
          </w:p>
        </w:tc>
        <w:tc>
          <w:tcPr>
            <w:tcW w:w="0" w:type="dxa"/>
            <w:vAlign w:val="bottom"/>
          </w:tcPr>
          <w:p>
            <w:pPr>
              <w:spacing w:after="0"/>
              <w:rPr>
                <w:sz w:val="1"/>
                <w:szCs w:val="1"/>
                <w:color w:val="auto"/>
              </w:rPr>
            </w:pPr>
          </w:p>
        </w:tc>
      </w:tr>
      <w:tr>
        <w:trPr>
          <w:trHeight w:val="237"/>
        </w:trPr>
        <w:tc>
          <w:tcPr>
            <w:tcW w:w="980" w:type="dxa"/>
            <w:vAlign w:val="bottom"/>
            <w:gridSpan w:val="2"/>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2.</w:t>
              </w:r>
            </w:hyperlink>
          </w:p>
        </w:tc>
        <w:tc>
          <w:tcPr>
            <w:tcW w:w="9000" w:type="dxa"/>
            <w:vAlign w:val="bottom"/>
            <w:gridSpan w:val="10"/>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Financial Condition and Results of Operations</w:t>
              </w:r>
            </w:hyperlink>
          </w:p>
        </w:tc>
        <w:tc>
          <w:tcPr>
            <w:tcW w:w="1260" w:type="dxa"/>
            <w:vAlign w:val="bottom"/>
          </w:tcPr>
          <w:p>
            <w:pPr>
              <w:jc w:val="center"/>
              <w:ind w:left="191"/>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49"/>
        </w:trPr>
        <w:tc>
          <w:tcPr>
            <w:tcW w:w="98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3.</w:t>
              </w:r>
            </w:hyperlink>
          </w:p>
        </w:tc>
        <w:tc>
          <w:tcPr>
            <w:tcW w:w="9000" w:type="dxa"/>
            <w:vAlign w:val="bottom"/>
            <w:gridSpan w:val="10"/>
            <w:shd w:val="clear" w:color="auto" w:fill="CCEEFF"/>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Quantitative and Qualitative Disclosures about Market Risk</w:t>
              </w:r>
            </w:hyperlink>
          </w:p>
        </w:tc>
        <w:tc>
          <w:tcPr>
            <w:tcW w:w="1260" w:type="dxa"/>
            <w:vAlign w:val="bottom"/>
            <w:shd w:val="clear" w:color="auto" w:fill="CCEEFF"/>
          </w:tcPr>
          <w:p>
            <w:pPr>
              <w:jc w:val="center"/>
              <w:ind w:left="191"/>
              <w:spacing w:after="0"/>
              <w:rPr>
                <w:rFonts w:ascii="Arial" w:cs="Arial" w:eastAsia="Arial" w:hAnsi="Arial"/>
                <w:sz w:val="18"/>
                <w:szCs w:val="18"/>
                <w:color w:val="auto"/>
                <w:w w:val="89"/>
              </w:rPr>
            </w:pPr>
            <w:hyperlink w:anchor="page57">
              <w:r>
                <w:rPr>
                  <w:rFonts w:ascii="Arial" w:cs="Arial" w:eastAsia="Arial" w:hAnsi="Arial"/>
                  <w:sz w:val="18"/>
                  <w:szCs w:val="18"/>
                  <w:color w:val="auto"/>
                  <w:w w:val="89"/>
                </w:rPr>
                <w:t>58</w:t>
              </w:r>
            </w:hyperlink>
          </w:p>
        </w:tc>
        <w:tc>
          <w:tcPr>
            <w:tcW w:w="0" w:type="dxa"/>
            <w:vAlign w:val="bottom"/>
          </w:tcPr>
          <w:p>
            <w:pPr>
              <w:spacing w:after="0"/>
              <w:rPr>
                <w:sz w:val="1"/>
                <w:szCs w:val="1"/>
                <w:color w:val="auto"/>
              </w:rPr>
            </w:pPr>
          </w:p>
        </w:tc>
      </w:tr>
      <w:tr>
        <w:trPr>
          <w:trHeight w:val="237"/>
        </w:trPr>
        <w:tc>
          <w:tcPr>
            <w:tcW w:w="980" w:type="dxa"/>
            <w:vAlign w:val="bottom"/>
            <w:gridSpan w:val="2"/>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4.</w:t>
              </w:r>
            </w:hyperlink>
          </w:p>
        </w:tc>
        <w:tc>
          <w:tcPr>
            <w:tcW w:w="9000" w:type="dxa"/>
            <w:vAlign w:val="bottom"/>
            <w:gridSpan w:val="10"/>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Controls and Procedures</w:t>
              </w:r>
            </w:hyperlink>
          </w:p>
        </w:tc>
        <w:tc>
          <w:tcPr>
            <w:tcW w:w="1260" w:type="dxa"/>
            <w:vAlign w:val="bottom"/>
          </w:tcPr>
          <w:p>
            <w:pPr>
              <w:jc w:val="center"/>
              <w:ind w:left="191"/>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58</w:t>
              </w:r>
            </w:hyperlink>
          </w:p>
        </w:tc>
        <w:tc>
          <w:tcPr>
            <w:tcW w:w="0" w:type="dxa"/>
            <w:vAlign w:val="bottom"/>
          </w:tcPr>
          <w:p>
            <w:pPr>
              <w:spacing w:after="0"/>
              <w:rPr>
                <w:sz w:val="1"/>
                <w:szCs w:val="1"/>
                <w:color w:val="auto"/>
              </w:rPr>
            </w:pPr>
          </w:p>
        </w:tc>
      </w:tr>
      <w:tr>
        <w:trPr>
          <w:trHeight w:val="263"/>
        </w:trPr>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gridSpan w:val="7"/>
          </w:tcPr>
          <w:p>
            <w:pPr>
              <w:jc w:val="center"/>
              <w:ind w:right="1000"/>
              <w:spacing w:after="0"/>
              <w:rPr>
                <w:rFonts w:ascii="Arial" w:cs="Arial" w:eastAsia="Arial" w:hAnsi="Arial"/>
                <w:sz w:val="18"/>
                <w:szCs w:val="18"/>
                <w:u w:val="single" w:color="auto"/>
                <w:color w:val="0000FF"/>
                <w:w w:val="96"/>
              </w:rPr>
            </w:pPr>
            <w:hyperlink w:anchor="page59">
              <w:r>
                <w:rPr>
                  <w:rFonts w:ascii="Arial" w:cs="Arial" w:eastAsia="Arial" w:hAnsi="Arial"/>
                  <w:sz w:val="18"/>
                  <w:szCs w:val="18"/>
                  <w:u w:val="single" w:color="auto"/>
                  <w:color w:val="0000FF"/>
                  <w:w w:val="96"/>
                </w:rPr>
                <w:t>PART II. OTHER INFORMATION</w:t>
              </w:r>
            </w:hyperlink>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980" w:type="dxa"/>
            <w:vAlign w:val="bottom"/>
            <w:gridSpan w:val="2"/>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80" w:type="dxa"/>
            <w:vAlign w:val="bottom"/>
            <w:gridSpan w:val="2"/>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1.</w:t>
              </w:r>
            </w:hyperlink>
          </w:p>
        </w:tc>
        <w:tc>
          <w:tcPr>
            <w:tcW w:w="9000" w:type="dxa"/>
            <w:vAlign w:val="bottom"/>
            <w:gridSpan w:val="10"/>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Legal Proceedings</w:t>
              </w:r>
            </w:hyperlink>
          </w:p>
        </w:tc>
        <w:tc>
          <w:tcPr>
            <w:tcW w:w="1260" w:type="dxa"/>
            <w:vAlign w:val="bottom"/>
          </w:tcPr>
          <w:p>
            <w:pPr>
              <w:jc w:val="center"/>
              <w:ind w:left="191"/>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c>
          <w:tcPr>
            <w:tcW w:w="0" w:type="dxa"/>
            <w:vAlign w:val="bottom"/>
          </w:tcPr>
          <w:p>
            <w:pPr>
              <w:spacing w:after="0"/>
              <w:rPr>
                <w:sz w:val="1"/>
                <w:szCs w:val="1"/>
                <w:color w:val="auto"/>
              </w:rPr>
            </w:pPr>
          </w:p>
        </w:tc>
      </w:tr>
      <w:tr>
        <w:trPr>
          <w:trHeight w:val="249"/>
        </w:trPr>
        <w:tc>
          <w:tcPr>
            <w:tcW w:w="98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1A.</w:t>
              </w:r>
            </w:hyperlink>
          </w:p>
        </w:tc>
        <w:tc>
          <w:tcPr>
            <w:tcW w:w="9000" w:type="dxa"/>
            <w:vAlign w:val="bottom"/>
            <w:gridSpan w:val="10"/>
            <w:shd w:val="clear" w:color="auto" w:fill="CCEEFF"/>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Risk Factors</w:t>
              </w:r>
            </w:hyperlink>
          </w:p>
        </w:tc>
        <w:tc>
          <w:tcPr>
            <w:tcW w:w="1260" w:type="dxa"/>
            <w:vAlign w:val="bottom"/>
            <w:shd w:val="clear" w:color="auto" w:fill="CCEEFF"/>
          </w:tcPr>
          <w:p>
            <w:pPr>
              <w:jc w:val="center"/>
              <w:ind w:left="191"/>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c>
          <w:tcPr>
            <w:tcW w:w="0" w:type="dxa"/>
            <w:vAlign w:val="bottom"/>
          </w:tcPr>
          <w:p>
            <w:pPr>
              <w:spacing w:after="0"/>
              <w:rPr>
                <w:sz w:val="1"/>
                <w:szCs w:val="1"/>
                <w:color w:val="auto"/>
              </w:rPr>
            </w:pPr>
          </w:p>
        </w:tc>
      </w:tr>
      <w:tr>
        <w:trPr>
          <w:trHeight w:val="237"/>
        </w:trPr>
        <w:tc>
          <w:tcPr>
            <w:tcW w:w="980" w:type="dxa"/>
            <w:vAlign w:val="bottom"/>
            <w:gridSpan w:val="2"/>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2.</w:t>
              </w:r>
            </w:hyperlink>
          </w:p>
        </w:tc>
        <w:tc>
          <w:tcPr>
            <w:tcW w:w="9000" w:type="dxa"/>
            <w:vAlign w:val="bottom"/>
            <w:gridSpan w:val="10"/>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Unregistered Shares of Equity Securities and Use of Proceeds</w:t>
              </w:r>
            </w:hyperlink>
          </w:p>
        </w:tc>
        <w:tc>
          <w:tcPr>
            <w:tcW w:w="1260" w:type="dxa"/>
            <w:vAlign w:val="bottom"/>
          </w:tcPr>
          <w:p>
            <w:pPr>
              <w:jc w:val="center"/>
              <w:ind w:left="191"/>
              <w:spacing w:after="0"/>
              <w:rPr>
                <w:rFonts w:ascii="Arial" w:cs="Arial" w:eastAsia="Arial" w:hAnsi="Arial"/>
                <w:sz w:val="18"/>
                <w:szCs w:val="18"/>
                <w:color w:val="auto"/>
                <w:w w:val="89"/>
              </w:rPr>
            </w:pPr>
            <w:hyperlink w:anchor="page88">
              <w:r>
                <w:rPr>
                  <w:rFonts w:ascii="Arial" w:cs="Arial" w:eastAsia="Arial" w:hAnsi="Arial"/>
                  <w:sz w:val="18"/>
                  <w:szCs w:val="18"/>
                  <w:color w:val="auto"/>
                  <w:w w:val="89"/>
                </w:rPr>
                <w:t>88</w:t>
              </w:r>
            </w:hyperlink>
          </w:p>
        </w:tc>
        <w:tc>
          <w:tcPr>
            <w:tcW w:w="0" w:type="dxa"/>
            <w:vAlign w:val="bottom"/>
          </w:tcPr>
          <w:p>
            <w:pPr>
              <w:spacing w:after="0"/>
              <w:rPr>
                <w:sz w:val="1"/>
                <w:szCs w:val="1"/>
                <w:color w:val="auto"/>
              </w:rPr>
            </w:pPr>
          </w:p>
        </w:tc>
      </w:tr>
      <w:tr>
        <w:trPr>
          <w:trHeight w:val="249"/>
        </w:trPr>
        <w:tc>
          <w:tcPr>
            <w:tcW w:w="98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3.</w:t>
              </w:r>
            </w:hyperlink>
          </w:p>
        </w:tc>
        <w:tc>
          <w:tcPr>
            <w:tcW w:w="9000" w:type="dxa"/>
            <w:vAlign w:val="bottom"/>
            <w:gridSpan w:val="10"/>
            <w:shd w:val="clear" w:color="auto" w:fill="CCEEFF"/>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Defaults Upon Senior Securities</w:t>
              </w:r>
            </w:hyperlink>
          </w:p>
        </w:tc>
        <w:tc>
          <w:tcPr>
            <w:tcW w:w="1260" w:type="dxa"/>
            <w:vAlign w:val="bottom"/>
            <w:shd w:val="clear" w:color="auto" w:fill="CCEEFF"/>
          </w:tcPr>
          <w:p>
            <w:pPr>
              <w:jc w:val="center"/>
              <w:ind w:left="191"/>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89</w:t>
              </w:r>
            </w:hyperlink>
          </w:p>
        </w:tc>
        <w:tc>
          <w:tcPr>
            <w:tcW w:w="0" w:type="dxa"/>
            <w:vAlign w:val="bottom"/>
          </w:tcPr>
          <w:p>
            <w:pPr>
              <w:spacing w:after="0"/>
              <w:rPr>
                <w:sz w:val="1"/>
                <w:szCs w:val="1"/>
                <w:color w:val="auto"/>
              </w:rPr>
            </w:pPr>
          </w:p>
        </w:tc>
      </w:tr>
      <w:tr>
        <w:trPr>
          <w:trHeight w:val="237"/>
        </w:trPr>
        <w:tc>
          <w:tcPr>
            <w:tcW w:w="980" w:type="dxa"/>
            <w:vAlign w:val="bottom"/>
            <w:gridSpan w:val="2"/>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4.</w:t>
              </w:r>
            </w:hyperlink>
          </w:p>
        </w:tc>
        <w:tc>
          <w:tcPr>
            <w:tcW w:w="9000" w:type="dxa"/>
            <w:vAlign w:val="bottom"/>
            <w:gridSpan w:val="10"/>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Mine Safety Disclosures</w:t>
              </w:r>
            </w:hyperlink>
          </w:p>
        </w:tc>
        <w:tc>
          <w:tcPr>
            <w:tcW w:w="1260" w:type="dxa"/>
            <w:vAlign w:val="bottom"/>
          </w:tcPr>
          <w:p>
            <w:pPr>
              <w:jc w:val="center"/>
              <w:ind w:left="191"/>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89</w:t>
              </w:r>
            </w:hyperlink>
          </w:p>
        </w:tc>
        <w:tc>
          <w:tcPr>
            <w:tcW w:w="0" w:type="dxa"/>
            <w:vAlign w:val="bottom"/>
          </w:tcPr>
          <w:p>
            <w:pPr>
              <w:spacing w:after="0"/>
              <w:rPr>
                <w:sz w:val="1"/>
                <w:szCs w:val="1"/>
                <w:color w:val="auto"/>
              </w:rPr>
            </w:pPr>
          </w:p>
        </w:tc>
      </w:tr>
      <w:tr>
        <w:trPr>
          <w:trHeight w:val="249"/>
        </w:trPr>
        <w:tc>
          <w:tcPr>
            <w:tcW w:w="98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5.</w:t>
              </w:r>
            </w:hyperlink>
          </w:p>
        </w:tc>
        <w:tc>
          <w:tcPr>
            <w:tcW w:w="9000" w:type="dxa"/>
            <w:vAlign w:val="bottom"/>
            <w:gridSpan w:val="10"/>
            <w:shd w:val="clear" w:color="auto" w:fill="CCEEFF"/>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Other Information</w:t>
              </w:r>
            </w:hyperlink>
          </w:p>
        </w:tc>
        <w:tc>
          <w:tcPr>
            <w:tcW w:w="1260" w:type="dxa"/>
            <w:vAlign w:val="bottom"/>
            <w:shd w:val="clear" w:color="auto" w:fill="CCEEFF"/>
          </w:tcPr>
          <w:p>
            <w:pPr>
              <w:jc w:val="center"/>
              <w:ind w:left="191"/>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89</w:t>
              </w:r>
            </w:hyperlink>
          </w:p>
        </w:tc>
        <w:tc>
          <w:tcPr>
            <w:tcW w:w="0" w:type="dxa"/>
            <w:vAlign w:val="bottom"/>
          </w:tcPr>
          <w:p>
            <w:pPr>
              <w:spacing w:after="0"/>
              <w:rPr>
                <w:sz w:val="1"/>
                <w:szCs w:val="1"/>
                <w:color w:val="auto"/>
              </w:rPr>
            </w:pPr>
          </w:p>
        </w:tc>
      </w:tr>
      <w:tr>
        <w:trPr>
          <w:trHeight w:val="237"/>
        </w:trPr>
        <w:tc>
          <w:tcPr>
            <w:tcW w:w="980" w:type="dxa"/>
            <w:vAlign w:val="bottom"/>
            <w:gridSpan w:val="2"/>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6.</w:t>
              </w:r>
            </w:hyperlink>
          </w:p>
        </w:tc>
        <w:tc>
          <w:tcPr>
            <w:tcW w:w="9000" w:type="dxa"/>
            <w:vAlign w:val="bottom"/>
            <w:gridSpan w:val="10"/>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Exhibits</w:t>
              </w:r>
            </w:hyperlink>
          </w:p>
        </w:tc>
        <w:tc>
          <w:tcPr>
            <w:tcW w:w="1260" w:type="dxa"/>
            <w:vAlign w:val="bottom"/>
          </w:tcPr>
          <w:p>
            <w:pPr>
              <w:jc w:val="center"/>
              <w:ind w:left="191"/>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90</w:t>
              </w:r>
            </w:hyperlink>
          </w:p>
        </w:tc>
        <w:tc>
          <w:tcPr>
            <w:tcW w:w="0" w:type="dxa"/>
            <w:vAlign w:val="bottom"/>
          </w:tcPr>
          <w:p>
            <w:pPr>
              <w:spacing w:after="0"/>
              <w:rPr>
                <w:sz w:val="1"/>
                <w:szCs w:val="1"/>
                <w:color w:val="auto"/>
              </w:rPr>
            </w:pPr>
          </w:p>
        </w:tc>
      </w:tr>
      <w:tr>
        <w:trPr>
          <w:trHeight w:val="249"/>
        </w:trPr>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0" w:type="dxa"/>
            <w:vAlign w:val="bottom"/>
            <w:gridSpan w:val="10"/>
            <w:shd w:val="clear" w:color="auto" w:fill="CCEEFF"/>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Signatures</w:t>
              </w:r>
            </w:hyperlink>
          </w:p>
        </w:tc>
        <w:tc>
          <w:tcPr>
            <w:tcW w:w="1260" w:type="dxa"/>
            <w:vAlign w:val="bottom"/>
            <w:shd w:val="clear" w:color="auto" w:fill="CCEEFF"/>
          </w:tcPr>
          <w:p>
            <w:pPr>
              <w:jc w:val="center"/>
              <w:ind w:left="191"/>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91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firstLine="648"/>
        <w:spacing w:after="0" w:line="242"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44" w:lineRule="exact"/>
        <w:rPr>
          <w:sz w:val="20"/>
          <w:szCs w:val="20"/>
          <w:color w:val="auto"/>
        </w:rPr>
      </w:pPr>
    </w:p>
    <w:p>
      <w:pPr>
        <w:ind w:left="1300" w:right="200" w:hanging="320"/>
        <w:spacing w:after="0" w:line="246"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15" w:lineRule="exact"/>
        <w:rPr>
          <w:rFonts w:ascii="Arial" w:cs="Arial" w:eastAsia="Arial" w:hAnsi="Arial"/>
          <w:sz w:val="18"/>
          <w:szCs w:val="18"/>
          <w:color w:val="auto"/>
        </w:rPr>
      </w:pPr>
    </w:p>
    <w:p>
      <w:pPr>
        <w:ind w:left="1300" w:right="100" w:hanging="320"/>
        <w:spacing w:after="0" w:line="235"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2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cloud platform;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cloud platform;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or enhancements to our existing solutions, and bring them to market in a timely manner;</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 and technology alliance partners;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and cash equivalents to meet cash needs for at least the next 12 months;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144" w:lineRule="exact"/>
        <w:rPr>
          <w:rFonts w:ascii="Arial" w:cs="Arial" w:eastAsia="Arial" w:hAnsi="Arial"/>
          <w:sz w:val="18"/>
          <w:szCs w:val="18"/>
          <w:color w:val="auto"/>
        </w:rPr>
      </w:pPr>
    </w:p>
    <w:p>
      <w:pPr>
        <w:ind w:left="1300" w:right="220" w:hanging="320"/>
        <w:spacing w:after="0" w:line="246"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1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maintain, and improve our internal control over financial reporting;</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close and integrate acquisitions to contribute to our growth objectives; and</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98"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is subject to numerous risks and uncertainties, any one of which could materially adversely affect our business,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condition and growth prospects. Below is a summary of some of these risks. This summary is not complete, and should be read together with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section titled “Risk Factors” in this Quarterly Report on Form</w:t>
      </w:r>
    </w:p>
    <w:p>
      <w:pPr>
        <w:spacing w:after="0"/>
        <w:rPr>
          <w:sz w:val="20"/>
          <w:szCs w:val="20"/>
          <w:color w:val="auto"/>
        </w:rPr>
      </w:pPr>
      <w:r>
        <w:rPr>
          <w:rFonts w:ascii="Arial" w:cs="Arial" w:eastAsia="Arial" w:hAnsi="Arial"/>
          <w:sz w:val="18"/>
          <w:szCs w:val="18"/>
          <w:color w:val="auto"/>
        </w:rPr>
        <w:t>10-Q, as well as the other information in this Quarterly Report on Form 10-Q and the other filings that we make with the SEC.</w:t>
      </w:r>
    </w:p>
    <w:p>
      <w:pPr>
        <w:spacing w:after="0" w:line="37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COVID-19 pandemic could adversely affect global economic conditions and our business, operating results and future revenue.</w:t>
      </w:r>
    </w:p>
    <w:p>
      <w:pPr>
        <w:spacing w:after="0" w:line="234" w:lineRule="exact"/>
        <w:rPr>
          <w:rFonts w:ascii="Arial" w:cs="Arial" w:eastAsia="Arial" w:hAnsi="Arial"/>
          <w:sz w:val="16"/>
          <w:szCs w:val="16"/>
          <w:color w:val="auto"/>
        </w:rPr>
      </w:pPr>
    </w:p>
    <w:p>
      <w:pPr>
        <w:ind w:left="1300" w:right="160" w:hanging="320"/>
        <w:spacing w:after="0" w:line="227"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if we do not manage our future growth, our business and results of operations will be adversely affected.</w:t>
      </w:r>
    </w:p>
    <w:p>
      <w:pPr>
        <w:spacing w:after="0" w:line="206"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a history of losses and may not be able to achieve or sustain profitability in the future.</w:t>
      </w:r>
    </w:p>
    <w:p>
      <w:pPr>
        <w:spacing w:after="0" w:line="255" w:lineRule="exact"/>
        <w:rPr>
          <w:rFonts w:ascii="Arial" w:cs="Arial" w:eastAsia="Arial" w:hAnsi="Arial"/>
          <w:sz w:val="22"/>
          <w:szCs w:val="22"/>
          <w:color w:val="auto"/>
        </w:rPr>
      </w:pPr>
    </w:p>
    <w:p>
      <w:pPr>
        <w:ind w:left="1300" w:right="200" w:hanging="320"/>
        <w:spacing w:after="0" w:line="232" w:lineRule="auto"/>
        <w:tabs>
          <w:tab w:leader="none" w:pos="1296"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limited operating history makes it difficult to evaluate our current business and future prospects, and may increase the risk of your investment.</w:t>
      </w:r>
    </w:p>
    <w:p>
      <w:pPr>
        <w:spacing w:after="0" w:line="243" w:lineRule="exact"/>
        <w:rPr>
          <w:rFonts w:ascii="Arial" w:cs="Arial" w:eastAsia="Arial" w:hAnsi="Arial"/>
          <w:sz w:val="22"/>
          <w:szCs w:val="22"/>
          <w:color w:val="auto"/>
        </w:rPr>
      </w:pPr>
    </w:p>
    <w:p>
      <w:pPr>
        <w:ind w:left="1300" w:right="380" w:hanging="320"/>
        <w:spacing w:after="0" w:line="232" w:lineRule="auto"/>
        <w:tabs>
          <w:tab w:leader="none" w:pos="1296"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organizations do not adopt cloud-based SaaS-delivered endpoint security solutions, our ability to grow our business and results of operations may be adversely affected.</w:t>
      </w:r>
    </w:p>
    <w:p>
      <w:pPr>
        <w:spacing w:after="0" w:line="221"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are unable to attract new customers, our future results of operations could be harmed.</w:t>
      </w:r>
    </w:p>
    <w:p>
      <w:pPr>
        <w:spacing w:after="0" w:line="255" w:lineRule="exact"/>
        <w:rPr>
          <w:rFonts w:ascii="Arial" w:cs="Arial" w:eastAsia="Arial" w:hAnsi="Arial"/>
          <w:sz w:val="22"/>
          <w:szCs w:val="22"/>
          <w:color w:val="auto"/>
        </w:rPr>
      </w:pPr>
    </w:p>
    <w:p>
      <w:pPr>
        <w:ind w:left="1300" w:right="320" w:hanging="320"/>
        <w:spacing w:after="0" w:line="232" w:lineRule="auto"/>
        <w:tabs>
          <w:tab w:leader="none" w:pos="1296"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our customers do not renew their subscriptions for our products and add additional cloud modules to their subscriptions, our future results of operations could be harmed.</w:t>
      </w:r>
    </w:p>
    <w:p>
      <w:pPr>
        <w:spacing w:after="0" w:line="216" w:lineRule="exact"/>
        <w:rPr>
          <w:rFonts w:ascii="Arial" w:cs="Arial" w:eastAsia="Arial" w:hAnsi="Arial"/>
          <w:sz w:val="22"/>
          <w:szCs w:val="22"/>
          <w:color w:val="auto"/>
        </w:rPr>
      </w:pPr>
    </w:p>
    <w:p>
      <w:pPr>
        <w:ind w:left="1300" w:right="600" w:hanging="320"/>
        <w:spacing w:after="0" w:line="261"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financial condition, and results of operations.</w:t>
      </w:r>
    </w:p>
    <w:p>
      <w:pPr>
        <w:spacing w:after="0" w:line="224" w:lineRule="exact"/>
        <w:rPr>
          <w:rFonts w:ascii="Arial" w:cs="Arial" w:eastAsia="Arial" w:hAnsi="Arial"/>
          <w:sz w:val="18"/>
          <w:szCs w:val="18"/>
          <w:color w:val="auto"/>
        </w:rPr>
      </w:pPr>
    </w:p>
    <w:p>
      <w:pPr>
        <w:ind w:left="1300" w:right="680" w:hanging="320"/>
        <w:spacing w:after="0" w:line="297" w:lineRule="auto"/>
        <w:tabs>
          <w:tab w:leader="none" w:pos="1296" w:val="left"/>
        </w:tabs>
        <w:numPr>
          <w:ilvl w:val="0"/>
          <w:numId w:val="4"/>
        </w:numPr>
        <w:rPr>
          <w:rFonts w:ascii="Arial" w:cs="Arial" w:eastAsia="Arial" w:hAnsi="Arial"/>
          <w:sz w:val="19"/>
          <w:szCs w:val="19"/>
          <w:color w:val="auto"/>
        </w:rPr>
      </w:pPr>
      <w:r>
        <w:rPr>
          <w:rFonts w:ascii="Arial" w:cs="Arial" w:eastAsia="Arial" w:hAnsi="Arial"/>
          <w:sz w:val="16"/>
          <w:szCs w:val="16"/>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63" w:lineRule="exact"/>
        <w:rPr>
          <w:rFonts w:ascii="Arial" w:cs="Arial" w:eastAsia="Arial" w:hAnsi="Arial"/>
          <w:sz w:val="19"/>
          <w:szCs w:val="19"/>
          <w:color w:val="auto"/>
        </w:rPr>
      </w:pPr>
    </w:p>
    <w:p>
      <w:pPr>
        <w:jc w:val="both"/>
        <w:ind w:left="1300" w:right="260" w:hanging="320"/>
        <w:spacing w:after="0" w:line="324" w:lineRule="auto"/>
        <w:tabs>
          <w:tab w:leader="none" w:pos="1296"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51" w:lineRule="exact"/>
        <w:rPr>
          <w:rFonts w:ascii="Arial" w:cs="Arial" w:eastAsia="Arial" w:hAnsi="Arial"/>
          <w:sz w:val="16"/>
          <w:szCs w:val="16"/>
          <w:color w:val="auto"/>
        </w:rPr>
      </w:pPr>
    </w:p>
    <w:p>
      <w:pPr>
        <w:ind w:left="1300" w:right="180" w:hanging="320"/>
        <w:spacing w:after="0" w:line="261"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focused on cloud-based data analytics, and cybersecurity, privacy, and other regulations may affect how we collect and process certain types of data.</w:t>
      </w:r>
    </w:p>
    <w:p>
      <w:pPr>
        <w:spacing w:after="0" w:line="197" w:lineRule="exact"/>
        <w:rPr>
          <w:rFonts w:ascii="Arial" w:cs="Arial" w:eastAsia="Arial" w:hAnsi="Arial"/>
          <w:sz w:val="18"/>
          <w:szCs w:val="18"/>
          <w:color w:val="auto"/>
        </w:rPr>
      </w:pPr>
    </w:p>
    <w:p>
      <w:pPr>
        <w:ind w:left="1300" w:right="140" w:hanging="320"/>
        <w:spacing w:after="0" w:line="248"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235" w:lineRule="exact"/>
        <w:rPr>
          <w:rFonts w:ascii="Arial" w:cs="Arial" w:eastAsia="Arial" w:hAnsi="Arial"/>
          <w:sz w:val="18"/>
          <w:szCs w:val="18"/>
          <w:color w:val="auto"/>
        </w:rPr>
      </w:pPr>
    </w:p>
    <w:p>
      <w:pPr>
        <w:ind w:left="1300" w:right="100" w:hanging="320"/>
        <w:spacing w:after="0" w:line="232" w:lineRule="auto"/>
        <w:tabs>
          <w:tab w:leader="none" w:pos="1296"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do not effectively expand and train our direct sales force, we may be unable to add new customers or increase sales to our existing customers, and our business will be adversely affected.</w:t>
      </w:r>
    </w:p>
    <w:p>
      <w:pPr>
        <w:sectPr>
          <w:pgSz w:w="11900" w:h="16838" w:orient="portrait"/>
          <w:cols w:equalWidth="0" w:num="1">
            <w:col w:w="11180"/>
          </w:cols>
          <w:pgMar w:left="320" w:top="34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0"/>
        <w:spacing w:after="0" w:line="232" w:lineRule="auto"/>
        <w:tabs>
          <w:tab w:leader="none" w:pos="636"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results of operations may fluctuate significantly, which could make our future results difficult to predict and could cause our results of operations to fall below expectations.</w:t>
      </w:r>
    </w:p>
    <w:p>
      <w:pPr>
        <w:spacing w:after="0" w:line="243" w:lineRule="exact"/>
        <w:rPr>
          <w:rFonts w:ascii="Arial" w:cs="Arial" w:eastAsia="Arial" w:hAnsi="Arial"/>
          <w:sz w:val="22"/>
          <w:szCs w:val="22"/>
          <w:color w:val="auto"/>
        </w:rPr>
      </w:pPr>
    </w:p>
    <w:p>
      <w:pPr>
        <w:ind w:left="640" w:right="160" w:hanging="320"/>
        <w:spacing w:after="0" w:line="232" w:lineRule="auto"/>
        <w:tabs>
          <w:tab w:leader="none" w:pos="636" w:val="left"/>
        </w:tabs>
        <w:numPr>
          <w:ilvl w:val="0"/>
          <w:numId w:val="5"/>
        </w:numPr>
        <w:rPr>
          <w:rFonts w:ascii="Arial" w:cs="Arial" w:eastAsia="Arial" w:hAnsi="Arial"/>
          <w:sz w:val="22"/>
          <w:szCs w:val="22"/>
          <w:color w:val="auto"/>
        </w:rPr>
      </w:pPr>
      <w:r>
        <w:rPr>
          <w:rFonts w:ascii="Arial" w:cs="Arial" w:eastAsia="Arial" w:hAnsi="Arial"/>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980" w:top="341" w:right="499" w:bottom="1440" w:gutter="0" w:footer="0" w:header="0"/>
        </w:sectPr>
      </w:pPr>
    </w:p>
    <w:bookmarkStart w:id="5" w:name="page6"/>
    <w:bookmarkEnd w:id="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6"/>
                <w:szCs w:val="16"/>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7"/>
        </w:trPr>
        <w:tc>
          <w:tcPr>
            <w:tcW w:w="8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1,059,926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264,798</w:t>
            </w:r>
          </w:p>
        </w:tc>
        <w:tc>
          <w:tcPr>
            <w:tcW w:w="0" w:type="dxa"/>
            <w:vAlign w:val="bottom"/>
          </w:tcPr>
          <w:p>
            <w:pPr>
              <w:spacing w:after="0"/>
              <w:rPr>
                <w:sz w:val="1"/>
                <w:szCs w:val="1"/>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647,266</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 of allowance for doubtful accounts of $1.1 million as of October 31, 2020 and January 31, 2020</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164,987</w:t>
            </w:r>
          </w:p>
        </w:tc>
        <w:tc>
          <w:tcPr>
            <w:tcW w:w="0" w:type="dxa"/>
            <w:vAlign w:val="bottom"/>
          </w:tcPr>
          <w:p>
            <w:pPr>
              <w:spacing w:after="0"/>
              <w:rPr>
                <w:sz w:val="1"/>
                <w:szCs w:val="1"/>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Deferred contract acquisition costs, current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62,422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42,971</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45,673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51,614</w:t>
            </w:r>
          </w:p>
        </w:tc>
        <w:tc>
          <w:tcPr>
            <w:tcW w:w="0" w:type="dxa"/>
            <w:vAlign w:val="bottom"/>
          </w:tcPr>
          <w:p>
            <w:pPr>
              <w:spacing w:after="0"/>
              <w:rPr>
                <w:sz w:val="1"/>
                <w:szCs w:val="1"/>
                <w:color w:val="auto"/>
              </w:rPr>
            </w:pPr>
          </w:p>
        </w:tc>
      </w:tr>
      <w:tr>
        <w:trPr>
          <w:trHeight w:val="179"/>
        </w:trPr>
        <w:tc>
          <w:tcPr>
            <w:tcW w:w="810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1,340,796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1,171,636</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Strategic investments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162,371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136,078</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91,585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71,235</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7,722</w:t>
            </w:r>
          </w:p>
        </w:tc>
        <w:tc>
          <w:tcPr>
            <w:tcW w:w="0" w:type="dxa"/>
            <w:vAlign w:val="bottom"/>
          </w:tcPr>
          <w:p>
            <w:pPr>
              <w:spacing w:after="0"/>
              <w:rPr>
                <w:sz w:val="1"/>
                <w:szCs w:val="1"/>
                <w:color w:val="auto"/>
              </w:rPr>
            </w:pP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16,356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16,708</w:t>
            </w:r>
          </w:p>
        </w:tc>
        <w:tc>
          <w:tcPr>
            <w:tcW w:w="0" w:type="dxa"/>
            <w:vAlign w:val="bottom"/>
          </w:tcPr>
          <w:p>
            <w:pPr>
              <w:spacing w:after="0"/>
              <w:rPr>
                <w:sz w:val="1"/>
                <w:szCs w:val="1"/>
                <w:color w:val="auto"/>
              </w:rPr>
            </w:pPr>
          </w:p>
        </w:tc>
      </w:tr>
      <w:tr>
        <w:trPr>
          <w:trHeight w:val="186"/>
        </w:trPr>
        <w:tc>
          <w:tcPr>
            <w:tcW w:w="810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1,749,509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1,404,906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39,975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30,355</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payroll and benefits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36,810</w:t>
            </w:r>
          </w:p>
        </w:tc>
        <w:tc>
          <w:tcPr>
            <w:tcW w:w="0" w:type="dxa"/>
            <w:vAlign w:val="bottom"/>
          </w:tcPr>
          <w:p>
            <w:pPr>
              <w:spacing w:after="0"/>
              <w:rPr>
                <w:sz w:val="1"/>
                <w:szCs w:val="1"/>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Operating lease liabilities, current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579,671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412,985</w:t>
            </w:r>
          </w:p>
        </w:tc>
        <w:tc>
          <w:tcPr>
            <w:tcW w:w="0" w:type="dxa"/>
            <w:vAlign w:val="bottom"/>
          </w:tcPr>
          <w:p>
            <w:pPr>
              <w:spacing w:after="0"/>
              <w:rPr>
                <w:sz w:val="1"/>
                <w:szCs w:val="1"/>
                <w:color w:val="auto"/>
              </w:rPr>
            </w:pPr>
          </w:p>
        </w:tc>
      </w:tr>
      <w:tr>
        <w:trPr>
          <w:trHeight w:val="186"/>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11,601</w:t>
            </w:r>
          </w:p>
        </w:tc>
        <w:tc>
          <w:tcPr>
            <w:tcW w:w="0" w:type="dxa"/>
            <w:vAlign w:val="bottom"/>
          </w:tcPr>
          <w:p>
            <w:pPr>
              <w:spacing w:after="0"/>
              <w:rPr>
                <w:sz w:val="1"/>
                <w:szCs w:val="1"/>
                <w:color w:val="auto"/>
              </w:rPr>
            </w:pPr>
          </w:p>
        </w:tc>
      </w:tr>
      <w:tr>
        <w:trPr>
          <w:trHeight w:val="186"/>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702,039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493,096</w:t>
            </w:r>
          </w:p>
        </w:tc>
        <w:tc>
          <w:tcPr>
            <w:tcW w:w="0" w:type="dxa"/>
            <w:vAlign w:val="bottom"/>
          </w:tcPr>
          <w:p>
            <w:pPr>
              <w:spacing w:after="0"/>
              <w:rPr>
                <w:sz w:val="1"/>
                <w:szCs w:val="1"/>
                <w:color w:val="auto"/>
              </w:rPr>
            </w:pP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183,003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158,183</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11,020</w:t>
            </w:r>
          </w:p>
        </w:tc>
        <w:tc>
          <w:tcPr>
            <w:tcW w:w="0" w:type="dxa"/>
            <w:vAlign w:val="bottom"/>
          </w:tcPr>
          <w:p>
            <w:pPr>
              <w:spacing w:after="0"/>
              <w:rPr>
                <w:sz w:val="1"/>
                <w:szCs w:val="1"/>
                <w:color w:val="auto"/>
              </w:rPr>
            </w:pPr>
          </w:p>
        </w:tc>
      </w:tr>
      <w:tr>
        <w:trPr>
          <w:trHeight w:val="186"/>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934,724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662,299</w:t>
            </w:r>
          </w:p>
        </w:tc>
        <w:tc>
          <w:tcPr>
            <w:tcW w:w="0" w:type="dxa"/>
            <w:vAlign w:val="bottom"/>
          </w:tcPr>
          <w:p>
            <w:pPr>
              <w:spacing w:after="0"/>
              <w:rPr>
                <w:sz w:val="1"/>
                <w:szCs w:val="1"/>
                <w:color w:val="auto"/>
              </w:rPr>
            </w:pPr>
          </w:p>
        </w:tc>
      </w:tr>
      <w:tr>
        <w:trPr>
          <w:trHeight w:val="166"/>
        </w:trPr>
        <w:tc>
          <w:tcPr>
            <w:tcW w:w="8100" w:type="dxa"/>
            <w:vAlign w:val="bottom"/>
          </w:tcPr>
          <w:p>
            <w:pPr>
              <w:ind w:left="20"/>
              <w:spacing w:after="0"/>
              <w:rPr>
                <w:sz w:val="20"/>
                <w:szCs w:val="20"/>
                <w:color w:val="auto"/>
              </w:rPr>
            </w:pPr>
            <w:r>
              <w:rPr>
                <w:rFonts w:ascii="Arial" w:cs="Arial" w:eastAsia="Arial" w:hAnsi="Arial"/>
                <w:sz w:val="14"/>
                <w:szCs w:val="14"/>
                <w:color w:val="auto"/>
              </w:rPr>
              <w:t>Commitments and contingencies (Note 11)</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0"/>
              <w:spacing w:after="0" w:line="135" w:lineRule="exact"/>
              <w:rPr>
                <w:sz w:val="20"/>
                <w:szCs w:val="20"/>
                <w:color w:val="auto"/>
              </w:rPr>
            </w:pPr>
            <w:r>
              <w:rPr>
                <w:rFonts w:ascii="Arial" w:cs="Arial" w:eastAsia="Arial" w:hAnsi="Arial"/>
                <w:sz w:val="14"/>
                <w:szCs w:val="14"/>
                <w:color w:val="auto"/>
                <w:w w:val="98"/>
              </w:rPr>
              <w:t>Preferred stock, $0.0005 par value; 100,000 shares authorized as of October 31, 2020 and January 31, 2020; no shares issued and</w:t>
            </w:r>
          </w:p>
        </w:tc>
        <w:tc>
          <w:tcPr>
            <w:tcW w:w="26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100" w:type="dxa"/>
            <w:vAlign w:val="bottom"/>
          </w:tcPr>
          <w:p>
            <w:pPr>
              <w:ind w:left="20"/>
              <w:spacing w:after="0"/>
              <w:rPr>
                <w:sz w:val="20"/>
                <w:szCs w:val="20"/>
                <w:color w:val="auto"/>
              </w:rPr>
            </w:pPr>
            <w:r>
              <w:rPr>
                <w:rFonts w:ascii="Arial" w:cs="Arial" w:eastAsia="Arial" w:hAnsi="Arial"/>
                <w:sz w:val="14"/>
                <w:szCs w:val="14"/>
                <w:color w:val="auto"/>
              </w:rPr>
              <w:t>outstanding as of October 31, 2020 and January 31, 2020</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Class A common stock, $0.0005 par value; 2,000,000 shares authorized as of October 31, 2020 and January 31, 2020, respectively; 187,701</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1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shares and 107,666 shares issued and outstanding as of October 31, 2020 and January 31, 2020, respectively; Class B common stock,</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1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1"/>
              </w:rPr>
              <w:t>$0.0005 par value; 300,000 shares authorized as of October 31, 2020 and January 31, 2020, respectively; 33,253 shares and 105,282 shares</w:t>
            </w:r>
          </w:p>
        </w:tc>
        <w:tc>
          <w:tcPr>
            <w:tcW w:w="2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issued and outstanding as of October 31, 2020 and January 31, 2020, respectively</w:t>
            </w:r>
          </w:p>
        </w:tc>
        <w:tc>
          <w:tcPr>
            <w:tcW w:w="26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1,523,873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1,378,479</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(637,487)</w:t>
            </w:r>
          </w:p>
        </w:tc>
        <w:tc>
          <w:tcPr>
            <w:tcW w:w="0" w:type="dxa"/>
            <w:vAlign w:val="bottom"/>
          </w:tcPr>
          <w:p>
            <w:pPr>
              <w:spacing w:after="0"/>
              <w:rPr>
                <w:sz w:val="1"/>
                <w:szCs w:val="1"/>
                <w:color w:val="auto"/>
              </w:rPr>
            </w:pPr>
          </w:p>
        </w:tc>
      </w:tr>
      <w:tr>
        <w:trPr>
          <w:trHeight w:val="186"/>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86"/>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CrowdStrike Holdings, Inc. stockholders’ equity</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813,485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742,107</w:t>
            </w:r>
          </w:p>
        </w:tc>
        <w:tc>
          <w:tcPr>
            <w:tcW w:w="0" w:type="dxa"/>
            <w:vAlign w:val="bottom"/>
          </w:tcPr>
          <w:p>
            <w:pPr>
              <w:spacing w:after="0"/>
              <w:rPr>
                <w:sz w:val="1"/>
                <w:szCs w:val="1"/>
                <w:color w:val="auto"/>
              </w:rPr>
            </w:pPr>
          </w:p>
        </w:tc>
      </w:tr>
      <w:tr>
        <w:trPr>
          <w:trHeight w:val="186"/>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814,785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742,607</w:t>
            </w:r>
          </w:p>
        </w:tc>
        <w:tc>
          <w:tcPr>
            <w:tcW w:w="0" w:type="dxa"/>
            <w:vAlign w:val="bottom"/>
          </w:tcPr>
          <w:p>
            <w:pPr>
              <w:spacing w:after="0"/>
              <w:rPr>
                <w:sz w:val="1"/>
                <w:szCs w:val="1"/>
                <w:color w:val="auto"/>
              </w:rPr>
            </w:pPr>
          </w:p>
        </w:tc>
      </w:tr>
      <w:tr>
        <w:trPr>
          <w:trHeight w:val="186"/>
        </w:trPr>
        <w:tc>
          <w:tcPr>
            <w:tcW w:w="8100" w:type="dxa"/>
            <w:vAlign w:val="bottom"/>
          </w:tcPr>
          <w:p>
            <w:pPr>
              <w:ind w:left="14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1,749,509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1,404,906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ind w:left="120"/>
              <w:spacing w:after="0"/>
              <w:rPr>
                <w:sz w:val="20"/>
                <w:szCs w:val="20"/>
                <w:color w:val="auto"/>
              </w:rPr>
            </w:pPr>
            <w:r>
              <w:rPr>
                <w:rFonts w:ascii="Arial" w:cs="Arial" w:eastAsia="Arial" w:hAnsi="Arial"/>
                <w:sz w:val="17"/>
                <w:szCs w:val="17"/>
                <w:b w:val="1"/>
                <w:bCs w:val="1"/>
                <w:color w:val="auto"/>
              </w:rPr>
              <w:t>Three Months Ended October 31,</w:t>
            </w:r>
          </w:p>
        </w:tc>
        <w:tc>
          <w:tcPr>
            <w:tcW w:w="240" w:type="dxa"/>
            <w:vAlign w:val="bottom"/>
          </w:tcPr>
          <w:p>
            <w:pPr>
              <w:spacing w:after="0"/>
              <w:rPr>
                <w:sz w:val="19"/>
                <w:szCs w:val="19"/>
                <w:color w:val="auto"/>
              </w:rPr>
            </w:pPr>
          </w:p>
        </w:tc>
        <w:tc>
          <w:tcPr>
            <w:tcW w:w="2880" w:type="dxa"/>
            <w:vAlign w:val="bottom"/>
            <w:gridSpan w:val="4"/>
          </w:tcPr>
          <w:p>
            <w:pPr>
              <w:jc w:val="right"/>
              <w:ind w:right="290"/>
              <w:spacing w:after="0"/>
              <w:rPr>
                <w:sz w:val="20"/>
                <w:szCs w:val="20"/>
                <w:color w:val="auto"/>
              </w:rPr>
            </w:pPr>
            <w:r>
              <w:rPr>
                <w:rFonts w:ascii="Arial" w:cs="Arial" w:eastAsia="Arial" w:hAnsi="Arial"/>
                <w:sz w:val="17"/>
                <w:szCs w:val="17"/>
                <w:b w:val="1"/>
                <w:bCs w:val="1"/>
                <w:color w:val="auto"/>
                <w:w w:val="96"/>
              </w:rPr>
              <w:t>Nine Months Ended October 31,</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213,530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114,221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560,008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297,787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329,304</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20,353</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98,211</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231,093</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105,602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190,792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91,497</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63,737</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346,026</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(114,933)</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(111,707)</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(113,371)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Net loss per share attributable to Class A and Class B common</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basic and diluted</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Weighted-average shares used in computing net loss per share</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attributable to Class A and Class B common stockholders, basic</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219,401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204,096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216,432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128,009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and diluted</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7" w:name="page8"/>
    <w:bookmarkEnd w:id="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ind w:left="100"/>
              <w:spacing w:after="0"/>
              <w:rPr>
                <w:sz w:val="20"/>
                <w:szCs w:val="20"/>
                <w:color w:val="auto"/>
              </w:rPr>
            </w:pPr>
            <w:r>
              <w:rPr>
                <w:rFonts w:ascii="Arial" w:cs="Arial" w:eastAsia="Arial" w:hAnsi="Arial"/>
                <w:sz w:val="17"/>
                <w:szCs w:val="17"/>
                <w:b w:val="1"/>
                <w:bCs w:val="1"/>
                <w:color w:val="auto"/>
              </w:rPr>
              <w:t>Three Months Ended October 31,</w:t>
            </w:r>
          </w:p>
        </w:tc>
        <w:tc>
          <w:tcPr>
            <w:tcW w:w="240" w:type="dxa"/>
            <w:vAlign w:val="bottom"/>
          </w:tcPr>
          <w:p>
            <w:pPr>
              <w:spacing w:after="0"/>
              <w:rPr>
                <w:sz w:val="19"/>
                <w:szCs w:val="19"/>
                <w:color w:val="auto"/>
              </w:rPr>
            </w:pPr>
          </w:p>
        </w:tc>
        <w:tc>
          <w:tcPr>
            <w:tcW w:w="2860" w:type="dxa"/>
            <w:vAlign w:val="bottom"/>
            <w:gridSpan w:val="4"/>
          </w:tcPr>
          <w:p>
            <w:pPr>
              <w:jc w:val="right"/>
              <w:ind w:right="290"/>
              <w:spacing w:after="0"/>
              <w:rPr>
                <w:sz w:val="20"/>
                <w:szCs w:val="20"/>
                <w:color w:val="auto"/>
              </w:rPr>
            </w:pPr>
            <w:r>
              <w:rPr>
                <w:rFonts w:ascii="Arial" w:cs="Arial" w:eastAsia="Arial" w:hAnsi="Arial"/>
                <w:sz w:val="17"/>
                <w:szCs w:val="17"/>
                <w:b w:val="1"/>
                <w:bCs w:val="1"/>
                <w:color w:val="auto"/>
                <w:w w:val="95"/>
              </w:rPr>
              <w:t>Nine Months Ended October 31,</w:t>
            </w:r>
          </w:p>
        </w:tc>
      </w:tr>
      <w:tr>
        <w:trPr>
          <w:trHeight w:val="225"/>
        </w:trPr>
        <w:tc>
          <w:tcPr>
            <w:tcW w:w="49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(113,371)</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Reversal of unrealized gain upon sale of debt securities</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available-for-sale securities, net of tax</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9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48"/>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left="6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CrowdStrike Holdings,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Redeemable Convertible Preferred Stock and Stockholders’ Equity</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 October 31, 2020 and 2019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32320" cy="2057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left="2240"/>
        <w:spacing w:after="0"/>
        <w:rPr>
          <w:sz w:val="20"/>
          <w:szCs w:val="20"/>
          <w:color w:val="auto"/>
        </w:rPr>
      </w:pPr>
      <w:r>
        <w:rPr>
          <w:rFonts w:ascii="Arial" w:cs="Arial" w:eastAsia="Arial" w:hAnsi="Arial"/>
          <w:sz w:val="12"/>
          <w:szCs w:val="12"/>
          <w:b w:val="1"/>
          <w:bCs w:val="1"/>
          <w:color w:val="auto"/>
        </w:rPr>
        <w:t>Redeemable Convertible</w:t>
      </w:r>
    </w:p>
    <w:p>
      <w:pPr>
        <w:spacing w:after="0" w:line="11" w:lineRule="exact"/>
        <w:rPr>
          <w:sz w:val="20"/>
          <w:szCs w:val="20"/>
          <w:color w:val="auto"/>
        </w:rPr>
      </w:pPr>
    </w:p>
    <w:p>
      <w:pPr>
        <w:jc w:val="center"/>
        <w:ind w:left="2240"/>
        <w:spacing w:after="0"/>
        <w:rPr>
          <w:sz w:val="20"/>
          <w:szCs w:val="20"/>
          <w:color w:val="auto"/>
        </w:rPr>
      </w:pPr>
      <w:r>
        <w:rPr>
          <w:rFonts w:ascii="Arial" w:cs="Arial" w:eastAsia="Arial" w:hAnsi="Arial"/>
          <w:sz w:val="13"/>
          <w:szCs w:val="13"/>
          <w:b w:val="1"/>
          <w:bCs w:val="1"/>
          <w:color w:val="auto"/>
        </w:rPr>
        <w:t>Preferred Stock</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40" w:type="dxa"/>
            <w:vAlign w:val="bottom"/>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20"/>
                <w:szCs w:val="20"/>
                <w:color w:val="auto"/>
              </w:rPr>
            </w:pPr>
            <w:r>
              <w:rPr>
                <w:rFonts w:ascii="Arial" w:cs="Arial" w:eastAsia="Arial" w:hAnsi="Arial"/>
                <w:sz w:val="13"/>
                <w:szCs w:val="13"/>
                <w:b w:val="1"/>
                <w:bCs w:val="1"/>
                <w:color w:val="auto"/>
              </w:rPr>
              <w:t>Balances at July 31, 2020</w:t>
            </w:r>
          </w:p>
        </w:tc>
        <w:tc>
          <w:tcPr>
            <w:tcW w:w="760" w:type="dxa"/>
            <w:vAlign w:val="bottom"/>
            <w:gridSpan w:val="2"/>
          </w:tcPr>
          <w:p>
            <w:pPr>
              <w:ind w:left="4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Pr>
          <w:p>
            <w:pPr>
              <w:ind w:left="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Arial" w:cs="Arial" w:eastAsia="Arial" w:hAnsi="Arial"/>
                <w:sz w:val="13"/>
                <w:szCs w:val="13"/>
                <w:color w:val="auto"/>
                <w:w w:val="93"/>
              </w:rPr>
              <w:t>Issuance of common stock upon exercise</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3"/>
                <w:szCs w:val="13"/>
                <w:color w:val="auto"/>
              </w:rPr>
              <w:t>of options</w:t>
            </w: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Arial" w:cs="Arial" w:eastAsia="Arial" w:hAnsi="Arial"/>
                <w:sz w:val="13"/>
                <w:szCs w:val="13"/>
                <w:color w:val="auto"/>
              </w:rPr>
              <w:t>Issuance of common stock under RSU</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3"/>
                <w:szCs w:val="13"/>
                <w:color w:val="auto"/>
              </w:rPr>
              <w:t>release</w:t>
            </w: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3"/>
                <w:szCs w:val="13"/>
                <w:color w:val="auto"/>
              </w:rPr>
              <w:t>Vesting of early exercised options</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3"/>
                <w:szCs w:val="13"/>
                <w:color w:val="auto"/>
                <w:w w:val="99"/>
              </w:rPr>
              <w:t>Capitalized stock-based compensation</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Arial" w:cs="Arial" w:eastAsia="Arial" w:hAnsi="Arial"/>
                <w:sz w:val="13"/>
                <w:szCs w:val="13"/>
                <w:color w:val="auto"/>
                <w:w w:val="96"/>
              </w:rPr>
              <w:t>Fair value of replacement equity awards</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3"/>
                <w:szCs w:val="13"/>
                <w:color w:val="auto"/>
              </w:rPr>
              <w:t>attributable to pre-acquisition service</w:t>
            </w: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3"/>
                <w:szCs w:val="13"/>
                <w:color w:val="auto"/>
              </w:rPr>
              <w:t>Net loss</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3"/>
                <w:szCs w:val="13"/>
                <w:color w:val="auto"/>
              </w:rPr>
              <w:t>Non-controlling interest</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24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20"/>
                <w:szCs w:val="20"/>
                <w:color w:val="auto"/>
              </w:rPr>
            </w:pPr>
            <w:r>
              <w:rPr>
                <w:rFonts w:ascii="Arial" w:cs="Arial" w:eastAsia="Arial" w:hAnsi="Arial"/>
                <w:sz w:val="13"/>
                <w:szCs w:val="13"/>
                <w:b w:val="1"/>
                <w:bCs w:val="1"/>
                <w:color w:val="auto"/>
              </w:rPr>
              <w:t>Balances at October 31, 2020</w:t>
            </w:r>
          </w:p>
        </w:tc>
        <w:tc>
          <w:tcPr>
            <w:tcW w:w="760" w:type="dxa"/>
            <w:vAlign w:val="bottom"/>
            <w:gridSpan w:val="2"/>
          </w:tcPr>
          <w:p>
            <w:pPr>
              <w:ind w:left="4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Pr>
          <w:p>
            <w:pPr>
              <w:ind w:left="4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520" w:type="dxa"/>
            <w:vAlign w:val="bottom"/>
            <w:gridSpan w:val="4"/>
            <w:vMerge w:val="restart"/>
          </w:tcPr>
          <w:p>
            <w:pPr>
              <w:jc w:val="right"/>
              <w:ind w:right="253"/>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5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1"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8"/>
                <w:szCs w:val="8"/>
                <w:color w:val="auto"/>
              </w:rPr>
            </w:pPr>
          </w:p>
        </w:tc>
        <w:tc>
          <w:tcPr>
            <w:tcW w:w="106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1200" w:type="dxa"/>
            <w:vAlign w:val="bottom"/>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rPr>
              <w:t>Comprehensive</w:t>
            </w:r>
          </w:p>
        </w:tc>
        <w:tc>
          <w:tcPr>
            <w:tcW w:w="1060" w:type="dxa"/>
            <w:vAlign w:val="bottom"/>
            <w:gridSpan w:val="3"/>
          </w:tcPr>
          <w:p>
            <w:pPr>
              <w:ind w:left="40"/>
              <w:spacing w:after="0" w:line="101" w:lineRule="exact"/>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8"/>
                <w:szCs w:val="8"/>
                <w:color w:val="auto"/>
              </w:rPr>
            </w:pPr>
          </w:p>
        </w:tc>
        <w:tc>
          <w:tcPr>
            <w:tcW w:w="960" w:type="dxa"/>
            <w:vAlign w:val="bottom"/>
          </w:tcPr>
          <w:p>
            <w:pPr>
              <w:jc w:val="center"/>
              <w:ind w:right="53"/>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6"/>
        </w:trPr>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Income</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7"/>
                <w:szCs w:val="17"/>
                <w:color w:val="auto"/>
              </w:rPr>
            </w:pPr>
          </w:p>
        </w:tc>
        <w:tc>
          <w:tcPr>
            <w:tcW w:w="960" w:type="dxa"/>
            <w:vAlign w:val="bottom"/>
          </w:tcPr>
          <w:p>
            <w:pPr>
              <w:jc w:val="center"/>
              <w:ind w:right="5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219,194</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1,476,323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(686,583)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1,115</w:t>
            </w:r>
          </w:p>
        </w:tc>
        <w:tc>
          <w:tcPr>
            <w:tcW w:w="10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1,050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792,015</w:t>
            </w:r>
          </w:p>
        </w:tc>
        <w:tc>
          <w:tcPr>
            <w:tcW w:w="0" w:type="dxa"/>
            <w:vAlign w:val="bottom"/>
          </w:tcPr>
          <w:p>
            <w:pPr>
              <w:spacing w:after="0"/>
              <w:rPr>
                <w:sz w:val="1"/>
                <w:szCs w:val="1"/>
                <w:color w:val="auto"/>
              </w:rPr>
            </w:pPr>
          </w:p>
        </w:tc>
      </w:tr>
      <w:tr>
        <w:trPr>
          <w:trHeight w:val="324"/>
        </w:trPr>
        <w:tc>
          <w:tcPr>
            <w:tcW w:w="720" w:type="dxa"/>
            <w:vAlign w:val="bottom"/>
          </w:tcPr>
          <w:p>
            <w:pPr>
              <w:jc w:val="right"/>
              <w:spacing w:after="0"/>
              <w:rPr>
                <w:sz w:val="20"/>
                <w:szCs w:val="20"/>
                <w:color w:val="auto"/>
              </w:rPr>
            </w:pPr>
            <w:r>
              <w:rPr>
                <w:rFonts w:ascii="Arial" w:cs="Arial" w:eastAsia="Arial" w:hAnsi="Arial"/>
                <w:sz w:val="13"/>
                <w:szCs w:val="13"/>
                <w:color w:val="auto"/>
              </w:rPr>
              <w:t>1,277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4,920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4,921</w:t>
            </w:r>
          </w:p>
        </w:tc>
        <w:tc>
          <w:tcPr>
            <w:tcW w:w="0" w:type="dxa"/>
            <w:vAlign w:val="bottom"/>
          </w:tcPr>
          <w:p>
            <w:pPr>
              <w:spacing w:after="0"/>
              <w:rPr>
                <w:sz w:val="1"/>
                <w:szCs w:val="1"/>
                <w:color w:val="auto"/>
              </w:rPr>
            </w:pPr>
          </w:p>
        </w:tc>
      </w:tr>
      <w:tr>
        <w:trPr>
          <w:trHeight w:val="324"/>
        </w:trPr>
        <w:tc>
          <w:tcPr>
            <w:tcW w:w="720" w:type="dxa"/>
            <w:vAlign w:val="bottom"/>
          </w:tcPr>
          <w:p>
            <w:pPr>
              <w:jc w:val="right"/>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799</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40,532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40,532</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986</w:t>
            </w:r>
          </w:p>
        </w:tc>
        <w:tc>
          <w:tcPr>
            <w:tcW w:w="0" w:type="dxa"/>
            <w:vAlign w:val="bottom"/>
          </w:tcPr>
          <w:p>
            <w:pPr>
              <w:spacing w:after="0"/>
              <w:rPr>
                <w:sz w:val="1"/>
                <w:szCs w:val="1"/>
                <w:color w:val="auto"/>
              </w:rPr>
            </w:pPr>
          </w:p>
        </w:tc>
      </w:tr>
      <w:tr>
        <w:trPr>
          <w:trHeight w:val="324"/>
        </w:trPr>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(24,531)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(24,531)</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97"/>
        </w:trPr>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83"/>
        </w:trPr>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220,954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1,523,873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(711,114)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814,785</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394335</wp:posOffset>
            </wp:positionV>
            <wp:extent cx="7098030" cy="1525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525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180"/>
            <w:col w:w="7340"/>
          </w:cols>
          <w:pgMar w:left="340" w:top="341"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left="2620"/>
        <w:spacing w:after="0"/>
        <w:rPr>
          <w:sz w:val="20"/>
          <w:szCs w:val="20"/>
          <w:color w:val="auto"/>
        </w:rPr>
      </w:pPr>
      <w:r>
        <w:rPr>
          <w:rFonts w:ascii="Arial" w:cs="Arial" w:eastAsia="Arial" w:hAnsi="Arial"/>
          <w:sz w:val="13"/>
          <w:szCs w:val="13"/>
          <w:b w:val="1"/>
          <w:bCs w:val="1"/>
          <w:color w:val="auto"/>
        </w:rPr>
        <w:t>Redeemable</w:t>
      </w:r>
    </w:p>
    <w:p>
      <w:pPr>
        <w:jc w:val="center"/>
        <w:ind w:left="2620"/>
        <w:spacing w:after="0" w:line="216" w:lineRule="auto"/>
        <w:rPr>
          <w:sz w:val="20"/>
          <w:szCs w:val="20"/>
          <w:color w:val="auto"/>
        </w:rPr>
      </w:pPr>
      <w:r>
        <w:rPr>
          <w:rFonts w:ascii="Arial" w:cs="Arial" w:eastAsia="Arial" w:hAnsi="Arial"/>
          <w:sz w:val="13"/>
          <w:szCs w:val="13"/>
          <w:b w:val="1"/>
          <w:bCs w:val="1"/>
          <w:color w:val="auto"/>
        </w:rPr>
        <w:t>Convertible</w:t>
      </w:r>
    </w:p>
    <w:p>
      <w:pPr>
        <w:jc w:val="center"/>
        <w:ind w:left="2620"/>
        <w:spacing w:after="0"/>
        <w:rPr>
          <w:sz w:val="20"/>
          <w:szCs w:val="20"/>
          <w:color w:val="auto"/>
        </w:rPr>
      </w:pPr>
      <w:r>
        <w:rPr>
          <w:rFonts w:ascii="Arial" w:cs="Arial" w:eastAsia="Arial" w:hAnsi="Arial"/>
          <w:sz w:val="13"/>
          <w:szCs w:val="13"/>
          <w:b w:val="1"/>
          <w:bCs w:val="1"/>
          <w:color w:val="auto"/>
        </w:rPr>
        <w:t>Preferred Stock</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w w:val="87"/>
              </w:rPr>
              <w:t>Shares</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75"/>
        </w:trPr>
        <w:tc>
          <w:tcPr>
            <w:tcW w:w="3240" w:type="dxa"/>
            <w:vAlign w:val="bottom"/>
            <w:gridSpan w:val="2"/>
          </w:tcPr>
          <w:p>
            <w:pPr>
              <w:spacing w:after="0"/>
              <w:rPr>
                <w:sz w:val="20"/>
                <w:szCs w:val="20"/>
                <w:color w:val="auto"/>
              </w:rPr>
            </w:pPr>
            <w:r>
              <w:rPr>
                <w:rFonts w:ascii="Arial" w:cs="Arial" w:eastAsia="Arial" w:hAnsi="Arial"/>
                <w:sz w:val="13"/>
                <w:szCs w:val="13"/>
                <w:b w:val="1"/>
                <w:bCs w:val="1"/>
                <w:color w:val="auto"/>
              </w:rPr>
              <w:t>Balances at July 31, 2019</w:t>
            </w:r>
          </w:p>
        </w:tc>
        <w:tc>
          <w:tcPr>
            <w:tcW w:w="320" w:type="dxa"/>
            <w:vAlign w:val="bottom"/>
            <w:gridSpan w:val="2"/>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ind w:left="5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2"/>
        </w:trPr>
        <w:tc>
          <w:tcPr>
            <w:tcW w:w="3240" w:type="dxa"/>
            <w:vAlign w:val="bottom"/>
            <w:gridSpan w:val="2"/>
          </w:tcPr>
          <w:p>
            <w:pPr>
              <w:spacing w:after="0"/>
              <w:rPr>
                <w:sz w:val="20"/>
                <w:szCs w:val="20"/>
                <w:color w:val="auto"/>
              </w:rPr>
            </w:pPr>
            <w:r>
              <w:rPr>
                <w:rFonts w:ascii="Arial" w:cs="Arial" w:eastAsia="Arial" w:hAnsi="Arial"/>
                <w:sz w:val="13"/>
                <w:szCs w:val="13"/>
                <w:color w:val="auto"/>
              </w:rPr>
              <w:t>Issuance of common stock upon exercise of</w:t>
            </w: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vMerge w:val="restart"/>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240" w:type="dxa"/>
            <w:vAlign w:val="bottom"/>
            <w:gridSpan w:val="2"/>
          </w:tcPr>
          <w:p>
            <w:pPr>
              <w:spacing w:after="0"/>
              <w:rPr>
                <w:sz w:val="20"/>
                <w:szCs w:val="20"/>
                <w:color w:val="auto"/>
              </w:rPr>
            </w:pPr>
            <w:r>
              <w:rPr>
                <w:rFonts w:ascii="Arial" w:cs="Arial" w:eastAsia="Arial" w:hAnsi="Arial"/>
                <w:sz w:val="13"/>
                <w:szCs w:val="13"/>
                <w:color w:val="auto"/>
              </w:rPr>
              <w:t>options</w:t>
            </w: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3"/>
                <w:szCs w:val="13"/>
                <w:color w:val="auto"/>
              </w:rPr>
              <w:t>Vesting of early exercised options</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3"/>
                <w:szCs w:val="13"/>
                <w:color w:val="auto"/>
              </w:rPr>
              <w:t>Stock-based compensation expense</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3"/>
                <w:szCs w:val="13"/>
                <w:color w:val="auto"/>
              </w:rPr>
              <w:t>Capitalized stock-based compensation</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3"/>
                <w:szCs w:val="13"/>
                <w:b w:val="1"/>
                <w:bCs w:val="1"/>
                <w:color w:val="auto"/>
              </w:rPr>
              <w:t>Balances at October 31, 2019</w:t>
            </w:r>
          </w:p>
        </w:tc>
        <w:tc>
          <w:tcPr>
            <w:tcW w:w="320" w:type="dxa"/>
            <w:vAlign w:val="bottom"/>
            <w:gridSpan w:val="2"/>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ind w:left="5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Accumulated</w:t>
            </w:r>
          </w:p>
        </w:tc>
        <w:tc>
          <w:tcPr>
            <w:tcW w:w="220" w:type="dxa"/>
            <w:vAlign w:val="bottom"/>
          </w:tcPr>
          <w:p>
            <w:pPr>
              <w:spacing w:after="0"/>
              <w:rPr>
                <w:sz w:val="12"/>
                <w:szCs w:val="12"/>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620" w:type="dxa"/>
            <w:vAlign w:val="bottom"/>
            <w:gridSpan w:val="4"/>
            <w:vMerge w:val="restart"/>
          </w:tcPr>
          <w:p>
            <w:pPr>
              <w:jc w:val="right"/>
              <w:ind w:right="313"/>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6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40"/>
              <w:spacing w:after="0" w:line="101"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08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260" w:type="dxa"/>
            <w:vAlign w:val="bottom"/>
            <w:gridSpan w:val="2"/>
          </w:tcPr>
          <w:p>
            <w:pPr>
              <w:jc w:val="center"/>
              <w:ind w:right="240"/>
              <w:spacing w:after="0" w:line="101" w:lineRule="exact"/>
              <w:rPr>
                <w:sz w:val="20"/>
                <w:szCs w:val="20"/>
                <w:color w:val="auto"/>
              </w:rPr>
            </w:pPr>
            <w:r>
              <w:rPr>
                <w:rFonts w:ascii="Arial" w:cs="Arial" w:eastAsia="Arial" w:hAnsi="Arial"/>
                <w:sz w:val="11"/>
                <w:szCs w:val="11"/>
                <w:b w:val="1"/>
                <w:bCs w:val="1"/>
                <w:color w:val="auto"/>
              </w:rPr>
              <w:t>Comprehensive</w:t>
            </w:r>
          </w:p>
        </w:tc>
        <w:tc>
          <w:tcPr>
            <w:tcW w:w="112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6"/>
        </w:trPr>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Loss</w:t>
            </w:r>
          </w:p>
        </w:tc>
        <w:tc>
          <w:tcPr>
            <w:tcW w:w="22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205,193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1,302,098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(573,574)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(530)</w:t>
            </w:r>
          </w:p>
        </w:tc>
        <w:tc>
          <w:tcPr>
            <w:tcW w:w="120" w:type="dxa"/>
            <w:vAlign w:val="bottom"/>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728,097</w:t>
            </w:r>
          </w:p>
        </w:tc>
        <w:tc>
          <w:tcPr>
            <w:tcW w:w="0" w:type="dxa"/>
            <w:vAlign w:val="bottom"/>
          </w:tcPr>
          <w:p>
            <w:pPr>
              <w:spacing w:after="0"/>
              <w:rPr>
                <w:sz w:val="1"/>
                <w:szCs w:val="1"/>
                <w:color w:val="auto"/>
              </w:rPr>
            </w:pPr>
          </w:p>
        </w:tc>
      </w:tr>
      <w:tr>
        <w:trPr>
          <w:trHeight w:val="324"/>
        </w:trPr>
        <w:tc>
          <w:tcPr>
            <w:tcW w:w="740" w:type="dxa"/>
            <w:vAlign w:val="bottom"/>
          </w:tcPr>
          <w:p>
            <w:pPr>
              <w:jc w:val="right"/>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962</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21,966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21,966</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(35,505)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(35,505)</w:t>
            </w:r>
          </w:p>
        </w:tc>
        <w:tc>
          <w:tcPr>
            <w:tcW w:w="0" w:type="dxa"/>
            <w:vAlign w:val="bottom"/>
          </w:tcPr>
          <w:p>
            <w:pPr>
              <w:spacing w:after="0"/>
              <w:rPr>
                <w:sz w:val="1"/>
                <w:szCs w:val="1"/>
                <w:color w:val="auto"/>
              </w:rPr>
            </w:pPr>
          </w:p>
        </w:tc>
      </w:tr>
      <w:tr>
        <w:trPr>
          <w:trHeight w:val="197"/>
        </w:trPr>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183"/>
        </w:trPr>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205,479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1,326,116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(609,079)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717,042</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20" w:space="220"/>
            <w:col w:w="6580"/>
          </w:cols>
          <w:pgMar w:left="340" w:top="341"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type w:val="continuous"/>
        </w:sectPr>
      </w:pPr>
    </w:p>
    <w:bookmarkStart w:id="9" w:name="page10"/>
    <w:bookmarkEnd w:id="9"/>
    <w:p>
      <w:pPr>
        <w:ind w:left="6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Redeemable Convertible Preferred Stock and Stockholders’ Equity (Deficit)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October 31, 2020 and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32320" cy="2263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63140"/>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left="2300"/>
        <w:spacing w:after="0"/>
        <w:rPr>
          <w:sz w:val="20"/>
          <w:szCs w:val="20"/>
          <w:color w:val="auto"/>
        </w:rPr>
      </w:pPr>
      <w:r>
        <w:rPr>
          <w:rFonts w:ascii="Arial" w:cs="Arial" w:eastAsia="Arial" w:hAnsi="Arial"/>
          <w:sz w:val="13"/>
          <w:szCs w:val="13"/>
          <w:b w:val="1"/>
          <w:bCs w:val="1"/>
          <w:color w:val="auto"/>
        </w:rPr>
        <w:t>Redeemable Convertible</w:t>
      </w:r>
    </w:p>
    <w:p>
      <w:pPr>
        <w:jc w:val="center"/>
        <w:ind w:left="2300"/>
        <w:spacing w:after="0"/>
        <w:rPr>
          <w:sz w:val="20"/>
          <w:szCs w:val="20"/>
          <w:color w:val="auto"/>
        </w:rPr>
      </w:pPr>
      <w:r>
        <w:rPr>
          <w:rFonts w:ascii="Arial" w:cs="Arial" w:eastAsia="Arial" w:hAnsi="Arial"/>
          <w:sz w:val="13"/>
          <w:szCs w:val="13"/>
          <w:b w:val="1"/>
          <w:bCs w:val="1"/>
          <w:color w:val="auto"/>
        </w:rPr>
        <w:t>Preferred Stock</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3"/>
                <w:szCs w:val="13"/>
                <w:b w:val="1"/>
                <w:bCs w:val="1"/>
                <w:color w:val="auto"/>
              </w:rPr>
              <w:t>Balances at January 31, 2020</w:t>
            </w:r>
          </w:p>
        </w:tc>
        <w:tc>
          <w:tcPr>
            <w:tcW w:w="820" w:type="dxa"/>
            <w:vAlign w:val="bottom"/>
            <w:gridSpan w:val="2"/>
          </w:tcPr>
          <w:p>
            <w:pPr>
              <w:ind w:left="5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2"/>
        </w:trPr>
        <w:tc>
          <w:tcPr>
            <w:tcW w:w="2280" w:type="dxa"/>
            <w:vAlign w:val="bottom"/>
          </w:tcPr>
          <w:p>
            <w:pPr>
              <w:spacing w:after="0"/>
              <w:rPr>
                <w:sz w:val="20"/>
                <w:szCs w:val="20"/>
                <w:color w:val="auto"/>
              </w:rPr>
            </w:pPr>
            <w:r>
              <w:rPr>
                <w:rFonts w:ascii="Arial" w:cs="Arial" w:eastAsia="Arial" w:hAnsi="Arial"/>
                <w:sz w:val="13"/>
                <w:szCs w:val="13"/>
                <w:color w:val="auto"/>
                <w:w w:val="94"/>
              </w:rPr>
              <w:t>Issuance of common stock upon exercise</w:t>
            </w:r>
          </w:p>
        </w:tc>
        <w:tc>
          <w:tcPr>
            <w:tcW w:w="82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80" w:type="dxa"/>
            <w:vAlign w:val="bottom"/>
          </w:tcPr>
          <w:p>
            <w:pPr>
              <w:spacing w:after="0"/>
              <w:rPr>
                <w:sz w:val="20"/>
                <w:szCs w:val="20"/>
                <w:color w:val="auto"/>
              </w:rPr>
            </w:pPr>
            <w:r>
              <w:rPr>
                <w:rFonts w:ascii="Arial" w:cs="Arial" w:eastAsia="Arial" w:hAnsi="Arial"/>
                <w:sz w:val="13"/>
                <w:szCs w:val="13"/>
                <w:color w:val="auto"/>
              </w:rPr>
              <w:t>of options</w:t>
            </w: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20"/>
                <w:szCs w:val="20"/>
                <w:color w:val="auto"/>
              </w:rPr>
            </w:pPr>
            <w:r>
              <w:rPr>
                <w:rFonts w:ascii="Arial" w:cs="Arial" w:eastAsia="Arial" w:hAnsi="Arial"/>
                <w:sz w:val="13"/>
                <w:szCs w:val="13"/>
                <w:color w:val="auto"/>
              </w:rPr>
              <w:t>Issuance of common stock under RSU</w:t>
            </w:r>
          </w:p>
        </w:tc>
        <w:tc>
          <w:tcPr>
            <w:tcW w:w="82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80" w:type="dxa"/>
            <w:vAlign w:val="bottom"/>
          </w:tcPr>
          <w:p>
            <w:pPr>
              <w:spacing w:after="0"/>
              <w:rPr>
                <w:sz w:val="20"/>
                <w:szCs w:val="20"/>
                <w:color w:val="auto"/>
              </w:rPr>
            </w:pPr>
            <w:r>
              <w:rPr>
                <w:rFonts w:ascii="Arial" w:cs="Arial" w:eastAsia="Arial" w:hAnsi="Arial"/>
                <w:sz w:val="13"/>
                <w:szCs w:val="13"/>
                <w:color w:val="auto"/>
              </w:rPr>
              <w:t>release</w:t>
            </w: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20"/>
                <w:szCs w:val="20"/>
                <w:color w:val="auto"/>
              </w:rPr>
            </w:pPr>
            <w:r>
              <w:rPr>
                <w:rFonts w:ascii="Arial" w:cs="Arial" w:eastAsia="Arial" w:hAnsi="Arial"/>
                <w:sz w:val="13"/>
                <w:szCs w:val="13"/>
                <w:color w:val="auto"/>
              </w:rPr>
              <w:t>Issuance of common stock under</w:t>
            </w:r>
          </w:p>
        </w:tc>
        <w:tc>
          <w:tcPr>
            <w:tcW w:w="82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8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Vesting of early exercised options</w:t>
            </w:r>
          </w:p>
        </w:tc>
        <w:tc>
          <w:tcPr>
            <w:tcW w:w="8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Capitalized stock-based compensation</w:t>
            </w:r>
          </w:p>
        </w:tc>
        <w:tc>
          <w:tcPr>
            <w:tcW w:w="8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280" w:type="dxa"/>
            <w:vAlign w:val="bottom"/>
          </w:tcPr>
          <w:p>
            <w:pPr>
              <w:spacing w:after="0"/>
              <w:rPr>
                <w:sz w:val="20"/>
                <w:szCs w:val="20"/>
                <w:color w:val="auto"/>
              </w:rPr>
            </w:pPr>
            <w:r>
              <w:rPr>
                <w:rFonts w:ascii="Arial" w:cs="Arial" w:eastAsia="Arial" w:hAnsi="Arial"/>
                <w:sz w:val="13"/>
                <w:szCs w:val="13"/>
                <w:color w:val="auto"/>
                <w:w w:val="98"/>
              </w:rPr>
              <w:t>Fair value of replacement equity awards</w:t>
            </w:r>
          </w:p>
        </w:tc>
        <w:tc>
          <w:tcPr>
            <w:tcW w:w="82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80" w:type="dxa"/>
            <w:vAlign w:val="bottom"/>
          </w:tcPr>
          <w:p>
            <w:pPr>
              <w:spacing w:after="0"/>
              <w:rPr>
                <w:sz w:val="20"/>
                <w:szCs w:val="20"/>
                <w:color w:val="auto"/>
              </w:rPr>
            </w:pPr>
            <w:r>
              <w:rPr>
                <w:rFonts w:ascii="Arial" w:cs="Arial" w:eastAsia="Arial" w:hAnsi="Arial"/>
                <w:sz w:val="13"/>
                <w:szCs w:val="13"/>
                <w:color w:val="auto"/>
              </w:rPr>
              <w:t>attributable to pre-acquisition service</w:t>
            </w: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color w:val="auto"/>
              </w:rPr>
              <w:t>Non-controlling interest</w:t>
            </w:r>
          </w:p>
        </w:tc>
        <w:tc>
          <w:tcPr>
            <w:tcW w:w="8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3"/>
                <w:szCs w:val="13"/>
                <w:b w:val="1"/>
                <w:bCs w:val="1"/>
                <w:color w:val="auto"/>
              </w:rPr>
              <w:t>Balances at October 31, 2020</w:t>
            </w:r>
          </w:p>
        </w:tc>
        <w:tc>
          <w:tcPr>
            <w:tcW w:w="820" w:type="dxa"/>
            <w:vAlign w:val="bottom"/>
            <w:gridSpan w:val="2"/>
          </w:tcPr>
          <w:p>
            <w:pPr>
              <w:ind w:left="5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00" w:type="dxa"/>
            <w:vAlign w:val="bottom"/>
            <w:gridSpan w:val="4"/>
            <w:vMerge w:val="restart"/>
          </w:tcPr>
          <w:p>
            <w:pPr>
              <w:jc w:val="right"/>
              <w:ind w:right="233"/>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3"/>
                <w:szCs w:val="13"/>
                <w:color w:val="auto"/>
              </w:rPr>
            </w:pPr>
          </w:p>
        </w:tc>
        <w:tc>
          <w:tcPr>
            <w:tcW w:w="960" w:type="dxa"/>
            <w:vAlign w:val="bottom"/>
          </w:tcPr>
          <w:p>
            <w:pPr>
              <w:jc w:val="center"/>
              <w:ind w:right="5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6"/>
        </w:trPr>
        <w:tc>
          <w:tcPr>
            <w:tcW w:w="15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8"/>
                <w:szCs w:val="8"/>
                <w:color w:val="auto"/>
              </w:rPr>
            </w:pPr>
          </w:p>
        </w:tc>
        <w:tc>
          <w:tcPr>
            <w:tcW w:w="104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1180" w:type="dxa"/>
            <w:vAlign w:val="bottom"/>
            <w:gridSpan w:val="2"/>
          </w:tcPr>
          <w:p>
            <w:pPr>
              <w:jc w:val="center"/>
              <w:ind w:right="240"/>
              <w:spacing w:after="0" w:line="101"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8"/>
                <w:szCs w:val="8"/>
                <w:color w:val="auto"/>
              </w:rPr>
            </w:pPr>
          </w:p>
        </w:tc>
        <w:tc>
          <w:tcPr>
            <w:tcW w:w="880" w:type="dxa"/>
            <w:vAlign w:val="bottom"/>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rPr>
              <w:t>controlling</w:t>
            </w:r>
          </w:p>
        </w:tc>
        <w:tc>
          <w:tcPr>
            <w:tcW w:w="120" w:type="dxa"/>
            <w:vAlign w:val="bottom"/>
          </w:tcPr>
          <w:p>
            <w:pPr>
              <w:spacing w:after="0"/>
              <w:rPr>
                <w:sz w:val="8"/>
                <w:szCs w:val="8"/>
                <w:color w:val="auto"/>
              </w:rPr>
            </w:pPr>
          </w:p>
        </w:tc>
        <w:tc>
          <w:tcPr>
            <w:tcW w:w="960" w:type="dxa"/>
            <w:vAlign w:val="bottom"/>
          </w:tcPr>
          <w:p>
            <w:pPr>
              <w:jc w:val="center"/>
              <w:ind w:right="53"/>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6"/>
        </w:trPr>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Income</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7"/>
                <w:szCs w:val="17"/>
                <w:color w:val="auto"/>
              </w:rPr>
            </w:pPr>
          </w:p>
        </w:tc>
        <w:tc>
          <w:tcPr>
            <w:tcW w:w="960" w:type="dxa"/>
            <w:vAlign w:val="bottom"/>
          </w:tcPr>
          <w:p>
            <w:pPr>
              <w:jc w:val="center"/>
              <w:ind w:right="5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212,948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106</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1,378,479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(637,487)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1,009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742,607</w:t>
            </w:r>
          </w:p>
        </w:tc>
        <w:tc>
          <w:tcPr>
            <w:tcW w:w="0" w:type="dxa"/>
            <w:vAlign w:val="bottom"/>
          </w:tcPr>
          <w:p>
            <w:pPr>
              <w:spacing w:after="0"/>
              <w:rPr>
                <w:sz w:val="1"/>
                <w:szCs w:val="1"/>
                <w:color w:val="auto"/>
              </w:rPr>
            </w:pPr>
          </w:p>
        </w:tc>
      </w:tr>
      <w:tr>
        <w:trPr>
          <w:trHeight w:val="324"/>
        </w:trPr>
        <w:tc>
          <w:tcPr>
            <w:tcW w:w="700" w:type="dxa"/>
            <w:vAlign w:val="bottom"/>
          </w:tcPr>
          <w:p>
            <w:pPr>
              <w:jc w:val="right"/>
              <w:spacing w:after="0"/>
              <w:rPr>
                <w:sz w:val="20"/>
                <w:szCs w:val="20"/>
                <w:color w:val="auto"/>
              </w:rPr>
            </w:pPr>
            <w:r>
              <w:rPr>
                <w:rFonts w:ascii="Arial" w:cs="Arial" w:eastAsia="Arial" w:hAnsi="Arial"/>
                <w:sz w:val="13"/>
                <w:szCs w:val="13"/>
                <w:color w:val="auto"/>
              </w:rPr>
              <w:t>5,966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21,517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21,522</w:t>
            </w:r>
          </w:p>
        </w:tc>
        <w:tc>
          <w:tcPr>
            <w:tcW w:w="0" w:type="dxa"/>
            <w:vAlign w:val="bottom"/>
          </w:tcPr>
          <w:p>
            <w:pPr>
              <w:spacing w:after="0"/>
              <w:rPr>
                <w:sz w:val="1"/>
                <w:szCs w:val="1"/>
                <w:color w:val="auto"/>
              </w:rPr>
            </w:pPr>
          </w:p>
        </w:tc>
      </w:tr>
      <w:tr>
        <w:trPr>
          <w:trHeight w:val="324"/>
        </w:trPr>
        <w:tc>
          <w:tcPr>
            <w:tcW w:w="700" w:type="dxa"/>
            <w:vAlign w:val="bottom"/>
          </w:tcPr>
          <w:p>
            <w:pPr>
              <w:jc w:val="right"/>
              <w:spacing w:after="0"/>
              <w:rPr>
                <w:sz w:val="20"/>
                <w:szCs w:val="20"/>
                <w:color w:val="auto"/>
              </w:rPr>
            </w:pPr>
            <w:r>
              <w:rPr>
                <w:rFonts w:ascii="Arial" w:cs="Arial" w:eastAsia="Arial" w:hAnsi="Arial"/>
                <w:sz w:val="13"/>
                <w:szCs w:val="13"/>
                <w:color w:val="auto"/>
              </w:rPr>
              <w:t>1,475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700" w:type="dxa"/>
            <w:vAlign w:val="bottom"/>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17,284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17,284</w:t>
            </w: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2,521</w:t>
            </w: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101,883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101,883</w:t>
            </w: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1,876</w:t>
            </w:r>
          </w:p>
        </w:tc>
        <w:tc>
          <w:tcPr>
            <w:tcW w:w="0" w:type="dxa"/>
            <w:vAlign w:val="bottom"/>
          </w:tcPr>
          <w:p>
            <w:pPr>
              <w:spacing w:after="0"/>
              <w:rPr>
                <w:sz w:val="1"/>
                <w:szCs w:val="1"/>
                <w:color w:val="auto"/>
              </w:rPr>
            </w:pPr>
          </w:p>
        </w:tc>
      </w:tr>
      <w:tr>
        <w:trPr>
          <w:trHeight w:val="324"/>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(73,627)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(73,627)</w:t>
            </w: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97"/>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183"/>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220,954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1,523,873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(711,114)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814,785</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394335</wp:posOffset>
            </wp:positionV>
            <wp:extent cx="7132320" cy="2846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46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200"/>
            <w:col w:w="7180"/>
          </w:cols>
          <w:pgMar w:left="340" w:top="341" w:right="3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800" w:type="dxa"/>
            <w:vAlign w:val="bottom"/>
            <w:gridSpan w:val="4"/>
          </w:tcPr>
          <w:p>
            <w:pPr>
              <w:jc w:val="right"/>
              <w:ind w:right="113"/>
              <w:spacing w:after="0"/>
              <w:rPr>
                <w:sz w:val="20"/>
                <w:szCs w:val="20"/>
                <w:color w:val="auto"/>
              </w:rPr>
            </w:pPr>
            <w:r>
              <w:rPr>
                <w:rFonts w:ascii="Arial" w:cs="Arial" w:eastAsia="Arial" w:hAnsi="Arial"/>
                <w:sz w:val="13"/>
                <w:szCs w:val="13"/>
                <w:b w:val="1"/>
                <w:bCs w:val="1"/>
                <w:color w:val="auto"/>
              </w:rPr>
              <w:t>Redeemable Convertible</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8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20"/>
                <w:szCs w:val="20"/>
                <w:color w:val="auto"/>
              </w:rPr>
            </w:pPr>
            <w:r>
              <w:rPr>
                <w:rFonts w:ascii="Arial" w:cs="Arial" w:eastAsia="Arial" w:hAnsi="Arial"/>
                <w:sz w:val="13"/>
                <w:szCs w:val="13"/>
                <w:b w:val="1"/>
                <w:bCs w:val="1"/>
                <w:color w:val="auto"/>
              </w:rPr>
              <w:t>Balances at January 31, 2019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131,268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557,912</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3"/>
                <w:szCs w:val="13"/>
                <w:color w:val="auto"/>
              </w:rPr>
              <w:t>Cumulative effect of accounting change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Issuance of common stock upon initial public</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3"/>
                <w:szCs w:val="13"/>
                <w:color w:val="auto"/>
              </w:rPr>
              <w:t>offering, net of underwriting discounts and</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Arial" w:cs="Arial" w:eastAsia="Arial" w:hAnsi="Arial"/>
                <w:sz w:val="13"/>
                <w:szCs w:val="13"/>
                <w:color w:val="auto"/>
              </w:rPr>
              <w:t>issuance costs</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w w:val="95"/>
              </w:rPr>
              <w:t>Conversion of redeemable convertible preferred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3"/>
                <w:szCs w:val="13"/>
                <w:color w:val="auto"/>
              </w:rPr>
              <w:t>stock to common stock upon initial public</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(131,268)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(557,912)</w:t>
            </w: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Arial" w:cs="Arial" w:eastAsia="Arial" w:hAnsi="Arial"/>
                <w:sz w:val="13"/>
                <w:szCs w:val="13"/>
                <w:color w:val="auto"/>
              </w:rPr>
              <w:t>offering</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Reclassification of redeemable convertible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3"/>
                <w:szCs w:val="13"/>
                <w:color w:val="auto"/>
              </w:rPr>
              <w:t>preferred stock warrant liability to additional</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Arial" w:cs="Arial" w:eastAsia="Arial" w:hAnsi="Arial"/>
                <w:sz w:val="13"/>
                <w:szCs w:val="13"/>
                <w:color w:val="auto"/>
              </w:rPr>
              <w:t>paid-in capital upon initial public offering</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3"/>
                <w:szCs w:val="13"/>
                <w:color w:val="auto"/>
              </w:rPr>
              <w:t>Net exercise of common stock warrants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Issuance of common stock upon exercise of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Arial" w:cs="Arial" w:eastAsia="Arial" w:hAnsi="Arial"/>
                <w:sz w:val="13"/>
                <w:szCs w:val="13"/>
                <w:color w:val="auto"/>
              </w:rPr>
              <w:t>options</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Issuance of common stock related to early</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Arial" w:cs="Arial" w:eastAsia="Arial" w:hAnsi="Arial"/>
                <w:sz w:val="13"/>
                <w:szCs w:val="13"/>
                <w:color w:val="auto"/>
              </w:rPr>
              <w:t>exercise options</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3"/>
                <w:szCs w:val="13"/>
                <w:color w:val="auto"/>
              </w:rPr>
              <w:t>Vesting of early exercised options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3"/>
                <w:szCs w:val="13"/>
                <w:color w:val="auto"/>
              </w:rPr>
              <w:t>Capitalized 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3"/>
                <w:szCs w:val="13"/>
                <w:b w:val="1"/>
                <w:bCs w:val="1"/>
                <w:color w:val="auto"/>
              </w:rPr>
              <w:t>Balances at October 31, 2019</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gridSpan w:val="4"/>
            <w:vMerge w:val="restart"/>
          </w:tcPr>
          <w:p>
            <w:pPr>
              <w:jc w:val="right"/>
              <w:ind w:right="293"/>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Accumulated Other</w:t>
            </w:r>
          </w:p>
        </w:tc>
        <w:tc>
          <w:tcPr>
            <w:tcW w:w="100" w:type="dxa"/>
            <w:vAlign w:val="bottom"/>
          </w:tcPr>
          <w:p>
            <w:pPr>
              <w:spacing w:after="0"/>
              <w:rPr>
                <w:sz w:val="12"/>
                <w:szCs w:val="12"/>
                <w:color w:val="auto"/>
              </w:rPr>
            </w:pPr>
          </w:p>
        </w:tc>
        <w:tc>
          <w:tcPr>
            <w:tcW w:w="104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6"/>
        </w:trPr>
        <w:tc>
          <w:tcPr>
            <w:tcW w:w="16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8"/>
                <w:szCs w:val="8"/>
                <w:color w:val="auto"/>
              </w:rPr>
            </w:pPr>
          </w:p>
        </w:tc>
        <w:tc>
          <w:tcPr>
            <w:tcW w:w="1100" w:type="dxa"/>
            <w:vAlign w:val="bottom"/>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24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1040" w:type="dxa"/>
            <w:vAlign w:val="bottom"/>
          </w:tcPr>
          <w:p>
            <w:pPr>
              <w:jc w:val="center"/>
              <w:ind w:right="13"/>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6"/>
        </w:trPr>
        <w:tc>
          <w:tcPr>
            <w:tcW w:w="86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Income (Loss)</w:t>
            </w:r>
          </w:p>
        </w:tc>
        <w:tc>
          <w:tcPr>
            <w:tcW w:w="100" w:type="dxa"/>
            <w:vAlign w:val="bottom"/>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Arial" w:cs="Arial" w:eastAsia="Arial" w:hAnsi="Arial"/>
                <w:sz w:val="13"/>
                <w:szCs w:val="13"/>
                <w:b w:val="1"/>
                <w:bCs w:val="1"/>
                <w:color w:val="auto"/>
                <w:w w:val="98"/>
              </w:rPr>
              <w:t>Equity (Deficit)</w:t>
            </w:r>
          </w:p>
        </w:tc>
        <w:tc>
          <w:tcPr>
            <w:tcW w:w="0" w:type="dxa"/>
            <w:vAlign w:val="bottom"/>
          </w:tcPr>
          <w:p>
            <w:pPr>
              <w:spacing w:after="0"/>
              <w:rPr>
                <w:sz w:val="1"/>
                <w:szCs w:val="1"/>
                <w:color w:val="auto"/>
              </w:rPr>
            </w:pPr>
          </w:p>
        </w:tc>
      </w:tr>
      <w:tr>
        <w:trPr>
          <w:trHeight w:val="175"/>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47,421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w:t>
            </w:r>
          </w:p>
        </w:tc>
        <w:tc>
          <w:tcPr>
            <w:tcW w:w="12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31,211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(519,126)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(487,793)</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23,418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23,418</w:t>
            </w:r>
          </w:p>
        </w:tc>
        <w:tc>
          <w:tcPr>
            <w:tcW w:w="0" w:type="dxa"/>
            <w:vAlign w:val="bottom"/>
          </w:tcPr>
          <w:p>
            <w:pPr>
              <w:spacing w:after="0"/>
              <w:rPr>
                <w:sz w:val="1"/>
                <w:szCs w:val="1"/>
                <w:color w:val="auto"/>
              </w:rPr>
            </w:pPr>
          </w:p>
        </w:tc>
      </w:tr>
      <w:tr>
        <w:trPr>
          <w:trHeight w:val="459"/>
        </w:trPr>
        <w:tc>
          <w:tcPr>
            <w:tcW w:w="760" w:type="dxa"/>
            <w:vAlign w:val="bottom"/>
          </w:tcPr>
          <w:p>
            <w:pPr>
              <w:jc w:val="right"/>
              <w:spacing w:after="0"/>
              <w:rPr>
                <w:sz w:val="20"/>
                <w:szCs w:val="20"/>
                <w:color w:val="auto"/>
              </w:rPr>
            </w:pPr>
            <w:r>
              <w:rPr>
                <w:rFonts w:ascii="Arial" w:cs="Arial" w:eastAsia="Arial" w:hAnsi="Arial"/>
                <w:sz w:val="13"/>
                <w:szCs w:val="13"/>
                <w:color w:val="auto"/>
              </w:rPr>
              <w:t>20,700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659,207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659,218</w:t>
            </w:r>
          </w:p>
        </w:tc>
        <w:tc>
          <w:tcPr>
            <w:tcW w:w="0" w:type="dxa"/>
            <w:vAlign w:val="bottom"/>
          </w:tcPr>
          <w:p>
            <w:pPr>
              <w:spacing w:after="0"/>
              <w:rPr>
                <w:sz w:val="1"/>
                <w:szCs w:val="1"/>
                <w:color w:val="auto"/>
              </w:rPr>
            </w:pPr>
          </w:p>
        </w:tc>
      </w:tr>
      <w:tr>
        <w:trPr>
          <w:trHeight w:val="459"/>
        </w:trPr>
        <w:tc>
          <w:tcPr>
            <w:tcW w:w="760" w:type="dxa"/>
            <w:vAlign w:val="bottom"/>
          </w:tcPr>
          <w:p>
            <w:pPr>
              <w:jc w:val="right"/>
              <w:spacing w:after="0"/>
              <w:rPr>
                <w:sz w:val="20"/>
                <w:szCs w:val="20"/>
                <w:color w:val="auto"/>
              </w:rPr>
            </w:pPr>
            <w:r>
              <w:rPr>
                <w:rFonts w:ascii="Arial" w:cs="Arial" w:eastAsia="Arial" w:hAnsi="Arial"/>
                <w:sz w:val="13"/>
                <w:szCs w:val="13"/>
                <w:color w:val="auto"/>
              </w:rPr>
              <w:t>131,268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557,846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557,912</w:t>
            </w:r>
          </w:p>
        </w:tc>
        <w:tc>
          <w:tcPr>
            <w:tcW w:w="0" w:type="dxa"/>
            <w:vAlign w:val="bottom"/>
          </w:tcPr>
          <w:p>
            <w:pPr>
              <w:spacing w:after="0"/>
              <w:rPr>
                <w:sz w:val="1"/>
                <w:szCs w:val="1"/>
                <w:color w:val="auto"/>
              </w:rPr>
            </w:pPr>
          </w:p>
        </w:tc>
      </w:tr>
      <w:tr>
        <w:trPr>
          <w:trHeight w:val="459"/>
        </w:trPr>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10,559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10,559</w:t>
            </w:r>
          </w:p>
        </w:tc>
        <w:tc>
          <w:tcPr>
            <w:tcW w:w="0" w:type="dxa"/>
            <w:vAlign w:val="bottom"/>
          </w:tcPr>
          <w:p>
            <w:pPr>
              <w:spacing w:after="0"/>
              <w:rPr>
                <w:sz w:val="1"/>
                <w:szCs w:val="1"/>
                <w:color w:val="auto"/>
              </w:rPr>
            </w:pPr>
          </w:p>
        </w:tc>
      </w:tr>
      <w:tr>
        <w:trPr>
          <w:trHeight w:val="189"/>
        </w:trPr>
        <w:tc>
          <w:tcPr>
            <w:tcW w:w="760" w:type="dxa"/>
            <w:vAlign w:val="bottom"/>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3"/>
                <w:szCs w:val="13"/>
                <w:color w:val="auto"/>
              </w:rPr>
              <w:t>4,731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9,391</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3"/>
                <w:szCs w:val="13"/>
                <w:color w:val="auto"/>
              </w:rPr>
              <w:t>1,037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1,816</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55,577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55,577</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(113,371)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(113,371)</w:t>
            </w:r>
          </w:p>
        </w:tc>
        <w:tc>
          <w:tcPr>
            <w:tcW w:w="0" w:type="dxa"/>
            <w:vAlign w:val="bottom"/>
          </w:tcPr>
          <w:p>
            <w:pPr>
              <w:spacing w:after="0"/>
              <w:rPr>
                <w:sz w:val="1"/>
                <w:szCs w:val="1"/>
                <w:color w:val="auto"/>
              </w:rPr>
            </w:pPr>
          </w:p>
        </w:tc>
      </w:tr>
      <w:tr>
        <w:trPr>
          <w:trHeight w:val="196"/>
        </w:trPr>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83"/>
        </w:trPr>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205,479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1,326,116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(609,079)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717,042</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60" w:space="220"/>
            <w:col w:w="6540"/>
          </w:cols>
          <w:pgMar w:left="340" w:top="341" w:right="339" w:bottom="1440" w:gutter="0" w:footer="0" w:header="0"/>
          <w:type w:val="continuous"/>
        </w:sect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type w:val="continuous"/>
        </w:sectPr>
      </w:pPr>
    </w:p>
    <w:bookmarkStart w:id="10" w:name="page11"/>
    <w:bookmarkEnd w:id="1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jc w:val="center"/>
        <w:spacing w:after="0" w:line="201"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01" w:lineRule="auto"/>
        <w:rPr>
          <w:sz w:val="20"/>
          <w:szCs w:val="20"/>
          <w:color w:val="auto"/>
        </w:rPr>
      </w:pPr>
      <w:r>
        <w:rPr>
          <w:rFonts w:ascii="Arial" w:cs="Arial" w:eastAsia="Arial" w:hAnsi="Arial"/>
          <w:sz w:val="14"/>
          <w:szCs w:val="14"/>
          <w:i w:val="1"/>
          <w:iCs w:val="1"/>
          <w:color w:val="auto"/>
        </w:rPr>
        <w:t>(in thousands)</w:t>
      </w: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0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Nine Months Ended October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(73,627)</w:t>
            </w:r>
          </w:p>
        </w:tc>
        <w:tc>
          <w:tcPr>
            <w:tcW w:w="100" w:type="dxa"/>
            <w:vAlign w:val="bottom"/>
          </w:tcPr>
          <w:p>
            <w:pPr>
              <w:spacing w:after="0"/>
              <w:rPr>
                <w:sz w:val="14"/>
                <w:szCs w:val="14"/>
                <w:color w:val="auto"/>
              </w:rPr>
            </w:pP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(113,371)</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27,728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16,023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intangible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Amortization of 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44,940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24,125</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operating lease cost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Change in fair value of redeemable convertible preferred stock warrant liability</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6,022</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bad debts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101,961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55,577</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sale of debt securities, net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Accretion (amortization) of marketable securities purchased at a discount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(1,313)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interest expense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receivable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(53,631)</w:t>
            </w:r>
          </w:p>
        </w:tc>
        <w:tc>
          <w:tcPr>
            <w:tcW w:w="0" w:type="dxa"/>
            <w:vAlign w:val="bottom"/>
          </w:tcPr>
          <w:p>
            <w:pPr>
              <w:spacing w:after="0"/>
              <w:rPr>
                <w:sz w:val="1"/>
                <w:szCs w:val="1"/>
                <w:color w:val="auto"/>
              </w:rPr>
            </w:pP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(84,741)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(55,238)</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(19,883)</w:t>
            </w:r>
          </w:p>
        </w:tc>
        <w:tc>
          <w:tcPr>
            <w:tcW w:w="0" w:type="dxa"/>
            <w:vAlign w:val="bottom"/>
          </w:tcPr>
          <w:p>
            <w:pPr>
              <w:spacing w:after="0"/>
              <w:rPr>
                <w:sz w:val="1"/>
                <w:szCs w:val="1"/>
                <w:color w:val="auto"/>
              </w:rPr>
            </w:pP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6,556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(3,773)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3,405</w:t>
            </w:r>
          </w:p>
        </w:tc>
        <w:tc>
          <w:tcPr>
            <w:tcW w:w="0" w:type="dxa"/>
            <w:vAlign w:val="bottom"/>
          </w:tcPr>
          <w:p>
            <w:pPr>
              <w:spacing w:after="0"/>
              <w:rPr>
                <w:sz w:val="1"/>
                <w:szCs w:val="1"/>
                <w:color w:val="auto"/>
              </w:rPr>
            </w:pP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Accrued payroll and benefits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18,712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17,621</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Deferred revenue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189,582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157,239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liabilities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7,917</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1"/>
        </w:trPr>
        <w:tc>
          <w:tcPr>
            <w:tcW w:w="8100" w:type="dxa"/>
            <w:vAlign w:val="bottom"/>
          </w:tcPr>
          <w:p>
            <w:pPr>
              <w:ind w:left="360"/>
              <w:spacing w:after="0" w:line="141" w:lineRule="exact"/>
              <w:rPr>
                <w:sz w:val="20"/>
                <w:szCs w:val="20"/>
                <w:color w:val="auto"/>
              </w:rPr>
            </w:pPr>
            <w:r>
              <w:rPr>
                <w:rFonts w:ascii="Arial" w:cs="Arial" w:eastAsia="Arial" w:hAnsi="Arial"/>
                <w:sz w:val="13"/>
                <w:szCs w:val="13"/>
                <w:color w:val="auto"/>
              </w:rPr>
              <w:t>Net cash provided by operating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242,103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33,836</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(40,245)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(66,848)</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internal-use software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(5,208)</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Business acquisition, net of cash acquired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(85,469)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Purchases of marketable securities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(84,904)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(187,697)</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sales of marketable securities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639,586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4,473</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Maturities of marketable securities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91,605</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197,764</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Net cash provided by (used in) investing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512,728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(57,516)</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the issuance of common stock upon initial public offering, net of underwriting discounts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665,092</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Payments of deferred offering costs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(5,872)</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upon exercise of stock options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9,350</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Proceeds from the issuance of common stock upon exercise of early exercisable stock options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10,264</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17,284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Capital contributions from non-controlling interest holders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Net cash provided by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678,834</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foreign exchange rates on cash and cash equivalents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691</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Net increase in cash and cash equivalents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795,128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655,197</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264,798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88,408</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1,059,926</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743,605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920" w:type="dxa"/>
            <w:vAlign w:val="bottom"/>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Income taxes paid, net of refunds received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1,563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1,054</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Conversion of redeemable convertible preferred stock to common stock</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557,912</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redeemable convertible preferred stock warrant liabilities reclassified to additional paid-in capital</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10,559</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Net increase (decrease) in deferred offering costs, accrued but not paid</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(2,858)</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property and equipment included in accounts payable and accrued expenses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2,521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1,816</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consideration for acquisitions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right="7180" w:hanging="652"/>
        <w:spacing w:after="0" w:line="500" w:lineRule="auto"/>
        <w:tabs>
          <w:tab w:leader="none" w:pos="327"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 and Basis of Presentation Business</w:t>
      </w:r>
    </w:p>
    <w:p>
      <w:pPr>
        <w:spacing w:after="0" w:line="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CrowdStrike Holdings, Inc. (the “Company”) was formed on November 7, 2011. The Company provides a leading cloud-delivered solution for next-generation endpoint and cloud workload protection that offers 16 cloud modules on its Falcon platform via a software as a service (“SaaS”) subscription-based model that spans multiple large security markets, including corporate workload security, security and vulnerability management, managed security services, IT operations management, and threat intelligence services. Additionally, with the recent acquisition of Preempt Security, the Company entered the identity protection market. The Company is headquartered in Sunnyvale, California. The Company conducts its business in the United States, as well as locations internationally, including in Australia, Germany, India, Romania, Israel and the United Kingdom.</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14, 2019, the Company closed its initial public offering (“IPO”), in which it sold 20,700,000 shares of Class A common stock. The shares were sold at a public offering price of $34.00 per share for net proceeds of $659.2 million, after deducting underwriters’ discounts and commissions and offering expenses of $44.8 million. Immediately prior to the closing of the IPO, all outstanding shares of redeemable convertible preferred stock automatically converted 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2020,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nine months ended October 31, 2020 are not necessarily indicative of the results to be expected for the year ending January 31, 2021 or for any other interim period or for any other future year.</w:t>
      </w:r>
    </w:p>
    <w:p>
      <w:pPr>
        <w:spacing w:after="0" w:line="166" w:lineRule="exact"/>
        <w:rPr>
          <w:sz w:val="20"/>
          <w:szCs w:val="20"/>
          <w:color w:val="auto"/>
        </w:rPr>
      </w:pPr>
    </w:p>
    <w:p>
      <w:pPr>
        <w:ind w:left="660" w:right="7580" w:hanging="652"/>
        <w:spacing w:after="0" w:line="530" w:lineRule="auto"/>
        <w:tabs>
          <w:tab w:leader="none" w:pos="327"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Principles of Consolidation</w:t>
      </w:r>
    </w:p>
    <w:p>
      <w:pPr>
        <w:spacing w:after="0" w:line="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U.S. GAAP have been condensed or omitted pursuant to the applicable required disclosures and regulations of the SEC. Therefore, 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2020, filed with the SEC on March 23, 2020.</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will be an “emerging growth company” (“EGC”) as defined in the Jumpstart Our Business Startups Act of 2012 (“JOBS Act”) until January 31, 2021. An EGC may take advantage of specified reduced reporting requirements that are otherwise applicable generally to public companies, including, but not limited to, delayed adoption of new or revised accounting pronouncements applicable to public companies until such pronouncements are made applicable to private companies, not being required to comply with the auditor attestation requirements of Section 404 of the Sarbanes-Oxley Act of 2002 (“Sarbanes-Oxley Act”), reduced disclosure obligations regarding executive compensation in the Company’s periodic reports and proxy statements, and exemptions from the requirements of holding a nonbinding advisory vote on executive compensation and stockholder approval of any golden parachute payments not previously approved. The Company may take advantage of these exemptions until it is no longer an EGC.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215" w:lineRule="exact"/>
        <w:rPr>
          <w:sz w:val="20"/>
          <w:szCs w:val="20"/>
          <w:color w:val="auto"/>
        </w:rPr>
      </w:pPr>
    </w:p>
    <w:p>
      <w:pPr>
        <w:ind w:right="140" w:firstLine="648"/>
        <w:spacing w:after="0" w:line="262" w:lineRule="auto"/>
        <w:rPr>
          <w:sz w:val="20"/>
          <w:szCs w:val="20"/>
          <w:color w:val="auto"/>
        </w:rPr>
      </w:pPr>
      <w:r>
        <w:rPr>
          <w:rFonts w:ascii="Arial" w:cs="Arial" w:eastAsia="Arial" w:hAnsi="Arial"/>
          <w:sz w:val="17"/>
          <w:szCs w:val="17"/>
          <w:color w:val="auto"/>
        </w:rPr>
        <w:t>Estimates and assumptions used by management include, but are not limited to, revenue recognition, the allowance for doubtful accounts, the carrying value and the useful lives of long-lived assets, the fair values of financial instruments and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for business combinations.</w:t>
      </w:r>
    </w:p>
    <w:p>
      <w:pPr>
        <w:spacing w:after="0" w:line="199"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Due to the Coronavirus (“COVID-19”) pandemic, there has been uncertainty and disruption in the global economy and financial markets. The Company is not aware of any specific event or circumstance that would require a material update to its estimates or judgments or an adjustment of the carrying value of its assets or liabilities as of October 31, 2020. While there was not a material impact to the Company’s condensed consolidated financial statements as of and for the three and nine months ended October 31, 2020, these estimates may change, as new events occur and additional information is obtained, as well as other factors related to COVID-19 that could result in material impacts to the Company’s condensed consolidated financial statements in future reporting periods.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marketable securities, accounts receivable, and strategic investments.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marketable securities, and strategic investments. The Company performs periodic credit evaluations of its customers and generally does not require collateral. As of October 31, 2020, the Company did not have any cash equivalents or marketable securities.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Channel partners or direct customers who represented 10% or more of the Company’s accounts receivable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3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0"/>
              </w:rPr>
              <w:t>October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January 31,</w:t>
            </w:r>
          </w:p>
        </w:tc>
      </w:tr>
      <w:tr>
        <w:trPr>
          <w:trHeight w:val="223"/>
        </w:trPr>
        <w:tc>
          <w:tcPr>
            <w:tcW w:w="78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Channel partner B</w:t>
            </w:r>
          </w:p>
        </w:tc>
        <w:tc>
          <w:tcPr>
            <w:tcW w:w="340" w:type="dxa"/>
            <w:vAlign w:val="bottom"/>
          </w:tcPr>
          <w:p>
            <w:pPr>
              <w:jc w:val="right"/>
              <w:spacing w:after="0"/>
              <w:rPr>
                <w:sz w:val="20"/>
                <w:szCs w:val="20"/>
                <w:color w:val="auto"/>
              </w:rPr>
            </w:pPr>
            <w:r>
              <w:rPr>
                <w:rFonts w:ascii="Arial" w:cs="Arial" w:eastAsia="Arial" w:hAnsi="Arial"/>
                <w:sz w:val="18"/>
                <w:szCs w:val="18"/>
                <w:color w:val="auto"/>
                <w:w w:val="96"/>
              </w:rPr>
              <w:t>6 %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B</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918"/>
        </w:trPr>
        <w:tc>
          <w:tcPr>
            <w:tcW w:w="7860" w:type="dxa"/>
            <w:vAlign w:val="bottom"/>
          </w:tcPr>
          <w:p>
            <w:pPr>
              <w:jc w:val="right"/>
              <w:ind w:right="2050"/>
              <w:spacing w:after="0"/>
              <w:rPr>
                <w:sz w:val="20"/>
                <w:szCs w:val="20"/>
                <w:color w:val="auto"/>
              </w:rPr>
            </w:pPr>
            <w:r>
              <w:rPr>
                <w:rFonts w:ascii="Arial" w:cs="Arial" w:eastAsia="Arial" w:hAnsi="Arial"/>
                <w:sz w:val="18"/>
                <w:szCs w:val="18"/>
                <w:color w:val="auto"/>
              </w:rPr>
              <w:t>13</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78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Channel partners who represented 10% or more of the Company’s total revenue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00" w:type="dxa"/>
            <w:vAlign w:val="bottom"/>
          </w:tcPr>
          <w:p>
            <w:pPr>
              <w:spacing w:after="0"/>
              <w:rPr>
                <w:sz w:val="19"/>
                <w:szCs w:val="19"/>
                <w:color w:val="auto"/>
              </w:rPr>
            </w:pPr>
          </w:p>
        </w:tc>
        <w:tc>
          <w:tcPr>
            <w:tcW w:w="322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 October 31,</w:t>
            </w:r>
          </w:p>
        </w:tc>
        <w:tc>
          <w:tcPr>
            <w:tcW w:w="3280" w:type="dxa"/>
            <w:vAlign w:val="bottom"/>
            <w:gridSpan w:val="3"/>
          </w:tcPr>
          <w:p>
            <w:pPr>
              <w:jc w:val="right"/>
              <w:ind w:right="370"/>
              <w:spacing w:after="0"/>
              <w:rPr>
                <w:sz w:val="20"/>
                <w:szCs w:val="20"/>
                <w:color w:val="auto"/>
              </w:rPr>
            </w:pPr>
            <w:r>
              <w:rPr>
                <w:rFonts w:ascii="Arial" w:cs="Arial" w:eastAsia="Arial" w:hAnsi="Arial"/>
                <w:sz w:val="17"/>
                <w:szCs w:val="17"/>
                <w:b w:val="1"/>
                <w:bCs w:val="1"/>
                <w:color w:val="auto"/>
              </w:rPr>
              <w:t>Nine Months Ended October 31,</w:t>
            </w:r>
          </w:p>
        </w:tc>
      </w:tr>
      <w:tr>
        <w:trPr>
          <w:trHeight w:val="225"/>
        </w:trPr>
        <w:tc>
          <w:tcPr>
            <w:tcW w:w="47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direct customers who represented 10% or more of the Company’s total revenue during the three and nine months ended October 31, 2020 and October 31,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Other than the policies described below, there have been no changes to the Company’s significant accounting policies described in its Annual Report on Form 10-K that have had a material impact on its consolidated financial statements and related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condensed consolidated balance sheet. The Company did not have any financing leases in any of the periods presented.</w:t>
      </w:r>
    </w:p>
    <w:p>
      <w:pPr>
        <w:spacing w:after="0" w:line="17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pacing w:after="0" w:line="164"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Company uses the non-cancelable lease term when recognizing the right-of-use (“ROU”) assets and lease liabilities, unless it is reasonably certain that a renewal or termination option will be exercised. The Company accounts for lease components and non-lease components as a single lease component.</w:t>
      </w:r>
    </w:p>
    <w:p>
      <w:pPr>
        <w:spacing w:after="0" w:line="21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Leases with a term of twelve months or less are not recognized on the condensed consolidated balance sheet but are recognized as expense on a straight-line basis over the term of the lease.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Available-for-sale debt securities</w:t>
      </w:r>
    </w:p>
    <w:p>
      <w:pPr>
        <w:spacing w:after="0" w:line="239"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212529"/>
        </w:rPr>
        <w:t>The Company evaluates investments with unrealized loss positions by assessing if they are related to deterioration in credit risk and whether the Company expects to recover the entire amortized cost basis of the security, the Company</w:t>
      </w:r>
      <w:r>
        <w:rPr>
          <w:rFonts w:ascii="Arial" w:cs="Arial" w:eastAsia="Arial" w:hAnsi="Arial"/>
          <w:sz w:val="17"/>
          <w:szCs w:val="17"/>
          <w:color w:val="000000"/>
        </w:rPr>
        <w:t>’</w:t>
      </w:r>
      <w:r>
        <w:rPr>
          <w:rFonts w:ascii="Arial" w:cs="Arial" w:eastAsia="Arial" w:hAnsi="Arial"/>
          <w:sz w:val="17"/>
          <w:szCs w:val="17"/>
          <w:color w:val="212529"/>
        </w:rPr>
        <w:t xml:space="preserve">s intent to sell and whether it is more likely than not that the Company will be required to sell the securities before the recovery of its cost basis. Credit-related impairment losses, not to exceed fair value less the amortized cost basis, are recognized through an allowance for credit losses with changes in the allowance for credit losses recorded in </w:t>
      </w:r>
      <w:r>
        <w:rPr>
          <w:rFonts w:ascii="Arial" w:cs="Arial" w:eastAsia="Arial" w:hAnsi="Arial"/>
          <w:sz w:val="17"/>
          <w:szCs w:val="17"/>
          <w:color w:val="000000"/>
        </w:rPr>
        <w:t>“</w:t>
      </w:r>
      <w:r>
        <w:rPr>
          <w:rFonts w:ascii="Arial" w:cs="Arial" w:eastAsia="Arial" w:hAnsi="Arial"/>
          <w:sz w:val="17"/>
          <w:szCs w:val="17"/>
          <w:color w:val="212529"/>
        </w:rPr>
        <w:t>Other income, net</w:t>
      </w:r>
      <w:r>
        <w:rPr>
          <w:rFonts w:ascii="Arial" w:cs="Arial" w:eastAsia="Arial" w:hAnsi="Arial"/>
          <w:sz w:val="17"/>
          <w:szCs w:val="17"/>
          <w:color w:val="000000"/>
        </w:rPr>
        <w:t>”</w:t>
      </w:r>
      <w:r>
        <w:rPr>
          <w:rFonts w:ascii="Arial" w:cs="Arial" w:eastAsia="Arial" w:hAnsi="Arial"/>
          <w:sz w:val="17"/>
          <w:szCs w:val="17"/>
          <w:color w:val="212529"/>
        </w:rPr>
        <w:t xml:space="preserve"> in the condensed consolidated statements of operations. </w:t>
      </w:r>
      <w:r>
        <w:rPr>
          <w:rFonts w:ascii="Arial" w:cs="Arial" w:eastAsia="Arial" w:hAnsi="Arial"/>
          <w:sz w:val="17"/>
          <w:szCs w:val="17"/>
          <w:color w:val="000000"/>
        </w:rPr>
        <w:t>Impairment that has not been recorded through an allowance for credit losses will be recorded in</w:t>
      </w:r>
      <w:r>
        <w:rPr>
          <w:rFonts w:ascii="Arial" w:cs="Arial" w:eastAsia="Arial" w:hAnsi="Arial"/>
          <w:sz w:val="17"/>
          <w:szCs w:val="17"/>
          <w:color w:val="212529"/>
        </w:rPr>
        <w:t xml:space="preserve"> </w:t>
      </w:r>
      <w:r>
        <w:rPr>
          <w:rFonts w:ascii="Arial" w:cs="Arial" w:eastAsia="Arial" w:hAnsi="Arial"/>
          <w:sz w:val="17"/>
          <w:szCs w:val="17"/>
          <w:color w:val="000000"/>
        </w:rPr>
        <w:t>the condensed consolidated statements of comprehensive income (loss). As of October 31, 2020, there were no marketable securities held by the Company, and thus there were no securities that had been in continuous unrealized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Accounts receivable are recorded at the invoiced amount and are non-interest bearing. Accounts receivable are stated at their net realizable value, net of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doubtful accounts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doubtful accounts. Allowance for doubtful accounts was $1.1 million as of both October 31, 2020 and January 31, 2020.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Software Implementation Costs</w:t>
      </w: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contracts with third party information technology providers for various service arrangements including software, platform, and information technology infrastructure. The Company capitalizes the implementation cost incurred to develop or obtain internal-use software in such arrangements. All capitalized implementation costs are amortized over the term of the arrangement which includes reasonably certain renewals. Costs incurred during the preliminary project and post implementation stage are expensed as the activities are performed. Capitalized implementation costs were not material for the three and nine months ended October 31, 2020.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which requires lessees to generally recognize on the balance sheet operating and financing lease liabilities and corresponding ROU assets, and to recognize on the income statement the expenses in a manner similar to prior practice. The Company adopted Topic 842 using the modified retrospective method on February 1, 2020.</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212529"/>
        </w:rPr>
        <w:t xml:space="preserve">The Company elected </w:t>
      </w:r>
      <w:r>
        <w:rPr>
          <w:rFonts w:ascii="Arial" w:cs="Arial" w:eastAsia="Arial" w:hAnsi="Arial"/>
          <w:sz w:val="18"/>
          <w:szCs w:val="18"/>
          <w:color w:val="000000"/>
        </w:rPr>
        <w:t>the following practical expedients:</w:t>
      </w:r>
    </w:p>
    <w:p>
      <w:pPr>
        <w:spacing w:after="0" w:line="239" w:lineRule="exact"/>
        <w:rPr>
          <w:sz w:val="20"/>
          <w:szCs w:val="20"/>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212529"/>
        </w:rPr>
      </w:pPr>
      <w:r>
        <w:rPr>
          <w:rFonts w:ascii="Arial" w:cs="Arial" w:eastAsia="Arial" w:hAnsi="Arial"/>
          <w:sz w:val="18"/>
          <w:szCs w:val="18"/>
          <w:color w:val="212529"/>
        </w:rPr>
        <w:t>The package of practical expedients which allows for not reassessing 1) whether existing contracts contain leases, 2) the lease classification of existing leases, and 3) whether existing initial direct costs meet the new definition.</w:t>
      </w:r>
    </w:p>
    <w:p>
      <w:pPr>
        <w:spacing w:after="0" w:line="211" w:lineRule="exact"/>
        <w:rPr>
          <w:rFonts w:ascii="Arial" w:cs="Arial" w:eastAsia="Arial" w:hAnsi="Arial"/>
          <w:sz w:val="18"/>
          <w:szCs w:val="18"/>
          <w:color w:val="212529"/>
        </w:rPr>
      </w:pPr>
    </w:p>
    <w:p>
      <w:pPr>
        <w:jc w:val="both"/>
        <w:ind w:left="660" w:hanging="328"/>
        <w:spacing w:after="0" w:line="23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212529"/>
        </w:rPr>
        <w:t>The practical expedient in ASC Subtopic 842-10 to not separate non-lease components from lease components and instead account for each separate lease component and non-lease components associated with that lease component as a single lease component by class of the underlying assets.</w:t>
      </w:r>
    </w:p>
    <w:p>
      <w:pPr>
        <w:spacing w:after="0" w:line="230"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212529"/>
        </w:rPr>
        <w:t>Not to recognize right of use assets and lease liabilities for short-term leases, which have a lease term of twelve months or less and do not include an option to purchase the underlying asset that the Company is reasonably certain to exercise.</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212529"/>
        </w:rPr>
        <w:t>The Company did not elect the hindsight practical expedient.</w:t>
      </w:r>
    </w:p>
    <w:p>
      <w:pPr>
        <w:spacing w:after="0" w:line="239"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212529"/>
        </w:rPr>
        <w:t>Lease payments consist primarily of the fixed payments under the arrangement, less any lease incentives such as tenant improvement allowance. The Company uses an estimate of its IBR based on the information available at the lease commencement date in determining the present value of lease payments, unless the implicit rate is readily determinable. In determining the appropriate IBR, management considers information including, but not limited to, the Company</w:t>
      </w:r>
      <w:r>
        <w:rPr>
          <w:rFonts w:ascii="Arial" w:cs="Arial" w:eastAsia="Arial" w:hAnsi="Arial"/>
          <w:sz w:val="18"/>
          <w:szCs w:val="18"/>
          <w:color w:val="000000"/>
        </w:rPr>
        <w:t>’s</w:t>
      </w:r>
      <w:r>
        <w:rPr>
          <w:rFonts w:ascii="Arial" w:cs="Arial" w:eastAsia="Arial" w:hAnsi="Arial"/>
          <w:sz w:val="18"/>
          <w:szCs w:val="18"/>
          <w:color w:val="212529"/>
        </w:rPr>
        <w:t xml:space="preserve"> credit rating, the lease term, and the currency in which the arrangement is denominated. For leases which commenced prior to the adoption of Topic 842, the Company used the IBR on January 31, 2020.</w:t>
      </w:r>
    </w:p>
    <w:p>
      <w:pPr>
        <w:spacing w:after="0" w:line="21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12529"/>
        </w:rPr>
        <w:t>The adoption of this new standard on February 1, 2020, and the application of the modified retrospective transition approach resulted in the following changes:</w:t>
      </w:r>
    </w:p>
    <w:p>
      <w:pPr>
        <w:spacing w:after="0" w:line="184"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212529"/>
        </w:rPr>
        <w:t>Assets increased by $37.4 million, primarily representing the recognition of ROU asset for operating leases; and</w:t>
      </w:r>
    </w:p>
    <w:p>
      <w:pPr>
        <w:spacing w:after="0" w:line="202" w:lineRule="exact"/>
        <w:rPr>
          <w:rFonts w:ascii="Arial" w:cs="Arial" w:eastAsia="Arial" w:hAnsi="Arial"/>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Liabilities increased by $37.4 million, primarily representing the recognition of lease liabilities for operating leases partially offset by derecognition of liabilities for deferred rent previously designated under ASC Topic 840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ASU requires a financial asset measured at amortized cost basis to be presented at the net amount expected to be collected, with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clarifications made more recently regarding the treatment of accrued interest, transfers between classifications for loans and debt securities, recoveries and the option to irrevocably elect the fair value option (on an instrument-by-instrument basis) for eligible financial assets at amortized costs. For trade receivables, loans, and other financial assets, the Company will be required to use a forward-looking expected loss model rather than the incurred loss model for recognizing credit losses which reflects losses that are probable. Credit losses relating to available-for-sale debt securities are required to be recorded through an allowance for credit losses in the condensed consolidated statements of operation rather than as a reduction in the amortized cost basis of the securities. The Company adopted this guidance on February 1, 2020, which did not have a material effect on its condensed consolidated financial statements.</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This ASU simplifies the measurement of goodwill by eliminating step two of the two-step impairment test. Step two measures a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loss by comparing the implied fair value of a reporting unit’s goodwill with the carrying amount of that goodwill. This ASU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Company adopted this guidance on February 1, 2020 which did not have a material effect on its condensed consolidated financial statements.</w:t>
      </w:r>
    </w:p>
    <w:p>
      <w:pPr>
        <w:spacing w:after="0" w:line="204" w:lineRule="exact"/>
        <w:rPr>
          <w:sz w:val="20"/>
          <w:szCs w:val="20"/>
          <w:color w:val="auto"/>
        </w:rPr>
      </w:pPr>
    </w:p>
    <w:p>
      <w:pPr>
        <w:ind w:right="260" w:firstLine="648"/>
        <w:spacing w:after="0" w:line="243"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This ASU modifies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The Company adopted this guidance on February 1, 2020 which did not have a material effect on its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215"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(a consensus of the FASB Emerging Issues</w:t>
      </w:r>
      <w:r>
        <w:rPr>
          <w:rFonts w:ascii="Arial" w:cs="Arial" w:eastAsia="Arial" w:hAnsi="Arial"/>
          <w:sz w:val="17"/>
          <w:szCs w:val="17"/>
          <w:i w:val="1"/>
          <w:iCs w:val="1"/>
          <w:color w:val="auto"/>
        </w:rPr>
        <w:t xml:space="preserve"> </w:t>
      </w:r>
      <w:r>
        <w:rPr>
          <w:rFonts w:ascii="Arial" w:cs="Arial" w:eastAsia="Arial" w:hAnsi="Arial"/>
          <w:sz w:val="17"/>
          <w:szCs w:val="17"/>
          <w:color w:val="auto"/>
        </w:rPr>
        <w:t>Task Force). This ASU aligns the requirements for capitalizing implementation costs incurred in a hosting arrangement that is a service contract with the requirements for capitalizing implementation costs incurred to develop or obtain internal use software. The Company adopted this guidance on February 1, 2020 which did not have a material effect on its condensed consolidated financial statements.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March 2020, the FASB issued ASU 2020-04</w:t>
      </w:r>
      <w:r>
        <w:rPr>
          <w:rFonts w:ascii="Arial" w:cs="Arial" w:eastAsia="Arial" w:hAnsi="Arial"/>
          <w:sz w:val="20"/>
          <w:szCs w:val="20"/>
          <w:color w:val="008080"/>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 Rate Reform (Topic 848): Facilitation of the Effects of Reference Rate Reform on</w:t>
      </w:r>
    </w:p>
    <w:p>
      <w:pPr>
        <w:spacing w:after="0" w:line="47"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The ASU provides optional expedients and exceptions for applying generally accepted accounting principles to contract modifications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hedging relationships, subject to meeting certain criteria, that reference LIBOR or another reference rate expected to be discontinued. This ASU may be applied prospectively through December 31, 2022. The Company adopted this guidance on May 1, 2020 which did not have a material effect on its condensed consolidated financial statements. Per the terms of the Company’s secured revolving credit facility (see Note 5), outstanding Eurodollar Loans incur interest at the Eurodollar Rate, which is defined in the Credit Agreement as LIBOR (or any successor thereto), plus a margin. The Company’s lender is currently preparing to use the Secured Overnight Funding Rate if LIBOR becomes unavailable. No amounts were outstanding under the Credit Agreement as of October 31, 2020.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9"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For public business entities, this ASU is effective for fiscal years beginning after December 15, 2020, and interim periods within those fiscal years. The Company does not anticipate that the adoption of this guidance will have a material impact on its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Fair Value Measurements and Marketable Securities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follows ASC 820</w:t>
      </w:r>
      <w:r>
        <w:rPr>
          <w:rFonts w:ascii="Arial" w:cs="Arial" w:eastAsia="Arial" w:hAnsi="Arial"/>
          <w:sz w:val="17"/>
          <w:szCs w:val="17"/>
          <w:i w:val="1"/>
          <w:iCs w:val="1"/>
          <w:color w:val="auto"/>
        </w:rPr>
        <w:t>, Fair Value Measurements</w:t>
      </w:r>
      <w:r>
        <w:rPr>
          <w:rFonts w:ascii="Arial" w:cs="Arial" w:eastAsia="Arial" w:hAnsi="Arial"/>
          <w:sz w:val="17"/>
          <w:szCs w:val="17"/>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25" w:lineRule="exact"/>
        <w:rPr>
          <w:sz w:val="20"/>
          <w:szCs w:val="20"/>
          <w:color w:val="auto"/>
        </w:rPr>
      </w:pPr>
    </w:p>
    <w:p>
      <w:pPr>
        <w:ind w:left="660" w:right="340"/>
        <w:spacing w:after="0" w:line="291" w:lineRule="auto"/>
        <w:rPr>
          <w:sz w:val="20"/>
          <w:szCs w:val="20"/>
          <w:color w:val="auto"/>
        </w:rPr>
      </w:pPr>
      <w:r>
        <w:rPr>
          <w:rFonts w:ascii="Arial" w:cs="Arial" w:eastAsia="Arial" w:hAnsi="Arial"/>
          <w:sz w:val="16"/>
          <w:szCs w:val="16"/>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w:t>
      </w:r>
    </w:p>
    <w:p>
      <w:pPr>
        <w:ind w:left="1460"/>
        <w:spacing w:after="0"/>
        <w:rPr>
          <w:sz w:val="20"/>
          <w:szCs w:val="20"/>
          <w:color w:val="auto"/>
        </w:rPr>
      </w:pPr>
      <w:r>
        <w:rPr>
          <w:rFonts w:ascii="Arial" w:cs="Arial" w:eastAsia="Arial" w:hAnsi="Arial"/>
          <w:sz w:val="18"/>
          <w:szCs w:val="18"/>
          <w:color w:val="auto"/>
        </w:rPr>
        <w:t>substantially the full term of the asset or liability</w:t>
      </w:r>
    </w:p>
    <w:p>
      <w:pPr>
        <w:spacing w:after="0" w:line="9" w:lineRule="exact"/>
        <w:rPr>
          <w:sz w:val="20"/>
          <w:szCs w:val="20"/>
          <w:color w:val="auto"/>
        </w:rPr>
      </w:pPr>
    </w:p>
    <w:p>
      <w:pPr>
        <w:ind w:left="1380" w:right="580" w:hanging="809"/>
        <w:spacing w:after="0" w:line="260" w:lineRule="auto"/>
        <w:tabs>
          <w:tab w:leader="none" w:pos="1360" w:val="left"/>
        </w:tabs>
        <w:rPr>
          <w:sz w:val="20"/>
          <w:szCs w:val="20"/>
          <w:color w:val="auto"/>
        </w:rPr>
      </w:pPr>
      <w:r>
        <w:rPr>
          <w:rFonts w:ascii="Arial" w:cs="Arial" w:eastAsia="Arial" w:hAnsi="Arial"/>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fair value hierarchy for its financial assets and liabilities that are measured at fair value on a recurring basis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October 31, 2020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January 31, 2020</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7"/>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83"/>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0"/>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 xml:space="preserve">Cash equivalents </w:t>
            </w:r>
            <w:r>
              <w:rPr>
                <w:rFonts w:ascii="Arial" w:cs="Arial" w:eastAsia="Arial" w:hAnsi="Arial"/>
                <w:sz w:val="7"/>
                <w:szCs w:val="7"/>
                <w:color w:val="auto"/>
              </w:rPr>
              <w:t>(1)</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2"/>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205,379</w:t>
            </w:r>
          </w:p>
        </w:tc>
      </w:tr>
      <w:tr>
        <w:trPr>
          <w:trHeight w:val="186"/>
        </w:trPr>
        <w:tc>
          <w:tcPr>
            <w:tcW w:w="3000" w:type="dxa"/>
            <w:vAlign w:val="bottom"/>
          </w:tcPr>
          <w:p>
            <w:pPr>
              <w:ind w:left="140"/>
              <w:spacing w:after="0"/>
              <w:rPr>
                <w:sz w:val="20"/>
                <w:szCs w:val="20"/>
                <w:color w:val="auto"/>
              </w:rPr>
            </w:pPr>
            <w:r>
              <w:rPr>
                <w:rFonts w:ascii="Arial" w:cs="Arial" w:eastAsia="Arial" w:hAnsi="Arial"/>
                <w:sz w:val="14"/>
                <w:szCs w:val="14"/>
                <w:color w:val="auto"/>
              </w:rPr>
              <w:t>Corporate debt securities</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39,940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39,940</w:t>
            </w:r>
          </w:p>
        </w:tc>
      </w:tr>
      <w:tr>
        <w:trPr>
          <w:trHeight w:val="186"/>
        </w:trPr>
        <w:tc>
          <w:tcPr>
            <w:tcW w:w="30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cash equivalents</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205,379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39,940</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245,319</w:t>
            </w:r>
          </w:p>
        </w:tc>
      </w:tr>
      <w:tr>
        <w:trPr>
          <w:trHeight w:val="166"/>
        </w:trPr>
        <w:tc>
          <w:tcPr>
            <w:tcW w:w="300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debt securities</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495,022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495,022</w:t>
            </w:r>
          </w:p>
        </w:tc>
      </w:tr>
      <w:tr>
        <w:trPr>
          <w:trHeight w:val="186"/>
        </w:trPr>
        <w:tc>
          <w:tcPr>
            <w:tcW w:w="3000" w:type="dxa"/>
            <w:vAlign w:val="bottom"/>
          </w:tcPr>
          <w:p>
            <w:pPr>
              <w:ind w:left="140"/>
              <w:spacing w:after="0"/>
              <w:rPr>
                <w:sz w:val="20"/>
                <w:szCs w:val="20"/>
                <w:color w:val="auto"/>
              </w:rPr>
            </w:pPr>
            <w:r>
              <w:rPr>
                <w:rFonts w:ascii="Arial" w:cs="Arial" w:eastAsia="Arial" w:hAnsi="Arial"/>
                <w:sz w:val="14"/>
                <w:szCs w:val="14"/>
                <w:color w:val="auto"/>
              </w:rPr>
              <w:t>U.S. treasury securities</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84,431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84,431</w:t>
            </w:r>
          </w:p>
        </w:tc>
      </w:tr>
      <w:tr>
        <w:trPr>
          <w:trHeight w:val="192"/>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backed securities</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67,813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67,813</w:t>
            </w:r>
          </w:p>
        </w:tc>
      </w:tr>
      <w:tr>
        <w:trPr>
          <w:trHeight w:val="179"/>
        </w:trPr>
        <w:tc>
          <w:tcPr>
            <w:tcW w:w="3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marketable securities</w:t>
            </w: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84,431</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562,835</w:t>
            </w:r>
          </w:p>
        </w:tc>
        <w:tc>
          <w:tcPr>
            <w:tcW w:w="1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647,266</w:t>
            </w:r>
          </w:p>
        </w:tc>
      </w:tr>
      <w:tr>
        <w:trPr>
          <w:trHeight w:val="211"/>
        </w:trPr>
        <w:tc>
          <w:tcPr>
            <w:tcW w:w="3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289,810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602,775</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892,585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229"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“Cash and cash equivalents” on the condensed consolidated balance sheets.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the levels of the fair value hierarchy during the three and nine months ended October 31, 2020 or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October 31, 2020, there were no marketable securities held by the Company. As of January 31, 2020, the amortized cost of the Company’s cash equivalents and marketable securities approximated their fair value and there were no material realized or unrealized gains or losses, either individually or in the aggregate. In addition, the securities that had been in continuous unrealized loss position per security type and in aggregate are not material as of January 31, 2020. There were no impairments considered “other-than-temporary” as it is more likely than not the Company will hold the securities until maturity or a recovery of the cost basis as of January 31, 2020.</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7" w:name="page18"/>
    <w:bookmarkEnd w:id="1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contractual maturities of marketable securities as of January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Amortized cost</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378,408</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267,728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nineteen years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645,519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647,266</w:t>
            </w:r>
          </w:p>
        </w:tc>
        <w:tc>
          <w:tcPr>
            <w:tcW w:w="0" w:type="dxa"/>
            <w:vAlign w:val="bottom"/>
          </w:tcPr>
          <w:p>
            <w:pPr>
              <w:spacing w:after="0"/>
              <w:rPr>
                <w:sz w:val="1"/>
                <w:szCs w:val="1"/>
                <w:color w:val="auto"/>
              </w:rPr>
            </w:pPr>
          </w:p>
        </w:tc>
      </w:tr>
      <w:tr>
        <w:trPr>
          <w:trHeight w:val="21"/>
        </w:trPr>
        <w:tc>
          <w:tcPr>
            <w:tcW w:w="8100" w:type="dxa"/>
            <w:vAlign w:val="bottom"/>
            <w:vMerge w:val="restart"/>
          </w:tcPr>
          <w:p>
            <w:pPr>
              <w:ind w:left="660"/>
              <w:spacing w:after="0"/>
              <w:rPr>
                <w:sz w:val="20"/>
                <w:szCs w:val="20"/>
                <w:color w:val="auto"/>
              </w:rPr>
            </w:pPr>
            <w:r>
              <w:rPr>
                <w:rFonts w:ascii="Arial" w:cs="Arial" w:eastAsia="Arial" w:hAnsi="Arial"/>
                <w:sz w:val="18"/>
                <w:szCs w:val="18"/>
                <w:color w:val="auto"/>
              </w:rPr>
              <w:t>The following summarizes the changes in strategic investments:</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220" w:type="dxa"/>
            <w:vAlign w:val="bottom"/>
          </w:tcPr>
          <w:p>
            <w:pPr>
              <w:spacing w:after="0"/>
              <w:rPr>
                <w:sz w:val="24"/>
                <w:szCs w:val="24"/>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initial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Cumulative gain</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Carrying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There was no unrealized gain and loss included as an adjustment related to the carrying value of non-marketable securities as of October 31, 2020 and January 31,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the changes in the redeemable convertible preferred stock warrant liability, which is classified as a Level 3 instrument: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19"/>
                <w:szCs w:val="19"/>
                <w:color w:val="auto"/>
              </w:rPr>
            </w:pPr>
          </w:p>
        </w:tc>
        <w:tc>
          <w:tcPr>
            <w:tcW w:w="270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9"/>
              </w:rPr>
              <w:t>Three Months Ended October 31,</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Nine Months Ended October 31,</w:t>
            </w:r>
          </w:p>
        </w:tc>
        <w:tc>
          <w:tcPr>
            <w:tcW w:w="0" w:type="dxa"/>
            <w:vAlign w:val="bottom"/>
          </w:tcPr>
          <w:p>
            <w:pPr>
              <w:spacing w:after="0"/>
              <w:rPr>
                <w:sz w:val="1"/>
                <w:szCs w:val="1"/>
                <w:color w:val="auto"/>
              </w:rPr>
            </w:pPr>
          </w:p>
        </w:tc>
      </w:tr>
      <w:tr>
        <w:trPr>
          <w:trHeight w:val="225"/>
        </w:trPr>
        <w:tc>
          <w:tcPr>
            <w:tcW w:w="49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(in thousands)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w w:val="96"/>
              </w:rPr>
              <w:t>Adjustment resulting from change in fair value recognized in the</w:t>
            </w:r>
          </w:p>
        </w:tc>
        <w:tc>
          <w:tcPr>
            <w:tcW w:w="960" w:type="dxa"/>
            <w:vAlign w:val="bottom"/>
          </w:tcPr>
          <w:p>
            <w:pPr>
              <w:spacing w:after="0"/>
              <w:rPr>
                <w:sz w:val="15"/>
                <w:szCs w:val="15"/>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5"/>
                <w:szCs w:val="15"/>
                <w:color w:val="auto"/>
              </w:rPr>
            </w:pPr>
          </w:p>
        </w:tc>
        <w:tc>
          <w:tcPr>
            <w:tcW w:w="52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5"/>
                <w:szCs w:val="15"/>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condensed consolidated statements of operations</w:t>
            </w:r>
          </w:p>
        </w:tc>
        <w:tc>
          <w:tcPr>
            <w:tcW w:w="9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Reclassification of liability for redeemable convertible preferred</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warrants to additional paid-in capital upon initial public</w:t>
            </w:r>
          </w:p>
        </w:tc>
        <w:tc>
          <w:tcPr>
            <w:tcW w:w="9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w:t>
            </w:r>
          </w:p>
        </w:tc>
        <w:tc>
          <w:tcPr>
            <w:tcW w:w="9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No loss and a loss of $6.0 million was recorded as a component of “Other income, net”, because of the remeasurement of the redeemable convertible preferred stock warrant liability during the three and nine months ended October 31, 2019, respectively. 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upon the closing of the IPO.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5"/>
          <w:szCs w:val="15"/>
          <w:b w:val="1"/>
          <w:bCs w:val="1"/>
          <w:i w:val="1"/>
          <w:iCs w:val="1"/>
          <w:color w:val="auto"/>
        </w:rPr>
        <w:t>Balance Sheet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October 31,</w:t>
            </w:r>
          </w:p>
        </w:tc>
        <w:tc>
          <w:tcPr>
            <w:tcW w:w="380" w:type="dxa"/>
            <w:vAlign w:val="bottom"/>
          </w:tcPr>
          <w:p>
            <w:pPr>
              <w:spacing w:after="0"/>
              <w:rPr>
                <w:sz w:val="14"/>
                <w:szCs w:val="14"/>
                <w:color w:val="auto"/>
              </w:rPr>
            </w:pPr>
          </w:p>
        </w:tc>
        <w:tc>
          <w:tcPr>
            <w:tcW w:w="1120" w:type="dxa"/>
            <w:vAlign w:val="bottom"/>
          </w:tcPr>
          <w:p>
            <w:pPr>
              <w:jc w:val="center"/>
              <w:ind w:right="314"/>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88"/>
        </w:trPr>
        <w:tc>
          <w:tcPr>
            <w:tcW w:w="8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Prepaid software licenses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hosting services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October 31,</w:t>
            </w:r>
          </w:p>
        </w:tc>
        <w:tc>
          <w:tcPr>
            <w:tcW w:w="380" w:type="dxa"/>
            <w:vAlign w:val="bottom"/>
          </w:tcPr>
          <w:p>
            <w:pPr>
              <w:spacing w:after="0"/>
              <w:rPr>
                <w:sz w:val="24"/>
                <w:szCs w:val="24"/>
                <w:color w:val="auto"/>
              </w:rPr>
            </w:pPr>
          </w:p>
        </w:tc>
        <w:tc>
          <w:tcPr>
            <w:tcW w:w="1120" w:type="dxa"/>
            <w:vAlign w:val="bottom"/>
          </w:tcPr>
          <w:p>
            <w:pPr>
              <w:jc w:val="center"/>
              <w:ind w:right="314"/>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88"/>
        </w:trPr>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5"/>
          </w:tcPr>
          <w:p>
            <w:pPr>
              <w:jc w:val="right"/>
              <w:ind w:right="10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and other computer equipment</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140,457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87,166</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Capitalized internal-use software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30,354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process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47,626</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(49,664)</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Construction in process mainly includes data center equipment purchased that has not yet been placed in service. As of October 31, 2020, $28.3 million of data center equipment was purchased but not yet been placed into service.</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Depreciation and amortization expense of property and equipment was $10.1 million and $5.8 million during the three months ended October 31, 2020 and October 31, 2019, respectively, and $27.7 million and $16.0 million during the nine months ended October 31, 2020 and October 31, 2019, respectively.</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There was no impairment of internal-use software during the three and nine months ended October 31, 2020 and October 31, 2019. The Company capitalized $3.5 million and $2.2 million in internal-use software during the three months ended October 31, 2020 and October 31, 2019, and $8.2 million and $5.7 million during the nine months ended October 31, 2020 and October 31, 2019, respectively. Amortization expense associated with internal-use software totaled $1.9 million and $1.6 million during the three months ended October 31, 2020 and October 31, 2019, respectively, and $5.6 million and $4.6 million during the nine months ended October 31, 2020 and October 31, 2019, respectively. The net book value of capitalized internal-use software was $15.9 million and $13.4 million as of October 31, 2020 and January 31, 2020, respectively.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intangible assets, net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October 31, 2020</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2"/>
                <w:szCs w:val="2"/>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Net Amount</w:t>
            </w:r>
          </w:p>
        </w:tc>
        <w:tc>
          <w:tcPr>
            <w:tcW w:w="1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Useful</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(in months)</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January 31, 2020</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18"/>
        </w:trPr>
        <w:tc>
          <w:tcPr>
            <w:tcW w:w="4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2"/>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2"/>
                <w:szCs w:val="2"/>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Net Amount</w:t>
            </w:r>
          </w:p>
        </w:tc>
        <w:tc>
          <w:tcPr>
            <w:tcW w:w="12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Useful</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thousands)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(in months)</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Amortization of developed technology, customer relationships, and other acquired intangible assets are recorded within cost of revenue, sales and marketing expense, and research and development expense, respectively, in the condensed consolidated statements of operations. Amortization expense of intangible assets was $0.4 million and $0.1 million during the three months ended October 31, 2020 and October 31, 2019 and $0.6 million and $0.4 million during the nine months ended October 31, 2020 and October 31, 2019,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color w:val="auto"/>
              </w:rPr>
              <w:t>The estimated aggregate future amortization expense of intangible assets as of October 31, 2020 is as follows: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0"/>
        </w:trPr>
        <w:tc>
          <w:tcPr>
            <w:tcW w:w="9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9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(in thousands)</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 (remaining three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3,445</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3,260</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developed technology, customer relationships, and other acquired intangible assets are generally being amortized over 5 years, 5 years, and 1 year,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7"/>
        </w:trPr>
        <w:tc>
          <w:tcPr>
            <w:tcW w:w="66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Goodwill during the nine months ended October 31, 2020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29"/>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 as of January 31, 2020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gridSpan w:val="3"/>
          </w:tcPr>
          <w:p>
            <w:pPr>
              <w:ind w:left="140"/>
              <w:spacing w:after="0"/>
              <w:rPr>
                <w:sz w:val="20"/>
                <w:szCs w:val="20"/>
                <w:color w:val="auto"/>
              </w:rPr>
            </w:pPr>
            <w:r>
              <w:rPr>
                <w:rFonts w:ascii="Arial" w:cs="Arial" w:eastAsia="Arial" w:hAnsi="Arial"/>
                <w:sz w:val="18"/>
                <w:szCs w:val="18"/>
                <w:color w:val="auto"/>
              </w:rPr>
              <w:t>Goodwill acquired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gridSpan w:val="3"/>
          </w:tcPr>
          <w:p>
            <w:pPr>
              <w:ind w:left="20"/>
              <w:spacing w:after="0"/>
              <w:rPr>
                <w:sz w:val="20"/>
                <w:szCs w:val="20"/>
                <w:color w:val="auto"/>
              </w:rPr>
            </w:pPr>
            <w:r>
              <w:rPr>
                <w:rFonts w:ascii="Arial" w:cs="Arial" w:eastAsia="Arial" w:hAnsi="Arial"/>
                <w:sz w:val="18"/>
                <w:szCs w:val="18"/>
                <w:color w:val="auto"/>
              </w:rPr>
              <w:t>Goodwill as of October 31, 2020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660" w:type="dxa"/>
            <w:vAlign w:val="bottom"/>
          </w:tcPr>
          <w:p>
            <w:pPr>
              <w:spacing w:after="0"/>
              <w:rPr>
                <w:sz w:val="24"/>
                <w:szCs w:val="24"/>
                <w:color w:val="auto"/>
              </w:rPr>
            </w:pPr>
          </w:p>
        </w:tc>
        <w:tc>
          <w:tcPr>
            <w:tcW w:w="7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October 31,</w:t>
            </w:r>
          </w:p>
        </w:tc>
        <w:tc>
          <w:tcPr>
            <w:tcW w:w="160" w:type="dxa"/>
            <w:vAlign w:val="bottom"/>
          </w:tcPr>
          <w:p>
            <w:pPr>
              <w:spacing w:after="0"/>
              <w:rPr>
                <w:sz w:val="21"/>
                <w:szCs w:val="21"/>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January 31,</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right"/>
              <w:ind w:right="972"/>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Web hosting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gridSpan w:val="3"/>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purchases of property and equipment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gridSpan w:val="3"/>
          </w:tcPr>
          <w:p>
            <w:pPr>
              <w:ind w:left="20"/>
              <w:spacing w:after="0"/>
              <w:rPr>
                <w:sz w:val="20"/>
                <w:szCs w:val="20"/>
                <w:color w:val="auto"/>
              </w:rPr>
            </w:pPr>
            <w:r>
              <w:rPr>
                <w:rFonts w:ascii="Arial" w:cs="Arial" w:eastAsia="Arial" w:hAnsi="Arial"/>
                <w:sz w:val="18"/>
                <w:szCs w:val="18"/>
                <w:color w:val="auto"/>
              </w:rPr>
              <w:t>Accrued marketing</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legal and accounting</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gridSpan w:val="3"/>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Payroll and Benefits</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660" w:type="dxa"/>
            <w:vAlign w:val="bottom"/>
          </w:tcPr>
          <w:p>
            <w:pPr>
              <w:spacing w:after="0"/>
              <w:rPr>
                <w:sz w:val="24"/>
                <w:szCs w:val="24"/>
                <w:color w:val="auto"/>
              </w:rPr>
            </w:pPr>
          </w:p>
        </w:tc>
        <w:tc>
          <w:tcPr>
            <w:tcW w:w="7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Accrued payroll and benefits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October 31,</w:t>
            </w:r>
          </w:p>
        </w:tc>
        <w:tc>
          <w:tcPr>
            <w:tcW w:w="160" w:type="dxa"/>
            <w:vAlign w:val="bottom"/>
          </w:tcPr>
          <w:p>
            <w:pPr>
              <w:spacing w:after="0"/>
              <w:rPr>
                <w:sz w:val="21"/>
                <w:szCs w:val="21"/>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January 31,</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right"/>
              <w:ind w:right="972"/>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gridSpan w:val="3"/>
          </w:tcPr>
          <w:p>
            <w:pPr>
              <w:ind w:left="20"/>
              <w:spacing w:after="0"/>
              <w:rPr>
                <w:sz w:val="20"/>
                <w:szCs w:val="20"/>
                <w:color w:val="auto"/>
              </w:rPr>
            </w:pPr>
            <w:r>
              <w:rPr>
                <w:rFonts w:ascii="Arial" w:cs="Arial" w:eastAsia="Arial" w:hAnsi="Arial"/>
                <w:sz w:val="18"/>
                <w:szCs w:val="18"/>
                <w:color w:val="auto"/>
              </w:rPr>
              <w:t>Employee Stock Purchase Plan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Accrued bonuses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payroll and benefits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April 2020, the Company began deferring payment on its share of payroll taxes owed, as permitted by the CARES Act through December 31, 2020. As of October 31, 2020, the Company had deferred approximately $8.5 million of payroll taxes. These amounts are reflected in “other liabilities, noncurrent ” on the condensed consolidated balance sheet.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5"/>
          <w:szCs w:val="15"/>
          <w:b w:val="1"/>
          <w:bCs w:val="1"/>
          <w:i w:val="1"/>
          <w:iCs w:val="1"/>
          <w:color w:val="auto"/>
        </w:rPr>
        <w:t>Secured Revolving Credit Facility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The Company also has the option to request an incremental facility of up to an additional $75.0 million from one or more of the lenders under the Credit Agreement. The amount the Company may borrow under the Credit Agreement may not exceed the lesser of $150.0 million or the Company’s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The Company will be charged a commitment fee of 0.20% to 0.30% per year for committed but unused amounts. The Credit Agreement will terminate on April 19, 2022.</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Credit Agreement is collateralized by substantially all of the Company’s current and future property, rights, and assets, including, but not limited to, cash, goods, equipment, contractual rights, financial assets, and intangible assets of the Company and its subsidiaries. 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the Company to maintain the year-over-year growth rate of its ordinary course recurring subscription revenue above specified rates and to maintain minimum liquidity at specified levels. The Company was in compliance with the financial covenants as of October 31, 2020.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Credit Agreement as of October 31, 2020 and January 31, 2020.</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6.</w:t>
      </w:r>
      <w:r>
        <w:rPr>
          <w:sz w:val="20"/>
          <w:szCs w:val="20"/>
          <w:color w:val="auto"/>
        </w:rPr>
        <w:tab/>
      </w:r>
      <w:r>
        <w:rPr>
          <w:rFonts w:ascii="Arial" w:cs="Arial" w:eastAsia="Arial" w:hAnsi="Arial"/>
          <w:sz w:val="15"/>
          <w:szCs w:val="15"/>
          <w:b w:val="1"/>
          <w:bCs w:val="1"/>
          <w:i w:val="1"/>
          <w:iCs w:val="1"/>
          <w:color w:val="auto"/>
        </w:rPr>
        <w:t>Income Taxes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recognized an income tax expense of $0.5 million and $0.4 million for the three months ended October 31, 2020 and October 31, 2019, respectively, and $1.9 million and $1.7 million for the nine months ended October 31, 2020 and October 31, 2019, respectively. The tax expense for the three and nine months ended October 31, 2020 was primarily attributable to pre-tax foreign earnings. The Company’s effective tax rates of (1.9)% and (1.2)% for the three months ended October 31, 2020 and October 31, 2019, respectively, and (2.7)% and (1.5)% for the nine months ended October 31, 2020 and October 31, 2019, respectively, differ from the U.S. statutory tax rate primarily due to U.S. losses for which there is no benefit and the tax rate differences between the United States and foreign countries.</w:t>
      </w:r>
    </w:p>
    <w:p>
      <w:pPr>
        <w:spacing w:after="0" w:line="192"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The Company has a full valuation allowance on its U.S. federal and state and its U.K. deferred tax assets. As a result, consistent with the prior year, the Company does not record a tax benefit on these losses because it is more likely than not that the benefit will not be realized. The Company recognized $0.7 million of benefit as a result of the acquisition of Preempt Security (see Note 14) during the three months ended October 31, 2020.</w:t>
      </w:r>
    </w:p>
    <w:p>
      <w:pPr>
        <w:spacing w:after="0" w:line="14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March 27, 2020, the United States enacted the Coronavirus Aid, Relief, and Economic Security Act (“CARES Act”), as a response to the economic uncertainty resulting from the global COVID-19 pandemic. The CARES Act did not have a material impact on the Company’s condensed consolidated financial statements for the three and nine months ended October 31, 2020. The Company continues to monitor any effects that may result from the CARES Act.</w:t>
      </w:r>
    </w:p>
    <w:p>
      <w:pPr>
        <w:spacing w:after="0" w:line="1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7.</w:t>
      </w:r>
      <w:r>
        <w:rPr>
          <w:sz w:val="20"/>
          <w:szCs w:val="20"/>
          <w:color w:val="auto"/>
        </w:rPr>
        <w:tab/>
      </w:r>
      <w:r>
        <w:rPr>
          <w:rFonts w:ascii="Arial" w:cs="Arial" w:eastAsia="Arial" w:hAnsi="Arial"/>
          <w:sz w:val="13"/>
          <w:szCs w:val="13"/>
          <w:b w:val="1"/>
          <w:bCs w:val="1"/>
          <w:i w:val="1"/>
          <w:iCs w:val="1"/>
          <w:color w:val="auto"/>
        </w:rPr>
        <w:t>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has entered into non-cancelable operating lease agreements with various expiration dates through 2026. Certain lease agreements include options to renew or terminate the lease, which are not reasonably certain to be exercised and therefore are not factored into the determination of lease payments.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2" w:name="page23"/>
    <w:bookmarkEnd w:id="2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80" w:firstLine="648"/>
        <w:spacing w:after="0" w:line="311" w:lineRule="auto"/>
        <w:rPr>
          <w:sz w:val="20"/>
          <w:szCs w:val="20"/>
          <w:color w:val="auto"/>
        </w:rPr>
      </w:pPr>
      <w:r>
        <w:rPr>
          <w:rFonts w:ascii="Arial" w:cs="Arial" w:eastAsia="Arial" w:hAnsi="Arial"/>
          <w:sz w:val="16"/>
          <w:szCs w:val="16"/>
          <w:color w:val="auto"/>
        </w:rPr>
        <w:t>Total operating lease costs were $2.7 million and $7.6 million, excluding short-term leases costs and variable lease costs for the three and nine months ended October 31, 2020, respectively. There was no sublease income for the three and nine months ended October 31, 2020. Total lease expense recognized prior to the adoption of Topic 842 were $3.1 million and $7.1 million for the three and nine months ended October 31, 2019, respectively.</w:t>
      </w:r>
    </w:p>
    <w:p>
      <w:pPr>
        <w:spacing w:after="0" w:line="1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and nine months ended October 31, 2020, cash paid for amounts included in the measurement of operating lease liabilities were $2.7 million and $8.1 million, respectively. There were no operating lease liabilities arising from obtaining operating right-of-use assets for the three months ended October 31, 2020. Operating lease liabilities arising from obtaining operating right of-use assets was $6.2 million for the nine months ended October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31, 2020, the weighted-average remaining lease term is 4.4 years, and the weighted-average discount rate is 5.9%.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ind w:left="660"/>
              <w:spacing w:after="0"/>
              <w:rPr>
                <w:sz w:val="20"/>
                <w:szCs w:val="20"/>
                <w:color w:val="auto"/>
              </w:rPr>
            </w:pPr>
            <w:r>
              <w:rPr>
                <w:rFonts w:ascii="Arial" w:cs="Arial" w:eastAsia="Arial" w:hAnsi="Arial"/>
                <w:sz w:val="18"/>
                <w:szCs w:val="18"/>
                <w:color w:val="auto"/>
              </w:rPr>
              <w:t>The component of lease costs was as follows:</w:t>
            </w: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7"/>
        </w:trPr>
        <w:tc>
          <w:tcPr>
            <w:tcW w:w="6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2"/>
                <w:szCs w:val="22"/>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Nine Months Ended</w:t>
            </w:r>
          </w:p>
        </w:tc>
      </w:tr>
      <w:tr>
        <w:trPr>
          <w:trHeight w:val="229"/>
        </w:trPr>
        <w:tc>
          <w:tcPr>
            <w:tcW w:w="6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31, 2020</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October 31, 2020</w:t>
            </w:r>
          </w:p>
        </w:tc>
      </w:tr>
      <w:tr>
        <w:trPr>
          <w:trHeight w:val="223"/>
        </w:trPr>
        <w:tc>
          <w:tcPr>
            <w:tcW w:w="6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20" w:type="dxa"/>
            <w:vAlign w:val="bottom"/>
            <w:gridSpan w:val="4"/>
          </w:tcPr>
          <w:p>
            <w:pPr>
              <w:jc w:val="right"/>
              <w:ind w:right="157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7,631</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lease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October 31, 2020, the Company has not entered into any non-cancelable operating leases with a term greater than 12 months that have not yet commenced.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color w:val="auto"/>
              </w:rPr>
              <w:t>The maturities of the Company’s non-cancelable operating lease liabilities are as follows: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0"/>
        </w:trPr>
        <w:tc>
          <w:tcPr>
            <w:tcW w:w="9720" w:type="dxa"/>
            <w:vAlign w:val="bottom"/>
          </w:tcPr>
          <w:p>
            <w:pPr>
              <w:spacing w:after="0"/>
              <w:rPr>
                <w:sz w:val="24"/>
                <w:szCs w:val="24"/>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7"/>
              </w:rPr>
              <w:t>October 31, 2020</w:t>
            </w:r>
          </w:p>
        </w:tc>
      </w:tr>
      <w:tr>
        <w:trPr>
          <w:trHeight w:val="223"/>
        </w:trPr>
        <w:tc>
          <w:tcPr>
            <w:tcW w:w="9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(in thousands)</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 (remaining three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11,380</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10,785</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w:t>
            </w:r>
          </w:p>
        </w:tc>
      </w:tr>
      <w:tr>
        <w:trPr>
          <w:trHeight w:val="223"/>
        </w:trPr>
        <w:tc>
          <w:tcPr>
            <w:tcW w:w="9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48,605</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Present value of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payments under non-cancelable operating leases determined using the prior accounting guidance consisted of the following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73"/>
              <w:spacing w:after="0"/>
              <w:rPr>
                <w:sz w:val="20"/>
                <w:szCs w:val="20"/>
                <w:color w:val="auto"/>
              </w:rPr>
            </w:pPr>
            <w:r>
              <w:rPr>
                <w:rFonts w:ascii="Arial" w:cs="Arial" w:eastAsia="Arial" w:hAnsi="Arial"/>
                <w:sz w:val="16"/>
                <w:szCs w:val="16"/>
                <w:b w:val="1"/>
                <w:bCs w:val="1"/>
                <w:color w:val="auto"/>
              </w:rPr>
              <w:t>Real Estate</w:t>
            </w:r>
          </w:p>
        </w:tc>
      </w:tr>
      <w:tr>
        <w:trPr>
          <w:trHeight w:val="213"/>
        </w:trPr>
        <w:tc>
          <w:tcPr>
            <w:tcW w:w="9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5"/>
              </w:rPr>
              <w:t>Arrangements</w:t>
            </w:r>
          </w:p>
        </w:tc>
      </w:tr>
      <w:tr>
        <w:trPr>
          <w:trHeight w:val="209"/>
        </w:trPr>
        <w:tc>
          <w:tcPr>
            <w:tcW w:w="9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(in thousands)</w:t>
            </w:r>
          </w:p>
        </w:tc>
      </w:tr>
      <w:tr>
        <w:trPr>
          <w:trHeight w:val="232"/>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9,869</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9,370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left="660" w:right="9420" w:hanging="652"/>
        <w:spacing w:after="0" w:line="601" w:lineRule="auto"/>
        <w:tabs>
          <w:tab w:leader="none" w:pos="327"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Equity Transactions Common Stock</w:t>
      </w:r>
    </w:p>
    <w:p>
      <w:pPr>
        <w:ind w:right="40" w:firstLine="648"/>
        <w:spacing w:after="0" w:line="293" w:lineRule="auto"/>
        <w:rPr>
          <w:sz w:val="20"/>
          <w:szCs w:val="20"/>
          <w:color w:val="auto"/>
        </w:rPr>
      </w:pPr>
      <w:r>
        <w:rPr>
          <w:rFonts w:ascii="Arial" w:cs="Arial" w:eastAsia="Arial" w:hAnsi="Arial"/>
          <w:sz w:val="16"/>
          <w:szCs w:val="16"/>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 Class A and Class B common stockholders are not entitled to receive dividends unless declared by the Company’s board of directors.</w:t>
      </w:r>
    </w:p>
    <w:p>
      <w:pPr>
        <w:spacing w:after="0" w:line="164" w:lineRule="exact"/>
        <w:rPr>
          <w:sz w:val="20"/>
          <w:szCs w:val="20"/>
          <w:color w:val="auto"/>
        </w:rPr>
      </w:pPr>
    </w:p>
    <w:p>
      <w:pPr>
        <w:ind w:left="660" w:right="8880" w:hanging="652"/>
        <w:spacing w:after="0" w:line="601" w:lineRule="auto"/>
        <w:tabs>
          <w:tab w:leader="none" w:pos="327"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Stock-Based Compensation Stock Incentive Plan</w:t>
      </w:r>
    </w:p>
    <w:p>
      <w:pPr>
        <w:ind w:firstLine="648"/>
        <w:spacing w:after="0" w:line="272" w:lineRule="auto"/>
        <w:rPr>
          <w:sz w:val="20"/>
          <w:szCs w:val="20"/>
          <w:color w:val="auto"/>
        </w:rPr>
      </w:pPr>
      <w:r>
        <w:rPr>
          <w:rFonts w:ascii="Arial" w:cs="Arial" w:eastAsia="Arial" w:hAnsi="Arial"/>
          <w:sz w:val="17"/>
          <w:szCs w:val="17"/>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7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was estimated on the date of grant using the following assumptions during the period:</w:t>
      </w:r>
    </w:p>
    <w:p>
      <w:pPr>
        <w:spacing w:after="0" w:line="142"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Nine Months Ended</w:t>
      </w:r>
    </w:p>
    <w:p>
      <w:pPr>
        <w:jc w:val="center"/>
        <w:ind w:left="7820"/>
        <w:spacing w:after="0"/>
        <w:rPr>
          <w:sz w:val="20"/>
          <w:szCs w:val="20"/>
          <w:color w:val="auto"/>
        </w:rPr>
      </w:pPr>
      <w:r>
        <w:rPr>
          <w:rFonts w:ascii="Arial" w:cs="Arial" w:eastAsia="Arial" w:hAnsi="Arial"/>
          <w:sz w:val="18"/>
          <w:szCs w:val="18"/>
          <w:b w:val="1"/>
          <w:bCs w:val="1"/>
          <w:color w:val="auto"/>
        </w:rPr>
        <w:t>October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3.17 - 6.05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0.2% - 0.4%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 - 2.4%</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- 37.3%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- 37.9%</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31"/>
        </w:trPr>
        <w:tc>
          <w:tcPr>
            <w:tcW w:w="8100" w:type="dxa"/>
            <w:vAlign w:val="bottom"/>
            <w:gridSpan w:val="2"/>
          </w:tcPr>
          <w:p>
            <w:pPr>
              <w:ind w:left="660"/>
              <w:spacing w:after="0"/>
              <w:rPr>
                <w:sz w:val="20"/>
                <w:szCs w:val="20"/>
                <w:color w:val="auto"/>
              </w:rPr>
            </w:pPr>
            <w:r>
              <w:rPr>
                <w:rFonts w:ascii="Arial" w:cs="Arial" w:eastAsia="Arial" w:hAnsi="Arial"/>
                <w:sz w:val="18"/>
                <w:szCs w:val="18"/>
                <w:color w:val="auto"/>
                <w:w w:val="92"/>
              </w:rPr>
              <w:t>The following table is a summary of stock option activity for the nine months ended October 31, 2020:</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rPr>
              <w:t>Number of</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Weighted-Average</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91"/>
              <w:spacing w:after="0" w:line="162" w:lineRule="exact"/>
              <w:rPr>
                <w:sz w:val="20"/>
                <w:szCs w:val="20"/>
                <w:color w:val="auto"/>
              </w:rPr>
            </w:pPr>
            <w:r>
              <w:rPr>
                <w:rFonts w:ascii="Arial" w:cs="Arial" w:eastAsia="Arial" w:hAnsi="Arial"/>
                <w:sz w:val="17"/>
                <w:szCs w:val="17"/>
                <w:b w:val="1"/>
                <w:bCs w:val="1"/>
                <w:color w:val="auto"/>
                <w:w w:val="89"/>
              </w:rPr>
              <w:t>Exercise Price</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7"/>
                <w:szCs w:val="17"/>
                <w:b w:val="1"/>
                <w:bCs w:val="1"/>
                <w:color w:val="auto"/>
              </w:rPr>
              <w:t>Shares</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7"/>
                <w:szCs w:val="17"/>
                <w:b w:val="1"/>
                <w:bCs w:val="1"/>
                <w:color w:val="auto"/>
                <w:w w:val="90"/>
              </w:rPr>
              <w:t>Per Share</w:t>
            </w:r>
          </w:p>
        </w:tc>
        <w:tc>
          <w:tcPr>
            <w:tcW w:w="0" w:type="dxa"/>
            <w:vAlign w:val="bottom"/>
          </w:tcPr>
          <w:p>
            <w:pPr>
              <w:spacing w:after="0"/>
              <w:rPr>
                <w:sz w:val="1"/>
                <w:szCs w:val="1"/>
                <w:color w:val="auto"/>
              </w:rPr>
            </w:pPr>
          </w:p>
        </w:tc>
      </w:tr>
      <w:tr>
        <w:trPr>
          <w:trHeight w:val="20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31, 2020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14,689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October 31, 2020</w:t>
            </w: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8,521</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rPr>
              <w:t>Options vested and expected to vest at October 31, 2020</w:t>
            </w:r>
          </w:p>
        </w:tc>
        <w:tc>
          <w:tcPr>
            <w:tcW w:w="15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8,521</w:t>
            </w:r>
          </w:p>
        </w:tc>
        <w:tc>
          <w:tcPr>
            <w:tcW w:w="2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October 31, 2020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Options outstanding include 482,200 options that were unvested as of October 31, 2020.</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aggregate intrinsic value of options vested and exercisable was $527.6 million and $469.6 million as of October 31, 2020 and January 31, 2020, respectively. The weighted-average remaining contractual term of options vested and exercisable was 6.6 years and 6.7 years as of October 31, 2020 and January 31, 2020, respectively.</w:t>
      </w:r>
    </w:p>
    <w:p>
      <w:pPr>
        <w:spacing w:after="0" w:line="18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The weighted-average grant date fair values of all options granted was $121.00 per share during the three months ended October 31, 2020. No options were granted during the three months ended October 31, 2019. The weighted-average grant date fair values of all options granted was $66.31 and $9.51 per share during the nine months ended October 31, 2020 and October 31, 2019, respectively. The total intrinsic value of all options exercised was $162.4 million and $17.3 million during the three months ended October 31, 2020 and October 31, 2019, respectively, and $516.4 million and $107.0 million during the nine months ended October 31, 2020 and October 31, 2019, respectively.</w:t>
      </w:r>
    </w:p>
    <w:p>
      <w:pPr>
        <w:spacing w:after="0" w:line="17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aggregate intrinsic value of stock options outstanding as of October 31, 2020 and January 31, 2020 was $992.1 million and $816.3 million, respectively, which represents the excess of the fair value of the Company’s common stock over the exercise price of the options multiplied by the number of options outstanding. The weighted-average remaining contractual term of stock options outstanding was 7.1 years and 7.4 years as of October 31, 2020 and January 31, 2020, respectively.</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Total unrecognized stock-based compensation expense related to unvested options was $28.5 million as of October 31, 2020. This expense is expected to be amortized on a straight-line basis over a weighted-average vesting period of 1.8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for the three and nine months ended October 31, 2020. There were no issued shares of common stock related to early exercised stock options for the three months ended October 31, 2019. During the nine months ended October 31, 2019, the Company issued 1,037,356 shares of common stock related to early exercised stock options. As of October 31, 2020, the number of shares of</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5" w:name="page26"/>
    <w:bookmarkEnd w:id="2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common stock related to early exercised stock options subject to repurchase was 637,776 shares for $6.2 million. As of January 31, 2020, the number of shares of common stock related to early exercised stock options subject to repurchase was 984,417 shares for $8.7 million. Common stock purchased pursuant to an early exercise of stock options is not deemed to be outstanding for accounting purposes until those shares vest. The Company includes unvested shares subject to repurchase in the number of shares outstanding in the condensed consolidated statement of redeemable convertible preferred stock and stockholders’ equity.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Beginning in September 2018, the Company began issuing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w:t>
      </w:r>
    </w:p>
    <w:p>
      <w:pPr>
        <w:spacing w:after="0" w:line="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condensed consolidated statement of operations. Upon its IPO, the Company began issuing RSUs to its employees that generally have only a service-based vesting condition. The valuation of such RSUs is based solely on the fair value of the Company’s stock price on the date of grant.</w:t>
      </w:r>
    </w:p>
    <w:p>
      <w:pPr>
        <w:spacing w:after="0" w:line="1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Expense for RSUs that have a service-based vesting condition only are being amortized on a straight-line basis. Expense for RSUs that have both a service-based and a performance-based vesting condition are being amortized under the accelerated attribution method. Total unrecognized stock-based compensation expense related to unvested RSUs was $379.2 million as of October 31, 2020. This expense is expected to be amortized (subject to acceleration or straight-line basis) over a weighted-average vesting period of 2.7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Performance-based Stock Units</w:t>
      </w:r>
    </w:p>
    <w:p>
      <w:pPr>
        <w:spacing w:after="0" w:line="22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Performance-based stock units (“PSUs”) granted under the 2019 Plan are subject to both a service-based vesting condition and a performance-based vesting condition. PSUs will vest upon the achievement of specified performance targets and subject to continued service through the applicable vesting dates. The compensation cost is recognized over the requisite service period when it is probable that the performance condition will be satisfied. During the first quarter of the fiscal year, the Company’s compensation committee approved PSUs for certain employees. The performance goal for the grants primarily related to the revenue growth percentage for the fiscal year ended January 31, 2021. The number of PSUs earned corresponds to the performance period of fiscal year 2021, which can range between 0% and 130% of the target number of shares granted depending on the Company’s actual performance.</w:t>
      </w:r>
    </w:p>
    <w:p>
      <w:pPr>
        <w:spacing w:after="0" w:line="19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Expense for PSUs are being amortized under the accelerated attribution method and may be adjusted over the vesting period based on interim estimates of performance against pre-set objectives. Total unrecognized stock-based compensation expense related to unvested PSUs was $31.8 million as of October 31, 2020. This expense is expected to be amortized over a weighted-average vesting period of 1.6 years.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RSU and PSU activities for the nine months ended October 31,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213"/>
        </w:trPr>
        <w:tc>
          <w:tcPr>
            <w:tcW w:w="81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209"/>
        </w:trPr>
        <w:tc>
          <w:tcPr>
            <w:tcW w:w="8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RSUs and PSUs outstanding at January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4,456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RSUs and PSUs outstanding at October 31,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RSUs and PSUs expected to vest at October 31, 2020</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8,747</w:t>
            </w:r>
          </w:p>
        </w:tc>
        <w:tc>
          <w:tcPr>
            <w:tcW w:w="2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w:t>
      </w:r>
    </w:p>
    <w:p>
      <w:pPr>
        <w:spacing w:after="0" w:line="19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6"/>
          <w:szCs w:val="16"/>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 and post-modification fair values are calculated on the date of the modification, and the incremental expense is then amortized over the remaining purchase period. Incremental expense as a result of such modification was $0.8 million and $1.6 million for the three and nine months ended October 31, 2020.</w:t>
      </w:r>
    </w:p>
    <w:p>
      <w:pPr>
        <w:spacing w:after="0" w:line="17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Employee payroll contributions ultimately used to purchase shares are reclassified to stockholders’ equity on the purchase date. ESPP employee payroll contributions accrued at October 31, 2020 and January 31, 2020 totaled $14.9 million and $6.6 million are included within accrued payroll and benefits in the condensed consolidated balance sheets.</w:t>
      </w:r>
    </w:p>
    <w:p>
      <w:pPr>
        <w:spacing w:after="0" w:line="200" w:lineRule="exact"/>
        <w:rPr>
          <w:sz w:val="20"/>
          <w:szCs w:val="20"/>
          <w:color w:val="auto"/>
        </w:rPr>
      </w:pPr>
    </w:p>
    <w:p>
      <w:pPr>
        <w:spacing w:after="0" w:line="22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to be issued under the ESPP for the offering periods beginning in June 2019:</w:t>
      </w:r>
    </w:p>
    <w:p>
      <w:pPr>
        <w:spacing w:after="0" w:line="45" w:lineRule="exact"/>
        <w:rPr>
          <w:sz w:val="20"/>
          <w:szCs w:val="20"/>
          <w:color w:val="auto"/>
        </w:rPr>
      </w:pPr>
    </w:p>
    <w:p>
      <w:pPr>
        <w:jc w:val="center"/>
        <w:ind w:left="7860"/>
        <w:spacing w:after="0"/>
        <w:rPr>
          <w:sz w:val="20"/>
          <w:szCs w:val="20"/>
          <w:color w:val="auto"/>
        </w:rPr>
      </w:pPr>
      <w:r>
        <w:rPr>
          <w:rFonts w:ascii="Arial" w:cs="Arial" w:eastAsia="Arial" w:hAnsi="Arial"/>
          <w:sz w:val="16"/>
          <w:szCs w:val="16"/>
          <w:b w:val="1"/>
          <w:bCs w:val="1"/>
          <w:color w:val="auto"/>
        </w:rPr>
        <w:t>Nine Months Ended</w:t>
      </w:r>
    </w:p>
    <w:p>
      <w:pPr>
        <w:jc w:val="center"/>
        <w:ind w:left="7860"/>
        <w:spacing w:after="0"/>
        <w:rPr>
          <w:sz w:val="20"/>
          <w:szCs w:val="20"/>
          <w:color w:val="auto"/>
        </w:rPr>
      </w:pPr>
      <w:r>
        <w:rPr>
          <w:rFonts w:ascii="Arial" w:cs="Arial" w:eastAsia="Arial" w:hAnsi="Arial"/>
          <w:sz w:val="16"/>
          <w:szCs w:val="16"/>
          <w:b w:val="1"/>
          <w:bCs w:val="1"/>
          <w:color w:val="auto"/>
        </w:rPr>
        <w:t>October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Borders>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0.5 - 2.0</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0.5 - 2.0</w:t>
            </w: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6"/>
                <w:szCs w:val="16"/>
                <w:color w:val="auto"/>
              </w:rPr>
              <w:t>0.2% - 2.0%</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1.9 % - 2.2%</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stock price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 - 54.3%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 - 35.7%</w:t>
            </w:r>
          </w:p>
        </w:tc>
      </w:tr>
      <w:tr>
        <w:trPr>
          <w:trHeight w:val="210"/>
        </w:trPr>
        <w:tc>
          <w:tcPr>
            <w:tcW w:w="790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2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ectPr>
          <w:pgSz w:w="11900" w:h="16838" w:orient="portrait"/>
          <w:cols w:equalWidth="0" w:num="1">
            <w:col w:w="11220"/>
          </w:cols>
          <w:pgMar w:left="320" w:top="341" w:right="35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27" w:name="page28"/>
    <w:bookmarkEnd w:id="2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20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28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8"/>
              </w:rPr>
              <w:t>Nine Months Ended October 31,</w:t>
            </w:r>
          </w:p>
        </w:tc>
      </w:tr>
      <w:tr>
        <w:trPr>
          <w:trHeight w:val="210"/>
        </w:trPr>
        <w:tc>
          <w:tcPr>
            <w:tcW w:w="49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09"/>
        </w:trPr>
        <w:tc>
          <w:tcPr>
            <w:tcW w:w="4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cost of revenue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Professional services cost of revenue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3,947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1,531</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12,811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11,771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10,353</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11,251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29,357</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25,018</w:t>
            </w:r>
          </w:p>
        </w:tc>
      </w:tr>
      <w:tr>
        <w:trPr>
          <w:trHeight w:val="212"/>
        </w:trPr>
        <w:tc>
          <w:tcPr>
            <w:tcW w:w="4900" w:type="dxa"/>
            <w:vAlign w:val="bottom"/>
          </w:tcPr>
          <w:p>
            <w:pPr>
              <w:ind w:left="140"/>
              <w:spacing w:after="0"/>
              <w:rPr>
                <w:sz w:val="20"/>
                <w:szCs w:val="20"/>
                <w:color w:val="auto"/>
              </w:rPr>
            </w:pPr>
            <w:r>
              <w:rPr>
                <w:rFonts w:ascii="Arial" w:cs="Arial" w:eastAsia="Arial" w:hAnsi="Arial"/>
                <w:sz w:val="16"/>
                <w:szCs w:val="16"/>
                <w:color w:val="auto"/>
              </w:rPr>
              <w:t>Total stock-based compensation expense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40,610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101,961</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55,577</w:t>
            </w:r>
          </w:p>
        </w:tc>
      </w:tr>
      <w:tr>
        <w:trPr>
          <w:trHeight w:val="21"/>
        </w:trPr>
        <w:tc>
          <w:tcPr>
            <w:tcW w:w="4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10.</w:t>
      </w:r>
      <w:r>
        <w:rPr>
          <w:sz w:val="20"/>
          <w:szCs w:val="20"/>
          <w:color w:val="auto"/>
        </w:rPr>
        <w:tab/>
      </w:r>
      <w:r>
        <w:rPr>
          <w:rFonts w:ascii="Arial" w:cs="Arial" w:eastAsia="Arial" w:hAnsi="Arial"/>
          <w:sz w:val="15"/>
          <w:szCs w:val="15"/>
          <w:b w:val="1"/>
          <w:bCs w:val="1"/>
          <w:i w:val="1"/>
          <w:iCs w:val="1"/>
          <w:color w:val="auto"/>
        </w:rPr>
        <w:t>Revenue, Deferred Revenue and Remaining Performance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revenue from contracts by type of customer: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October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Nine Months Ended October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1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44"/>
              <w:spacing w:after="0"/>
              <w:rPr>
                <w:sz w:val="20"/>
                <w:szCs w:val="20"/>
                <w:color w:val="auto"/>
              </w:rPr>
            </w:pPr>
            <w:r>
              <w:rPr>
                <w:rFonts w:ascii="Arial" w:cs="Arial" w:eastAsia="Arial" w:hAnsi="Arial"/>
                <w:sz w:val="14"/>
                <w:szCs w:val="14"/>
                <w:b w:val="1"/>
                <w:bCs w:val="1"/>
                <w:color w:val="auto"/>
                <w:w w:val="83"/>
              </w:rPr>
              <w:t>2019</w:t>
            </w:r>
          </w:p>
        </w:tc>
      </w:tr>
      <w:tr>
        <w:trPr>
          <w:trHeight w:val="183"/>
        </w:trPr>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9"/>
              </w:rPr>
              <w:t>% Revenue</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6"/>
              </w:rPr>
              <w:t>% Revenue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 Revenue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 Revenue</w:t>
            </w:r>
          </w:p>
        </w:tc>
      </w:tr>
      <w:tr>
        <w:trPr>
          <w:trHeight w:val="183"/>
        </w:trPr>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6"/>
          </w:tcPr>
          <w:p>
            <w:pPr>
              <w:spacing w:after="0"/>
              <w:rPr>
                <w:sz w:val="20"/>
                <w:szCs w:val="20"/>
                <w:color w:val="auto"/>
              </w:rPr>
            </w:pPr>
            <w:r>
              <w:rPr>
                <w:rFonts w:ascii="Arial" w:cs="Arial" w:eastAsia="Arial" w:hAnsi="Arial"/>
                <w:sz w:val="14"/>
                <w:szCs w:val="14"/>
                <w:b w:val="1"/>
                <w:bCs w:val="1"/>
                <w:color w:val="auto"/>
              </w:rPr>
              <w:t>(in thousands, except percentages)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(in thousands, except percentages)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7"/>
        </w:trPr>
        <w:tc>
          <w:tcPr>
            <w:tcW w:w="1740" w:type="dxa"/>
            <w:vAlign w:val="bottom"/>
            <w:shd w:val="clear" w:color="auto" w:fill="CCEEFF"/>
          </w:tcPr>
          <w:p>
            <w:pPr>
              <w:jc w:val="center"/>
              <w:ind w:right="499"/>
              <w:spacing w:after="0"/>
              <w:rPr>
                <w:sz w:val="20"/>
                <w:szCs w:val="20"/>
                <w:color w:val="auto"/>
              </w:rPr>
            </w:pPr>
            <w:r>
              <w:rPr>
                <w:rFonts w:ascii="Arial" w:cs="Arial" w:eastAsia="Arial" w:hAnsi="Arial"/>
                <w:sz w:val="16"/>
                <w:szCs w:val="16"/>
                <w:color w:val="auto"/>
                <w:w w:val="89"/>
              </w:rPr>
              <w:t>Channel Partners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223,152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13"/>
        </w:trPr>
        <w:tc>
          <w:tcPr>
            <w:tcW w:w="1740" w:type="dxa"/>
            <w:vAlign w:val="bottom"/>
            <w:tcBorders>
              <w:bottom w:val="single" w:sz="8" w:color="CCEEFF"/>
            </w:tcBorders>
          </w:tcPr>
          <w:p>
            <w:pPr>
              <w:jc w:val="center"/>
              <w:ind w:right="479"/>
              <w:spacing w:after="0"/>
              <w:rPr>
                <w:sz w:val="20"/>
                <w:szCs w:val="20"/>
                <w:color w:val="auto"/>
              </w:rPr>
            </w:pPr>
            <w:r>
              <w:rPr>
                <w:rFonts w:ascii="Arial" w:cs="Arial" w:eastAsia="Arial" w:hAnsi="Arial"/>
                <w:sz w:val="16"/>
                <w:szCs w:val="16"/>
                <w:color w:val="auto"/>
                <w:w w:val="92"/>
              </w:rPr>
              <w:t>Direct Customers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106,152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r>
      <w:tr>
        <w:trPr>
          <w:trHeight w:val="233"/>
        </w:trPr>
        <w:tc>
          <w:tcPr>
            <w:tcW w:w="1740" w:type="dxa"/>
            <w:vAlign w:val="bottom"/>
            <w:shd w:val="clear" w:color="auto" w:fill="CCEEFF"/>
          </w:tcPr>
          <w:p>
            <w:pPr>
              <w:jc w:val="center"/>
              <w:ind w:right="479"/>
              <w:spacing w:after="0"/>
              <w:rPr>
                <w:sz w:val="20"/>
                <w:szCs w:val="20"/>
                <w:color w:val="auto"/>
              </w:rPr>
            </w:pPr>
            <w:r>
              <w:rPr>
                <w:rFonts w:ascii="Arial" w:cs="Arial" w:eastAsia="Arial" w:hAnsi="Arial"/>
                <w:sz w:val="16"/>
                <w:szCs w:val="16"/>
                <w:color w:val="auto"/>
                <w:w w:val="91"/>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329,304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7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revenue by region based on the shipping address of customers who have contracted to use the Company’s platform or service: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October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Nine Months Ended October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 Revenue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 Revenue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Revenue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Revenue</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6"/>
          </w:tcPr>
          <w:p>
            <w:pPr>
              <w:spacing w:after="0"/>
              <w:rPr>
                <w:sz w:val="20"/>
                <w:szCs w:val="20"/>
                <w:color w:val="auto"/>
              </w:rPr>
            </w:pPr>
            <w:r>
              <w:rPr>
                <w:rFonts w:ascii="Arial" w:cs="Arial" w:eastAsia="Arial" w:hAnsi="Arial"/>
                <w:sz w:val="14"/>
                <w:szCs w:val="14"/>
                <w:b w:val="1"/>
                <w:bCs w:val="1"/>
                <w:color w:val="auto"/>
              </w:rPr>
              <w:t>(in thousands, except percentages)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(in thousands, except percentages)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245,055</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w w:val="99"/>
              </w:rPr>
              <w:t>Europe, Middle East,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33,192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17,609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86,785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46,029</w:t>
            </w:r>
          </w:p>
        </w:tc>
        <w:tc>
          <w:tcPr>
            <w:tcW w:w="1300" w:type="dxa"/>
            <w:vAlign w:val="bottom"/>
            <w:gridSpan w:val="3"/>
            <w:vMerge w:val="restart"/>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and Africa</w:t>
            </w: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13,392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8"/>
        </w:trPr>
        <w:tc>
          <w:tcPr>
            <w:tcW w:w="1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329,304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three and nine months ended October 31, 2020 and October 31, 2019.</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8" w:name="page29"/>
    <w:bookmarkEnd w:id="2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Balances</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Contract liabilities consist of deferred revenue and include payments received in advance of performance under the contract. Such amounts are recognized as revenue over the contractual period. The Company recognized revenue of $185.7 million and $103.3 million for the three months ended October 31, 2020 and October 31, 2019, respectively, and $354.5 million and $203.7 million for the nine months ended October 31, 2020 and October 31, 2019, respectively, that were included in the corresponding contract liability balance at the beginning of the period.</w:t>
      </w:r>
    </w:p>
    <w:p>
      <w:pPr>
        <w:spacing w:after="0" w:line="157"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deferred revenue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284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w w:val="98"/>
              </w:rPr>
              <w:t>Nine Months Ended October 31,</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09"/>
        </w:trPr>
        <w:tc>
          <w:tcPr>
            <w:tcW w:w="4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6"/>
                <w:szCs w:val="16"/>
                <w:b w:val="1"/>
                <w:bCs w:val="1"/>
                <w:color w:val="auto"/>
                <w:w w:val="94"/>
              </w:rPr>
              <w:t>Carrying Amount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89"/>
              </w:rPr>
              <w:t>689,840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89"/>
              </w:rPr>
              <w:t>369,762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2"/>
              </w:rPr>
              <w:t>571,168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9"/>
              </w:rPr>
              <w:t>290,067</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Additions to deferred revenue</w:t>
            </w:r>
          </w:p>
        </w:tc>
        <w:tc>
          <w:tcPr>
            <w:tcW w:w="240" w:type="dxa"/>
            <w:vAlign w:val="bottom"/>
          </w:tcPr>
          <w:p>
            <w:pPr>
              <w:spacing w:after="0"/>
              <w:rPr>
                <w:sz w:val="19"/>
                <w:szCs w:val="19"/>
                <w:color w:val="auto"/>
              </w:rPr>
            </w:pPr>
          </w:p>
        </w:tc>
        <w:tc>
          <w:tcPr>
            <w:tcW w:w="1260" w:type="dxa"/>
            <w:vAlign w:val="bottom"/>
          </w:tcPr>
          <w:p>
            <w:pPr>
              <w:jc w:val="center"/>
              <w:ind w:left="433"/>
              <w:spacing w:after="0"/>
              <w:rPr>
                <w:sz w:val="20"/>
                <w:szCs w:val="20"/>
                <w:color w:val="auto"/>
              </w:rPr>
            </w:pPr>
            <w:r>
              <w:rPr>
                <w:rFonts w:ascii="Arial" w:cs="Arial" w:eastAsia="Arial" w:hAnsi="Arial"/>
                <w:sz w:val="18"/>
                <w:szCs w:val="18"/>
                <w:color w:val="auto"/>
                <w:w w:val="89"/>
              </w:rPr>
              <w:t>305,294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334"/>
              <w:spacing w:after="0"/>
              <w:rPr>
                <w:sz w:val="20"/>
                <w:szCs w:val="20"/>
                <w:color w:val="auto"/>
              </w:rPr>
            </w:pPr>
            <w:r>
              <w:rPr>
                <w:rFonts w:ascii="Arial" w:cs="Arial" w:eastAsia="Arial" w:hAnsi="Arial"/>
                <w:sz w:val="18"/>
                <w:szCs w:val="18"/>
                <w:color w:val="auto"/>
                <w:w w:val="89"/>
              </w:rPr>
              <w:t>202,996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413"/>
              <w:spacing w:after="0"/>
              <w:rPr>
                <w:sz w:val="20"/>
                <w:szCs w:val="20"/>
                <w:color w:val="auto"/>
              </w:rPr>
            </w:pPr>
            <w:r>
              <w:rPr>
                <w:rFonts w:ascii="Arial" w:cs="Arial" w:eastAsia="Arial" w:hAnsi="Arial"/>
                <w:sz w:val="18"/>
                <w:szCs w:val="18"/>
                <w:color w:val="auto"/>
                <w:w w:val="92"/>
              </w:rPr>
              <w:t>801,015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332"/>
              <w:spacing w:after="0"/>
              <w:rPr>
                <w:sz w:val="20"/>
                <w:szCs w:val="20"/>
                <w:color w:val="auto"/>
              </w:rPr>
            </w:pPr>
            <w:r>
              <w:rPr>
                <w:rFonts w:ascii="Arial" w:cs="Arial" w:eastAsia="Arial" w:hAnsi="Arial"/>
                <w:sz w:val="18"/>
                <w:szCs w:val="18"/>
                <w:color w:val="auto"/>
                <w:w w:val="89"/>
              </w:rPr>
              <w:t>486,876</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90"/>
              </w:rPr>
              <w:t>(232,460)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0"/>
              </w:rPr>
              <w:t>(125,119)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90"/>
              </w:rPr>
              <w:t>(609,509)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90"/>
              </w:rPr>
              <w:t>(329,304)</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color w:val="auto"/>
                <w:w w:val="89"/>
              </w:rPr>
              <w:t>762,674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w w:val="89"/>
              </w:rPr>
              <w:t>447,639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92"/>
              </w:rPr>
              <w:t>762,674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9"/>
              </w:rPr>
              <w:t>447,639</w:t>
            </w:r>
          </w:p>
        </w:tc>
      </w:tr>
      <w:tr>
        <w:trPr>
          <w:trHeight w:val="21"/>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Remaining Performance Obligations</w:t>
      </w:r>
    </w:p>
    <w:p>
      <w:pPr>
        <w:spacing w:after="0" w:line="225"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October 31, 2020, the aggregate amount of the transaction price allocated to remaining performance obligations was $1.07 billion. The Company expects to recognize 73% of the remaining performance obligations in the 12 months following October 31, 2020, with the remainder to be recognized thereafter.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to Obtain and Fulfill a Contract</w:t>
      </w:r>
    </w:p>
    <w:p>
      <w:pPr>
        <w:spacing w:after="0" w:line="225"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Company capitalizes referral fees paid to partners and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4 years while commissions paid for renewal contracts are amortized over the contractual term of the renewals. Sales commissions associated with professional service contracts are amortized ratably over an estimated period of benefit of six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nine months ended October 31, 2020 and October 31, 2019, respectively.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deferred contract acquisition costs: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284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w w:val="98"/>
              </w:rPr>
              <w:t>Nine Months Ended October 31,</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r>
      <w:tr>
        <w:trPr>
          <w:trHeight w:val="209"/>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7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0"/>
              </w:rPr>
              <w:t>38,765</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Adjustment due to adoption of ASU 606</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center"/>
              <w:ind w:left="411"/>
              <w:spacing w:after="0"/>
              <w:rPr>
                <w:sz w:val="20"/>
                <w:szCs w:val="20"/>
                <w:color w:val="auto"/>
              </w:rPr>
            </w:pPr>
            <w:r>
              <w:rPr>
                <w:rFonts w:ascii="Arial" w:cs="Arial" w:eastAsia="Arial" w:hAnsi="Arial"/>
                <w:sz w:val="18"/>
                <w:szCs w:val="18"/>
                <w:color w:val="auto"/>
                <w:w w:val="90"/>
              </w:rPr>
              <w:t>24,306</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0"/>
              </w:rPr>
              <w:t>55,238</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89"/>
              </w:rPr>
              <w:t>(24,125)</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11"/>
              <w:spacing w:after="0"/>
              <w:rPr>
                <w:sz w:val="20"/>
                <w:szCs w:val="20"/>
                <w:color w:val="auto"/>
              </w:rPr>
            </w:pPr>
            <w:r>
              <w:rPr>
                <w:rFonts w:ascii="Arial" w:cs="Arial" w:eastAsia="Arial" w:hAnsi="Arial"/>
                <w:sz w:val="18"/>
                <w:szCs w:val="18"/>
                <w:color w:val="auto"/>
                <w:w w:val="90"/>
              </w:rPr>
              <w:t>94,184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0"/>
              </w:rPr>
              <w:t>35,924</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1"/>
              <w:spacing w:after="0"/>
              <w:rPr>
                <w:sz w:val="20"/>
                <w:szCs w:val="20"/>
                <w:color w:val="auto"/>
              </w:rPr>
            </w:pPr>
            <w:r>
              <w:rPr>
                <w:rFonts w:ascii="Arial" w:cs="Arial" w:eastAsia="Arial" w:hAnsi="Arial"/>
                <w:sz w:val="18"/>
                <w:szCs w:val="18"/>
                <w:color w:val="auto"/>
                <w:w w:val="90"/>
              </w:rPr>
              <w:t>58,260</w:t>
            </w:r>
          </w:p>
        </w:tc>
      </w:tr>
      <w:tr>
        <w:trPr>
          <w:trHeight w:val="248"/>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deferred contract acquisition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11"/>
              <w:spacing w:after="0"/>
              <w:rPr>
                <w:sz w:val="20"/>
                <w:szCs w:val="20"/>
                <w:color w:val="auto"/>
              </w:rPr>
            </w:pPr>
            <w:r>
              <w:rPr>
                <w:rFonts w:ascii="Arial" w:cs="Arial" w:eastAsia="Arial" w:hAnsi="Arial"/>
                <w:sz w:val="18"/>
                <w:szCs w:val="18"/>
                <w:color w:val="auto"/>
                <w:w w:val="90"/>
              </w:rPr>
              <w:t>94,184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8380" w:hanging="652"/>
        <w:spacing w:after="0" w:line="601" w:lineRule="auto"/>
        <w:tabs>
          <w:tab w:leader="none" w:pos="407"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Purchase Obligations</w:t>
      </w:r>
    </w:p>
    <w:p>
      <w:pPr>
        <w:ind w:right="60" w:firstLine="648"/>
        <w:spacing w:after="0" w:line="263" w:lineRule="auto"/>
        <w:rPr>
          <w:sz w:val="20"/>
          <w:szCs w:val="20"/>
          <w:color w:val="auto"/>
        </w:rPr>
      </w:pPr>
      <w:r>
        <w:rPr>
          <w:rFonts w:ascii="Arial" w:cs="Arial" w:eastAsia="Arial" w:hAnsi="Arial"/>
          <w:sz w:val="18"/>
          <w:szCs w:val="18"/>
          <w:color w:val="auto"/>
        </w:rPr>
        <w:t>The Company enters into long-term non-cancelable agreements with providers to purchase data center capacity, such as bandwidth and colocation space, for the Company’s cloud platform. As of October 31, 2020, the Company is committed to spend $117.6 million on such agreements through 2027. These obligations are included in purchase obligations below.</w:t>
      </w:r>
    </w:p>
    <w:p>
      <w:pPr>
        <w:spacing w:after="0" w:line="184"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as of October 31, 2020 with expected date of payment is as follows:</w:t>
      </w:r>
    </w:p>
    <w:tbl>
      <w:tblPr>
        <w:tblLayout w:type="fixed"/>
        <w:tblInd w:w="0" w:type="dxa"/>
        <w:tblCellMar>
          <w:top w:w="0" w:type="dxa"/>
          <w:left w:w="0" w:type="dxa"/>
          <w:bottom w:w="0" w:type="dxa"/>
          <w:right w:w="0" w:type="dxa"/>
        </w:tblCellMar>
      </w:tblPr>
      <w:tr>
        <w:trPr>
          <w:trHeight w:val="146"/>
        </w:trPr>
        <w:tc>
          <w:tcPr>
            <w:tcW w:w="9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15"/>
              <w:spacing w:after="0" w:line="147" w:lineRule="exact"/>
              <w:rPr>
                <w:sz w:val="20"/>
                <w:szCs w:val="20"/>
                <w:color w:val="auto"/>
              </w:rPr>
            </w:pPr>
            <w:r>
              <w:rPr>
                <w:rFonts w:ascii="Arial" w:cs="Arial" w:eastAsia="Arial" w:hAnsi="Arial"/>
                <w:sz w:val="14"/>
                <w:szCs w:val="14"/>
                <w:b w:val="1"/>
                <w:bCs w:val="1"/>
                <w:color w:val="auto"/>
              </w:rPr>
              <w:t>Total</w:t>
            </w:r>
          </w:p>
        </w:tc>
      </w:tr>
      <w:tr>
        <w:trPr>
          <w:trHeight w:val="188"/>
        </w:trPr>
        <w:tc>
          <w:tcPr>
            <w:tcW w:w="9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Commitments</w:t>
            </w:r>
          </w:p>
        </w:tc>
      </w:tr>
      <w:tr>
        <w:trPr>
          <w:trHeight w:val="183"/>
        </w:trPr>
        <w:tc>
          <w:tcPr>
            <w:tcW w:w="9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 (remaining three months)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35,855</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81,599</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10,814</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purchase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149,617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above table does not reflect additional commitments of $88.4 million of non-cancelable purchase obligations from fiscal year 2022 through fiscal year 2025 in connection with the extension of an existing agreement, which extension was entered into in November 2020 and will be included in the table above in subsequent periods.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October 31, 2020 and January 31, 2020, the Company had an unused standby letter of credit for $0.4 million and $0.6 million, respectively, securing its headquarters facility in Sunnyvale, California. As of both October 31, 2020 and January 31, 2020, the Company had an unused standby letter of credit for $1.0 million, securing its facility in Austin, Texas.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The Company is currently involved in proceedings before the Trademark Trial and Appeal Board (“TTAB”) at the U.S. Patent and Trademark Office (the “USPTO”) regarding its U.S. trademark registrations for “CrowdStrike Falcon” and its U.S. application to register its “Falcon OverWatch” trademark. On November 23, 2016, Fair Isaac Corporation (“FICO”) filed a Petition for Cancellation of the Company’s “CrowdStrike Falcon” trademark registrations and a Notice of Opposition against the Company’s “Falcon OverWatch” trademark application before the USPTO, TTAB. On January 3, 2017, the Company filed answers to both the cancellation and opposition proceedings, and the proceedings thereafter were consolidated. On November 21, 2018, the Company filed a Petition for Partial Cancellation or Amendment of one of FICO’s “Falcon” trademark registrations, and on December 10, 2018, the parties filed a joint request to consolidate the proceedings and adjust the schedule. On January 16, 2019, FICO moved to dismiss the Company’s petition. On July 2, 2019, the TTAB consolidated the proceedings and granted FICO’s motion to dismiss with leave to amend. On July 22, 2019, the Company filed its Amended Petition for Cancellation or Amendment and on August 12, 2019, FICO moved to dismiss the Company’s Amended Petition for Cancellation or Amendment. On January 31, 2020, the TTAB denied the motion to dismiss as to two grounds for partial cancellation and as to the request for amendment, and granted the motion as to a third ground for partial cancellation of one of FICO’s “Falcon” registrations and the claim for abandonment of both of FICO’s “Falcon” trademark registrations, with the right to reassert both claims for relief. On March 18, 2020, the Company filed a motion for leave to file a Second Amended Petition to include a claim for abandonment for two of FICO’s “Falcon” trademark registrations. On August 3, 2020, the TTAB granted the motion for leave to file in part, and set a new schedule for the consolidated proceedings, with trial periods set to begin in May 2021. On August 13, 2020, the Company filed a separate petition to cancel one of FICO’s Falcon trademark registrations, and on August 24, 2020, the Company filed a Second Amended petition for Cancellation or Amendment as to the other FICO Falcon trademark registrations. FICO moved to dismiss these petitions on September 28, 2020. The proceedings are suspended while the TTAB considers the motion. The Company is vigorously defending the case, but given the early stage, although a loss may reasonably be possible, the Company is unable to predict the likelihood of success of FICO’s claims or estimate a loss or a range of loss. As a result, no liability has been recorded as of October 31, 2020 or January 31, 2020.</w:t>
      </w:r>
    </w:p>
    <w:p>
      <w:pPr>
        <w:spacing w:after="0" w:line="17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from time to time the Company is a party to various litigation matters and subject to claims that arise in the ordinary course of business. In addition, third parties may from time to time assert claims against the Company in the form of letters and other communications.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condensed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2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7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October 31, 2020 or January 31, 2020.</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6"/>
          <w:szCs w:val="16"/>
          <w:b w:val="1"/>
          <w:bCs w:val="1"/>
          <w:i w:val="1"/>
          <w:iCs w:val="1"/>
          <w:color w:val="auto"/>
        </w:rPr>
        <w:t>Geographic Information</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Company’s long-lived assets are composed of property and equipment, net, and operating lease right-of-use assets, are summarized by geographic area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31,</w:t>
            </w:r>
          </w:p>
        </w:tc>
        <w:tc>
          <w:tcPr>
            <w:tcW w:w="24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31,</w:t>
            </w:r>
          </w:p>
        </w:tc>
      </w:tr>
      <w:tr>
        <w:trPr>
          <w:trHeight w:val="213"/>
        </w:trPr>
        <w:tc>
          <w:tcPr>
            <w:tcW w:w="8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0"/>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125,409</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10,669</w:t>
            </w:r>
          </w:p>
        </w:tc>
      </w:tr>
      <w:tr>
        <w:trPr>
          <w:trHeight w:val="237"/>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property and equipment, net and operating lease right-of-use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136,078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long-lived assets as of October 31, 2020 or January 31, 2020.</w:t>
      </w: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5"/>
          <w:szCs w:val="15"/>
          <w:b w:val="1"/>
          <w:bCs w:val="1"/>
          <w:i w:val="1"/>
          <w:iCs w:val="1"/>
          <w:color w:val="auto"/>
        </w:rPr>
        <w:t>Related Party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and Professional Services Revenue from Related Parties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three and nine months ended October 31, 2020 and 2019, certain investors and companies with whom the Company’s Board of Directors are affiliated with purchased subscriptions and professional services. The Company recorded revenue from subscriptions and professional services from related parties of $1.1 million and $2.2 million during the three months ended October 31, 2020 and October 31, 2019, respectively, and $3.0 million and $6.8 million during the nine months ended October 31, 2020 and October 31, 2019, respectively. Accounts receivable associated with these related parties were both $0.2 million as of October 31, 2020 and January 31,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purchased goods and services totaling $6.0 million and $0.9 million, respectively, from certain investors and companies with whom its Board of Directors are affiliated with during the three months ended October 31, 2020 and 2019, respectively, and $6.2 million and $2.4 million during the nine months ended October 31, 2020 and 2019, respectively. The accounts payable to such vendors were immaterial as of October 31, 2020 and January 31, 2020.</w:t>
      </w:r>
    </w:p>
    <w:p>
      <w:pPr>
        <w:spacing w:after="0" w:line="1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5"/>
          <w:szCs w:val="15"/>
          <w:b w:val="1"/>
          <w:bCs w:val="1"/>
          <w:i w:val="1"/>
          <w:iCs w:val="1"/>
          <w:color w:val="auto"/>
        </w:rPr>
        <w:t>Acquisitions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September 30, 2020, the Company acquired 100% of the equity interest of Preempt Security, Inc. (“Preempt Security”), a privately-held Delaware corporation that developed real-time access control and threat prevention (the “Acquisition”). The Acquisition has been accounted for a business combination. The total consideration transferred was $91.2 million which consisted of $87.4 million in cash and $3.8 million representing the fair value of replacement equity awards attributable to pre-acquisition service. The purchase price was allocated, on a preliminary basis, to identified intangible assets, which include developed technology, customer relationships and trade names, of $16.4 million, net tangible assets acquired of $(0.4) million and goodwill of $75.2 million allocated to the Company’s one reporting segment, representing the excess of the purchase price over the fair value of net tangible and intangible assets acquired. The goodwill was primarily attributable to the assembled workforce of Preempt Security, planned growth in new markets and synergies expected to be achieved from the integration of Preempt Security. Goodwill is not deductible for income tax purposes.</w:t>
      </w:r>
    </w:p>
    <w:p>
      <w:pPr>
        <w:spacing w:after="0" w:line="16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Per the terms of the merger agreement with Preempt Security, certain unvested stock options held by Preempt Security employees were canceled and exchanged for replacement stock options under the 2019 Plan. Additionally, certain shares of stock issued pursuant to share-based compensation awards to key employees of Preempt Security were canceled and exchanged for replacement RSUs of the Company, which are subject to future vesting. The portion of the fair value of the replacement equity awards associated with pre-acquisition service of Preempt Security’s employees represented a component of the total purchase consideration. The remaining fair value of these issued awards is subject to the recipients’ continued service with the Company and the achievement of specified performance targets, and thus were excluded from the purchase price. The awards which are subject to continued service will be recognized ratably as stock-based compensation expense over the requisite service period. The awards which are based on specified performance targets will be recognized under the accelerated attribution method. The Company is still finalizing the allocation of the purchase price, which may be subject to change as additional information becomes available.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40" w:firstLine="648"/>
        <w:spacing w:after="0" w:line="271"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w w:val="94"/>
              </w:rPr>
              <w:t>(in thousands)</w:t>
            </w:r>
          </w:p>
        </w:tc>
        <w:tc>
          <w:tcPr>
            <w:tcW w:w="10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(in months)</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incurred non-consideration acquisition expense of $2.1 million during both the three and nine months ended October 31, 2020. The acquisition costs are recorded in general and administrative expenses on the Company’s condensed consolidated statement of operations.</w:t>
      </w:r>
    </w:p>
    <w:p>
      <w:pPr>
        <w:spacing w:after="0" w:line="15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results of operations of Preempt Security have been included in the Company’s consolidated financial statements from the date of acquisition. The acquisition of Preempt Security did not have a material impact on the Company’s consolidated financial statements, and therefore historical and pro forma disclosures have not been presented.</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5"/>
          <w:szCs w:val="15"/>
          <w:b w:val="1"/>
          <w:bCs w:val="1"/>
          <w:i w:val="1"/>
          <w:iCs w:val="1"/>
          <w:color w:val="auto"/>
        </w:rPr>
        <w:t>Net Loss Per Share Attributable to Common Stockholders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ind w:left="120"/>
              <w:spacing w:after="0"/>
              <w:rPr>
                <w:sz w:val="20"/>
                <w:szCs w:val="20"/>
                <w:color w:val="auto"/>
              </w:rPr>
            </w:pPr>
            <w:r>
              <w:rPr>
                <w:rFonts w:ascii="Arial" w:cs="Arial" w:eastAsia="Arial" w:hAnsi="Arial"/>
                <w:sz w:val="17"/>
                <w:szCs w:val="17"/>
                <w:b w:val="1"/>
                <w:bCs w:val="1"/>
                <w:color w:val="auto"/>
              </w:rPr>
              <w:t>Three Months Ended October 31,</w:t>
            </w:r>
          </w:p>
        </w:tc>
        <w:tc>
          <w:tcPr>
            <w:tcW w:w="240" w:type="dxa"/>
            <w:vAlign w:val="bottom"/>
          </w:tcPr>
          <w:p>
            <w:pPr>
              <w:spacing w:after="0"/>
              <w:rPr>
                <w:sz w:val="19"/>
                <w:szCs w:val="19"/>
                <w:color w:val="auto"/>
              </w:rPr>
            </w:pPr>
          </w:p>
        </w:tc>
        <w:tc>
          <w:tcPr>
            <w:tcW w:w="2880" w:type="dxa"/>
            <w:vAlign w:val="bottom"/>
            <w:gridSpan w:val="4"/>
          </w:tcPr>
          <w:p>
            <w:pPr>
              <w:jc w:val="right"/>
              <w:ind w:right="290"/>
              <w:spacing w:after="0"/>
              <w:rPr>
                <w:sz w:val="20"/>
                <w:szCs w:val="20"/>
                <w:color w:val="auto"/>
              </w:rPr>
            </w:pPr>
            <w:r>
              <w:rPr>
                <w:rFonts w:ascii="Arial" w:cs="Arial" w:eastAsia="Arial" w:hAnsi="Arial"/>
                <w:sz w:val="17"/>
                <w:szCs w:val="17"/>
                <w:b w:val="1"/>
                <w:bCs w:val="1"/>
                <w:color w:val="auto"/>
                <w:w w:val="96"/>
              </w:rPr>
              <w:t>Nine Months Ended October 31,</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Weighted-average shares used in computing net loss per share</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185,579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159,402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Net loss per share attributable to common stockholders, basic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B Common Stock</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(103,969)</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Weighted-average shares used in computing net loss per share</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33,822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183,393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117,393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Net loss per share attributable to common stockholders, basic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20" w:type="dxa"/>
            <w:vAlign w:val="bottom"/>
            <w:gridSpan w:val="3"/>
          </w:tcPr>
          <w:p>
            <w:pPr>
              <w:ind w:left="400"/>
              <w:spacing w:after="0"/>
              <w:rPr>
                <w:sz w:val="20"/>
                <w:szCs w:val="20"/>
                <w:color w:val="auto"/>
              </w:rPr>
            </w:pPr>
            <w:r>
              <w:rPr>
                <w:rFonts w:ascii="Arial" w:cs="Arial" w:eastAsia="Arial" w:hAnsi="Arial"/>
                <w:sz w:val="14"/>
                <w:szCs w:val="14"/>
                <w:b w:val="1"/>
                <w:bCs w:val="1"/>
                <w:color w:val="auto"/>
              </w:rPr>
              <w:t>October 31,</w:t>
            </w: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w w:val="90"/>
              </w:rPr>
              <w:t>October 31,</w:t>
            </w:r>
          </w:p>
        </w:tc>
      </w:tr>
      <w:tr>
        <w:trPr>
          <w:trHeight w:val="188"/>
        </w:trPr>
        <w:tc>
          <w:tcPr>
            <w:tcW w:w="8100" w:type="dxa"/>
            <w:vAlign w:val="bottom"/>
          </w:tcPr>
          <w:p>
            <w:pPr>
              <w:spacing w:after="0"/>
              <w:rPr>
                <w:sz w:val="16"/>
                <w:szCs w:val="16"/>
                <w:color w:val="auto"/>
              </w:rPr>
            </w:pPr>
          </w:p>
        </w:tc>
        <w:tc>
          <w:tcPr>
            <w:tcW w:w="15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2020" w:type="dxa"/>
            <w:vAlign w:val="bottom"/>
            <w:gridSpan w:val="3"/>
          </w:tcPr>
          <w:p>
            <w:pPr>
              <w:ind w:left="1140"/>
              <w:spacing w:after="0"/>
              <w:rPr>
                <w:sz w:val="20"/>
                <w:szCs w:val="20"/>
                <w:color w:val="auto"/>
              </w:rPr>
            </w:pPr>
            <w:r>
              <w:rPr>
                <w:rFonts w:ascii="Arial" w:cs="Arial" w:eastAsia="Arial" w:hAnsi="Arial"/>
                <w:sz w:val="14"/>
                <w:szCs w:val="14"/>
                <w:b w:val="1"/>
                <w:bCs w:val="1"/>
                <w:color w:val="auto"/>
                <w:w w:val="89"/>
              </w:rPr>
              <w:t>(in thousands)</w:t>
            </w:r>
          </w:p>
        </w:tc>
        <w:tc>
          <w:tcPr>
            <w:tcW w:w="112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repurchase from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RSUs and PSUs subject to future vesting</w:t>
            </w:r>
          </w:p>
        </w:tc>
        <w:tc>
          <w:tcPr>
            <w:tcW w:w="1520" w:type="dxa"/>
            <w:vAlign w:val="bottom"/>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6,909</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issuable from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20,701</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purchase rights under the 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Potential common shares excluded from diluted net loss per share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5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believe we are defining a new category called the Security Cloud, with the power to transform the security industry much the same way the cloud has transformed the customer relationship management, human resources,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We initially provided intelligence and incident response services while we developed our Falcon platform. In June 2013, we first began providing endpoint detection and response, or EDR, capabilities as a single solution. In February 2017, as we executed on our Falcon platform expansion strategy, we began offering these and additional capabilities as separate cloud modules. This strategic move facilitated new customer adoption and allowed us to further expand within our customer base. Today, we offer 16 cloud modules on our Falcon platform via a SaaS subscription-based model that spans multiple large security markets, including corporate workload security, security and vulnerability management, managed security services, IT operations management, and threat intelligence services. Additionally, with our recent acquisition of Preempt Security, Inc. (“Preempt Security”), we entered the identity protection market.</w:t>
      </w:r>
    </w:p>
    <w:p>
      <w:pPr>
        <w:spacing w:after="0" w:line="18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June 14, 2019 we closed our initial public offering, or IPO, in which we issued and sold 20,700,000 shares of Class A common stock. The price per share to the public was $34.00. We received aggregate proceeds of $665.1 million from the IPO, net of underwriters’ discounts and commissions and before deducting estimated offering costs of $5.9 million. Upon the closing of the IPO, all shares of our outstanding preferred stock automatically converted into 131,267,586 shares of Class B common stock. In connection with our IPO, all shares of our common stock outstanding prior to our IPO were automatically converted into shares of Class B common stock.</w:t>
      </w:r>
    </w:p>
    <w:p>
      <w:pPr>
        <w:spacing w:after="0" w:line="215"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In March 2020, the World Health Organization declared the COVID-19 outbreak to be a pandemic. Since then, the COVID-19 pandemic has rapidly spread across the globe and has already resulted in significant volatility, uncertainty, and economic disruption. Thus far, the impact of the pandemic has been modest with some customers, particularly in heavily impacted industries, requesting special billing or payment terms. Our gross retention rate for the third quarter of fiscal 2021 remained consistently high and our dollar-based net retention rate once again exceeded 120 percent as we continued to expand module adoption within new and existing customers. In March 2020, we implemented several measures to help ensure the health and safety of all our employees around the globe including restricting all travel and transitioning 100% of our workforce to be remote. In addition, in response to the uncertain macroeconomic environment, we converted all of our marketable securities to cash and cash equivalents during the three months ended April 30, 2020, and as of October 31, 2020, all of our investments were classified as cash.</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5" w:name="page36"/>
    <w:bookmarkEnd w:id="3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continue to conduct business as usual with modifications to employee travel, employee work locations, customer interactions, and cancellation of certain marketing events, among other things.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The extent to which the COVID-19 pandemic may impact our longer-term operational and financial performance remains uncertain. Furthermore, due to our subscription-based business model, the effect of the COVID-19 pandemic may not be fully reflected in our results of operations until future periods, if at all. The extent of the impact of the COVID-19 pandemic will depend on several factors, including the pace of reopening the economy around the world; the possible resurgence in the spread of the virus; the development cycle of therapeutics and vaccines; the impact on our customers and our sales cycles; the impact on our customer, employee, and industry events; and the effect on our vendors. Please see Part II, Item IA, “Risk Factors” in this Quarterly Report on Form 10-Q for a further description of the material risks we currently face, including the risks related to the COVID-19 pandemic.</w:t>
      </w:r>
    </w:p>
    <w:p>
      <w:pPr>
        <w:spacing w:after="0" w:line="18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March, we launched two initiatives to help our customers quickly onboard new remote workers without sacrificing protection or having to worry about a procurement cycle. This included a surge relief plan that allows our customers to surge the number of endpoints for a limited time. Additionally, we launched a Falcon Prevent for Home Use program that allows our customers’ company administrators to install Falcon Prevent on their employees’ home systems. We believe both of these initiatives have been well received by our customers.</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September 30, 2020, we acquired Preempt Security, a privately-held Delaware corporation that developed real-time access control and threat prevention technology (the “Acquisition”). The total consideration transferred was $91.2 million which consisted of $87.4 million in cash and $3.8 million representing the fair value of replacement equity awards attributable to pre-acquisition service. The purchase price was allocated, on a preliminary basis, to identified intangible assets, which include developed technology, customer relationships and trade names, of $16.4 million, net tangible assets acquired of $(0.4) million and goodwill of $75.2 million, representing the excess of the purchase price over the fair value of net tangible and intangible assets acquired. With this acquisition, we plan to offer customers enhanced Zero Trust security capabilities and strengthen our Falcon platform with conditional access technology. The addition of Preempt Security’s technology to the Falcon platform will help customers achieve end-to-end visibility and enforcement on identity data.</w:t>
      </w:r>
    </w:p>
    <w:p>
      <w:pPr>
        <w:spacing w:after="0" w:line="188"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seamlessly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8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b w:val="1"/>
          <w:bCs w:val="1"/>
          <w:i w:val="1"/>
          <w:iCs w:val="1"/>
          <w:color w:val="auto"/>
        </w:rPr>
        <w:t xml:space="preserve">Adoption of Our Solutions. </w:t>
      </w:r>
      <w:r>
        <w:rPr>
          <w:rFonts w:ascii="Arial" w:cs="Arial" w:eastAsia="Arial" w:hAnsi="Arial"/>
          <w:sz w:val="16"/>
          <w:szCs w:val="16"/>
          <w:color w:val="auto"/>
        </w:rPr>
        <w:t>We believe our future success depends in large part on the growth in the market for cloud-based SaaS-delivered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New Customer Acquisition. </w:t>
      </w:r>
      <w:r>
        <w:rPr>
          <w:rFonts w:ascii="Arial" w:cs="Arial" w:eastAsia="Arial" w:hAnsi="Arial"/>
          <w:sz w:val="18"/>
          <w:szCs w:val="18"/>
          <w:color w:val="auto"/>
        </w:rPr>
        <w:t>Our future growth depends in large part on our ability to acquire new customers. If our efforts to attract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92" w:lineRule="exact"/>
        <w:rPr>
          <w:sz w:val="20"/>
          <w:szCs w:val="20"/>
          <w:color w:val="auto"/>
        </w:rPr>
      </w:pPr>
    </w:p>
    <w:p>
      <w:pPr>
        <w:ind w:right="340" w:firstLine="648"/>
        <w:spacing w:after="0" w:line="274" w:lineRule="auto"/>
        <w:rPr>
          <w:sz w:val="20"/>
          <w:szCs w:val="20"/>
          <w:color w:val="auto"/>
        </w:rPr>
      </w:pPr>
      <w:r>
        <w:rPr>
          <w:rFonts w:ascii="Arial" w:cs="Arial" w:eastAsia="Arial" w:hAnsi="Arial"/>
          <w:sz w:val="16"/>
          <w:szCs w:val="16"/>
          <w:b w:val="1"/>
          <w:bCs w:val="1"/>
          <w:i w:val="1"/>
          <w:iCs w:val="1"/>
          <w:color w:val="auto"/>
        </w:rPr>
        <w:t xml:space="preserve">Maintain Customer Retention and Increase Sales. </w:t>
      </w:r>
      <w:r>
        <w:rPr>
          <w:rFonts w:ascii="Arial" w:cs="Arial" w:eastAsia="Arial" w:hAnsi="Arial"/>
          <w:sz w:val="16"/>
          <w:szCs w:val="16"/>
          <w:color w:val="auto"/>
        </w:rPr>
        <w:t>Our ability to increase revenue depends in large part on our ability to retain our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increase the ARR of their subscriptions. We focus on increasing sales to our existing customers by expanding their deployments to more endpoints and selling additional cloud modules for increased functionality. In February 2017, we transitioned our platform from a single offering into highly-integrated offerings of multiple SKU cloud modules. We initially launched this strategy with our IT hygiene, next-generation antivirus, EDR, managed threat hunting, and intelligence modules. The Falcon Platform has grown to 16 cloud modules that spans multiple large security markets, including corporate workload security, security and vulnerability management, managed security services, IT operations management, and threat intelligence services. Additionally, with our recent acquisition of Preempt Security we entered the identity protection market.</w:t>
      </w:r>
    </w:p>
    <w:p>
      <w:pPr>
        <w:spacing w:after="0" w:line="16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Invest in Growth. </w:t>
      </w:r>
      <w:r>
        <w:rPr>
          <w:rFonts w:ascii="Arial" w:cs="Arial" w:eastAsia="Arial" w:hAnsi="Arial"/>
          <w:sz w:val="16"/>
          <w:szCs w:val="16"/>
          <w:color w:val="auto"/>
        </w:rPr>
        <w:t>We believe that our market opportunity is large and requires us to continue to invest significantly in sales and marketing efforts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6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25"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our subscription customers as of the dates presented:</w:t>
      </w:r>
    </w:p>
    <w:p>
      <w:pPr>
        <w:spacing w:after="0" w:line="95"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As of October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customers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8,416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4,561</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Year-over-year growth</w:t>
            </w:r>
          </w:p>
        </w:tc>
        <w:tc>
          <w:tcPr>
            <w:tcW w:w="64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112 %</w:t>
            </w:r>
          </w:p>
        </w:tc>
      </w:tr>
    </w:tbl>
    <w:p>
      <w:pPr>
        <w:spacing w:after="0" w:line="20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We added 1,186 net new subscription customers in the three months ended October 31, 2020, including 64 from the acquisition of Preempt Security, for a total of 8,416 subscription customers as of October 31, 2020, representing 85% growth year-over-year.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ARR as of the dates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w w:val="93"/>
              </w:rPr>
              <w:t>As of October 31,</w:t>
            </w:r>
          </w:p>
        </w:tc>
        <w:tc>
          <w:tcPr>
            <w:tcW w:w="1060" w:type="dxa"/>
            <w:vAlign w:val="bottom"/>
            <w:tcBorders>
              <w:bottom w:val="single" w:sz="8" w:color="auto"/>
            </w:tcBorders>
          </w:tcPr>
          <w:p>
            <w:pPr>
              <w:spacing w:after="0"/>
              <w:rPr>
                <w:sz w:val="16"/>
                <w:szCs w:val="16"/>
                <w:color w:val="auto"/>
              </w:rPr>
            </w:pPr>
          </w:p>
        </w:tc>
      </w:tr>
      <w:tr>
        <w:trPr>
          <w:trHeight w:val="187"/>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183"/>
        </w:trPr>
        <w:tc>
          <w:tcPr>
            <w:tcW w:w="7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gridSpan w:val="2"/>
          </w:tcPr>
          <w:p>
            <w:pPr>
              <w:jc w:val="center"/>
              <w:ind w:left="581"/>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5"/>
                <w:szCs w:val="15"/>
                <w:color w:val="auto"/>
              </w:rPr>
            </w:pPr>
          </w:p>
        </w:tc>
      </w:tr>
      <w:tr>
        <w:trPr>
          <w:trHeight w:val="23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recurring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907,391</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501,721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4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81 %</w:t>
            </w: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97 %</w:t>
            </w:r>
          </w:p>
        </w:tc>
      </w:tr>
    </w:tbl>
    <w:p>
      <w:pPr>
        <w:spacing w:after="0" w:line="20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ARR increased 81% year-over-year and grew to $907.4 million as of October 31, 2020, of which $116.8 million was net new ARR added in the three months ended October 31, 2020, including $6.8 million from the acquisition of Preempt Security.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12 months but excludes revenue from new subscription customers in the current period. We then divide the Current Period ARR by the Prior Period ARR to arrive at our dollar-based net retention rate.</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8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Our dollar-based net retention rate has varied from quarter to quarter due to a number of factors and we expect that trend to continue. For example, in the fourth quarter of fiscal 2019, we had an outsized expansion deal that contributed 11 percentage</w:t>
      </w:r>
    </w:p>
    <w:p>
      <w:pPr>
        <w:spacing w:after="0" w:line="238" w:lineRule="auto"/>
        <w:rPr>
          <w:sz w:val="20"/>
          <w:szCs w:val="20"/>
          <w:color w:val="auto"/>
        </w:rPr>
      </w:pPr>
      <w:r>
        <w:rPr>
          <w:rFonts w:ascii="Arial" w:cs="Arial" w:eastAsia="Arial" w:hAnsi="Arial"/>
          <w:sz w:val="18"/>
          <w:szCs w:val="18"/>
          <w:color w:val="auto"/>
        </w:rPr>
        <w:t>points to our net retention in that quarter. While we once again expanded within this account in the fourth quarter of fiscal</w:t>
      </w:r>
    </w:p>
    <w:p>
      <w:pPr>
        <w:jc w:val="both"/>
        <w:spacing w:after="0" w:line="239" w:lineRule="auto"/>
        <w:rPr>
          <w:sz w:val="20"/>
          <w:szCs w:val="20"/>
          <w:color w:val="auto"/>
        </w:rPr>
      </w:pPr>
      <w:r>
        <w:rPr>
          <w:rFonts w:ascii="Arial" w:cs="Arial" w:eastAsia="Arial" w:hAnsi="Arial"/>
          <w:sz w:val="18"/>
          <w:szCs w:val="18"/>
          <w:color w:val="auto"/>
        </w:rPr>
        <w:t>2020, the impact was smaller than the prior year.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primarily consists of subscription fees for our Falcon platform and additional cloud modules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our subscription customers are generally billed upfront, we have recorded significant deferred revenue. Consequently, a substantial portion of the revenue that we report in each period is attributable to the recognition of deferred revenue relating to subscriptions that we entered into during previous periods. We typically invoice our customers annually in advance or multi-year in advance.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Professional services revenue includes incident response and proactive services, forensic and malware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 platform in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57"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i w:val="1"/>
          <w:iCs w:val="1"/>
          <w:color w:val="auto"/>
        </w:rPr>
        <w:t xml:space="preserve">Professional Services Cost of Revenue. </w:t>
      </w:r>
      <w:r>
        <w:rPr>
          <w:rFonts w:ascii="Arial" w:cs="Arial" w:eastAsia="Arial" w:hAnsi="Arial"/>
          <w:sz w:val="18"/>
          <w:szCs w:val="18"/>
          <w:color w:val="auto"/>
        </w:rPr>
        <w:t>Professional services cost of revenue consists primarily of employee-related costs, such as salaries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stock-based compensation expense, technology, property and equipment depreciation, and an allocated portion of facilities and administrative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primarily consist of employee-related expenses such as salaries, commissions, and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amortize any such expenses paid for the renewal of a subscription to sales and marketing expense over the term of the renewal.</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9" w:name="page40"/>
    <w:bookmarkEnd w:id="3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 such as salaries and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1"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4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of employee-related expenses such as salaries and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 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16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consists primarily of income earned on our cash equivalents and marketable securities;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warrants for our redeemable convertible preferred stock; interest expense on our bank facility; and foreign currency transaction gains and losses.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consists primarily of income taxes in certain foreign jurisdictions in which we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 well as state income taxes in the United States. We have not recorded any U.S. federal income tax expense. We maintain a full valuation allowance on our U.S. federal and state and U.K. deferred tax assets as we have concluded that it is more likely than not that those deferred assets will not be utilized.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condensed consolidated statements of operations for each period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Three Months Ended October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8"/>
        </w:trPr>
        <w:tc>
          <w:tcPr>
            <w:tcW w:w="2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92"/>
              </w:rPr>
              <w:t>31,</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2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2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r>
      <w:tr>
        <w:trPr>
          <w:trHeight w:val="183"/>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213,530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114,221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99,309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560,008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297,787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262,221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07"/>
        </w:trPr>
        <w:tc>
          <w:tcPr>
            <w:tcW w:w="2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125,119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107,341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609,509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329,304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280,205</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85 %</w:t>
            </w:r>
          </w:p>
        </w:tc>
      </w:tr>
      <w:tr>
        <w:trPr>
          <w:trHeight w:val="19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26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Subscription </w:t>
            </w:r>
            <w:r>
              <w:rPr>
                <w:rFonts w:ascii="Arial" w:cs="Arial" w:eastAsia="Arial" w:hAnsi="Arial"/>
                <w:sz w:val="21"/>
                <w:szCs w:val="21"/>
                <w:color w:val="auto"/>
                <w:vertAlign w:val="superscript"/>
              </w:rPr>
              <w:t>(1) (2)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49,583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29,221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20,362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53,006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216"/>
        </w:trPr>
        <w:tc>
          <w:tcPr>
            <w:tcW w:w="26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Professional services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07"/>
        </w:trPr>
        <w:tc>
          <w:tcPr>
            <w:tcW w:w="2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 of revenue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61,527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24,172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98,211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64,602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66 %</w:t>
            </w:r>
          </w:p>
        </w:tc>
      </w:tr>
      <w:tr>
        <w:trPr>
          <w:trHeight w:val="21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83,169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215,603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26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 (2)</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68,675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16"/>
        </w:trPr>
        <w:tc>
          <w:tcPr>
            <w:tcW w:w="26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57,539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35,992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21,547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91,497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57,103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16"/>
        </w:trPr>
        <w:tc>
          <w:tcPr>
            <w:tcW w:w="26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 (3)</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68,810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523,422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346,026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177,396</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51 %</w:t>
            </w: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w w:val="95"/>
              </w:rPr>
              <w:t>Loss before provision for income taxes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(35,071)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10,991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(71,699)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(111,707)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40,008</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2"/>
        </w:trPr>
        <w:tc>
          <w:tcPr>
            <w:tcW w:w="2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(35,505)</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10,974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(73,627)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(113,371)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39,744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w:t>
      </w:r>
    </w:p>
    <w:p>
      <w:pPr>
        <w:spacing w:after="0" w:line="22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20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2860" w:type="dxa"/>
            <w:vAlign w:val="bottom"/>
            <w:gridSpan w:val="5"/>
          </w:tcPr>
          <w:p>
            <w:pPr>
              <w:ind w:left="160"/>
              <w:spacing w:after="0"/>
              <w:rPr>
                <w:sz w:val="20"/>
                <w:szCs w:val="20"/>
                <w:color w:val="auto"/>
              </w:rPr>
            </w:pPr>
            <w:r>
              <w:rPr>
                <w:rFonts w:ascii="Arial" w:cs="Arial" w:eastAsia="Arial" w:hAnsi="Arial"/>
                <w:sz w:val="16"/>
                <w:szCs w:val="16"/>
                <w:b w:val="1"/>
                <w:bCs w:val="1"/>
                <w:color w:val="auto"/>
              </w:rPr>
              <w:t>Nine Months Ended October 31,</w:t>
            </w:r>
          </w:p>
        </w:tc>
      </w:tr>
      <w:tr>
        <w:trPr>
          <w:trHeight w:val="210"/>
        </w:trPr>
        <w:tc>
          <w:tcPr>
            <w:tcW w:w="49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0" w:type="dxa"/>
            <w:vAlign w:val="bottom"/>
          </w:tcPr>
          <w:p>
            <w:pPr>
              <w:spacing w:after="0"/>
              <w:rPr>
                <w:sz w:val="20"/>
                <w:szCs w:val="20"/>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Professional services cost of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1,531</w:t>
            </w:r>
          </w:p>
        </w:tc>
        <w:tc>
          <w:tcPr>
            <w:tcW w:w="2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w:t>
            </w:r>
          </w:p>
        </w:tc>
        <w:tc>
          <w:tcPr>
            <w:tcW w:w="20" w:type="dxa"/>
            <w:vAlign w:val="bottom"/>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11,771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10,353</w:t>
            </w: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25,018</w:t>
            </w:r>
          </w:p>
        </w:tc>
        <w:tc>
          <w:tcPr>
            <w:tcW w:w="20" w:type="dxa"/>
            <w:vAlign w:val="bottom"/>
          </w:tcPr>
          <w:p>
            <w:pPr>
              <w:spacing w:after="0"/>
              <w:rPr>
                <w:sz w:val="19"/>
                <w:szCs w:val="19"/>
                <w:color w:val="auto"/>
              </w:rPr>
            </w:pP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40,610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55,577</w:t>
            </w:r>
          </w:p>
        </w:tc>
        <w:tc>
          <w:tcPr>
            <w:tcW w:w="20" w:type="dxa"/>
            <w:vAlign w:val="bottom"/>
          </w:tcPr>
          <w:p>
            <w:pPr>
              <w:spacing w:after="0"/>
              <w:rPr>
                <w:sz w:val="19"/>
                <w:szCs w:val="19"/>
                <w:color w:val="auto"/>
              </w:rPr>
            </w:pPr>
          </w:p>
        </w:tc>
      </w:tr>
      <w:tr>
        <w:trPr>
          <w:trHeight w:val="21"/>
        </w:trPr>
        <w:tc>
          <w:tcPr>
            <w:tcW w:w="4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11"/>
        </w:trPr>
        <w:tc>
          <w:tcPr>
            <w:tcW w:w="490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amortization of acquired intangible assets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October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October 31,</w:t>
            </w:r>
          </w:p>
        </w:tc>
        <w:tc>
          <w:tcPr>
            <w:tcW w:w="400" w:type="dxa"/>
            <w:vAlign w:val="bottom"/>
            <w:tcBorders>
              <w:bottom w:val="single" w:sz="8" w:color="auto"/>
            </w:tcBorders>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w w:val="94"/>
              </w:rPr>
              <w:t>(in thousands)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w w:val="94"/>
              </w:rPr>
              <w:t>(in thousands)</w:t>
            </w:r>
          </w:p>
        </w:tc>
        <w:tc>
          <w:tcPr>
            <w:tcW w:w="400" w:type="dxa"/>
            <w:vAlign w:val="bottom"/>
          </w:tcPr>
          <w:p>
            <w:pPr>
              <w:spacing w:after="0"/>
              <w:rPr>
                <w:sz w:val="18"/>
                <w:szCs w:val="18"/>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Total amortization of purchased intangibles</w:t>
            </w: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385</w:t>
            </w:r>
          </w:p>
        </w:tc>
      </w:tr>
      <w:tr>
        <w:trPr>
          <w:trHeight w:val="21"/>
        </w:trPr>
        <w:tc>
          <w:tcPr>
            <w:tcW w:w="4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acquisition-related expenses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October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w w:val="98"/>
              </w:rPr>
              <w:t>Nine Months Ended October 31,</w:t>
            </w:r>
          </w:p>
        </w:tc>
      </w:tr>
      <w:tr>
        <w:trPr>
          <w:trHeight w:val="210"/>
        </w:trPr>
        <w:tc>
          <w:tcPr>
            <w:tcW w:w="49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r>
      <w:tr>
        <w:trPr>
          <w:trHeight w:val="210"/>
        </w:trPr>
        <w:tc>
          <w:tcPr>
            <w:tcW w:w="4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0" w:type="dxa"/>
            <w:vAlign w:val="bottom"/>
            <w:gridSpan w:val="3"/>
          </w:tcPr>
          <w:p>
            <w:pPr>
              <w:jc w:val="right"/>
              <w:ind w:right="653"/>
              <w:spacing w:after="0"/>
              <w:rPr>
                <w:sz w:val="20"/>
                <w:szCs w:val="20"/>
                <w:color w:val="auto"/>
              </w:rPr>
            </w:pPr>
            <w:r>
              <w:rPr>
                <w:rFonts w:ascii="Arial" w:cs="Arial" w:eastAsia="Arial" w:hAnsi="Arial"/>
                <w:sz w:val="16"/>
                <w:szCs w:val="16"/>
                <w:b w:val="1"/>
                <w:bCs w:val="1"/>
                <w:color w:val="auto"/>
                <w:w w:val="94"/>
              </w:rPr>
              <w:t>(in 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2,119</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Total acquisition-related expenses</w:t>
            </w: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2,119</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0"/>
        </w:trPr>
        <w:tc>
          <w:tcPr>
            <w:tcW w:w="4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total revenue for the periods presented: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360" w:type="dxa"/>
            <w:vAlign w:val="bottom"/>
            <w:gridSpan w:val="3"/>
          </w:tcPr>
          <w:p>
            <w:pPr>
              <w:ind w:left="460"/>
              <w:spacing w:after="0"/>
              <w:rPr>
                <w:sz w:val="20"/>
                <w:szCs w:val="20"/>
                <w:color w:val="auto"/>
              </w:rPr>
            </w:pPr>
            <w:r>
              <w:rPr>
                <w:rFonts w:ascii="Arial" w:cs="Arial" w:eastAsia="Arial" w:hAnsi="Arial"/>
                <w:sz w:val="16"/>
                <w:szCs w:val="16"/>
                <w:b w:val="1"/>
                <w:bCs w:val="1"/>
                <w:color w:val="auto"/>
              </w:rPr>
              <w:t>Three Months Ended October 31,</w:t>
            </w:r>
          </w:p>
        </w:tc>
        <w:tc>
          <w:tcPr>
            <w:tcW w:w="3260" w:type="dxa"/>
            <w:vAlign w:val="bottom"/>
            <w:gridSpan w:val="3"/>
          </w:tcPr>
          <w:p>
            <w:pPr>
              <w:ind w:left="500"/>
              <w:spacing w:after="0"/>
              <w:rPr>
                <w:sz w:val="20"/>
                <w:szCs w:val="20"/>
                <w:color w:val="auto"/>
              </w:rPr>
            </w:pPr>
            <w:r>
              <w:rPr>
                <w:rFonts w:ascii="Arial" w:cs="Arial" w:eastAsia="Arial" w:hAnsi="Arial"/>
                <w:sz w:val="16"/>
                <w:szCs w:val="16"/>
                <w:b w:val="1"/>
                <w:bCs w:val="1"/>
                <w:color w:val="auto"/>
              </w:rPr>
              <w:t>Nine Months Ended October 31,</w:t>
            </w:r>
          </w:p>
        </w:tc>
      </w:tr>
      <w:tr>
        <w:trPr>
          <w:trHeight w:val="210"/>
        </w:trPr>
        <w:tc>
          <w:tcPr>
            <w:tcW w:w="462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ind w:right="951"/>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ind w:right="971"/>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000" w:type="dxa"/>
            <w:vAlign w:val="bottom"/>
          </w:tcPr>
          <w:p>
            <w:pPr>
              <w:jc w:val="right"/>
              <w:ind w:right="211"/>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right"/>
              <w:ind w:right="211"/>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92 %</w:t>
            </w:r>
          </w:p>
        </w:tc>
        <w:tc>
          <w:tcPr>
            <w:tcW w:w="1240" w:type="dxa"/>
            <w:vAlign w:val="bottom"/>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92 %</w:t>
            </w:r>
          </w:p>
        </w:tc>
        <w:tc>
          <w:tcPr>
            <w:tcW w:w="1240" w:type="dxa"/>
            <w:vAlign w:val="bottom"/>
          </w:tcPr>
          <w:p>
            <w:pPr>
              <w:jc w:val="right"/>
              <w:spacing w:after="0"/>
              <w:rPr>
                <w:sz w:val="20"/>
                <w:szCs w:val="20"/>
                <w:color w:val="auto"/>
              </w:rPr>
            </w:pPr>
            <w:r>
              <w:rPr>
                <w:rFonts w:ascii="Arial" w:cs="Arial" w:eastAsia="Arial" w:hAnsi="Arial"/>
                <w:sz w:val="18"/>
                <w:szCs w:val="18"/>
                <w:color w:val="auto"/>
              </w:rPr>
              <w:t>90 %</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0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100 %</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100 %</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21 %</w:t>
            </w:r>
          </w:p>
        </w:tc>
        <w:tc>
          <w:tcPr>
            <w:tcW w:w="124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21 %</w:t>
            </w:r>
          </w:p>
        </w:tc>
        <w:tc>
          <w:tcPr>
            <w:tcW w:w="1240" w:type="dxa"/>
            <w:vAlign w:val="bottom"/>
          </w:tcPr>
          <w:p>
            <w:pPr>
              <w:jc w:val="right"/>
              <w:spacing w:after="0"/>
              <w:rPr>
                <w:sz w:val="20"/>
                <w:szCs w:val="20"/>
                <w:color w:val="auto"/>
              </w:rPr>
            </w:pPr>
            <w:r>
              <w:rPr>
                <w:rFonts w:ascii="Arial" w:cs="Arial" w:eastAsia="Arial" w:hAnsi="Arial"/>
                <w:sz w:val="18"/>
                <w:szCs w:val="18"/>
                <w:color w:val="auto"/>
              </w:rPr>
              <w:t>24 %</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0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19"/>
                <w:szCs w:val="19"/>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Total cost of revenue</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26 %</w:t>
            </w:r>
          </w:p>
        </w:tc>
        <w:tc>
          <w:tcPr>
            <w:tcW w:w="124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27 %</w:t>
            </w:r>
          </w:p>
        </w:tc>
        <w:tc>
          <w:tcPr>
            <w:tcW w:w="1240" w:type="dxa"/>
            <w:vAlign w:val="bottom"/>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73 %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2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0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45 %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47 %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2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25 %</w:t>
            </w:r>
          </w:p>
        </w:tc>
        <w:tc>
          <w:tcPr>
            <w:tcW w:w="124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24 %</w:t>
            </w: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84 %</w:t>
            </w:r>
          </w:p>
        </w:tc>
        <w:tc>
          <w:tcPr>
            <w:tcW w:w="1240" w:type="dxa"/>
            <w:vAlign w:val="bottom"/>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86 %</w:t>
            </w:r>
          </w:p>
        </w:tc>
        <w:tc>
          <w:tcPr>
            <w:tcW w:w="1240" w:type="dxa"/>
            <w:vAlign w:val="bottom"/>
          </w:tcPr>
          <w:p>
            <w:pPr>
              <w:jc w:val="right"/>
              <w:spacing w:after="0"/>
              <w:rPr>
                <w:sz w:val="20"/>
                <w:szCs w:val="20"/>
                <w:color w:val="auto"/>
              </w:rPr>
            </w:pPr>
            <w:r>
              <w:rPr>
                <w:rFonts w:ascii="Arial" w:cs="Arial" w:eastAsia="Arial" w:hAnsi="Arial"/>
                <w:sz w:val="18"/>
                <w:szCs w:val="18"/>
                <w:color w:val="auto"/>
              </w:rPr>
              <w:t>105 %</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0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(10)%</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(12)%</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20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(11)%</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(12)%</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917"/>
        </w:trPr>
        <w:tc>
          <w:tcPr>
            <w:tcW w:w="4620" w:type="dxa"/>
            <w:vAlign w:val="bottom"/>
          </w:tcPr>
          <w:p>
            <w:pPr>
              <w:spacing w:after="0"/>
              <w:rPr>
                <w:sz w:val="24"/>
                <w:szCs w:val="24"/>
                <w:color w:val="auto"/>
              </w:rPr>
            </w:pPr>
          </w:p>
        </w:tc>
        <w:tc>
          <w:tcPr>
            <w:tcW w:w="2000" w:type="dxa"/>
            <w:vAlign w:val="bottom"/>
          </w:tcPr>
          <w:p>
            <w:pPr>
              <w:jc w:val="right"/>
              <w:ind w:right="811"/>
              <w:spacing w:after="0"/>
              <w:rPr>
                <w:sz w:val="20"/>
                <w:szCs w:val="20"/>
                <w:color w:val="auto"/>
              </w:rPr>
            </w:pPr>
            <w:r>
              <w:rPr>
                <w:rFonts w:ascii="Arial" w:cs="Arial" w:eastAsia="Arial" w:hAnsi="Arial"/>
                <w:sz w:val="18"/>
                <w:szCs w:val="18"/>
                <w:color w:val="auto"/>
              </w:rPr>
              <w:t>42</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October 31, 2020 and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shows total revenue from subscriptions and professional services for the three months ended October 31, 2020 as compared to the three months ended October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40" w:type="dxa"/>
            <w:vAlign w:val="bottom"/>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01"/>
        </w:trPr>
        <w:tc>
          <w:tcPr>
            <w:tcW w:w="48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617"/>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183"/>
        </w:trPr>
        <w:tc>
          <w:tcPr>
            <w:tcW w:w="48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74 %</w:t>
            </w:r>
          </w:p>
        </w:tc>
      </w:tr>
      <w:tr>
        <w:trPr>
          <w:trHeight w:val="248"/>
        </w:trPr>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Total revenue increased by $107.3 million, or 86%, for the three months ended October 31, 2020, compared to the three months ended October 31, 2019. Subscription revenue accounted for 92% of our total revenue for the three months ended October 31, 2020, and 91% of our total revenue for the three months ended October 31, 2019. Professional services revenue accounted for 8% of our total revenue for the three months ended October 31, 2020, and 9% of our total revenue for the three months ended October 31, 2019.</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Subscription revenue increased by $99.3 million, or 87%, for the three months ended October 31, 2020, compared to the three months ended October 31, 2019. This increase was primarily attributable to the addition of new subscription customers, as we increased our customer base by 85% from 4,561 subscription customers as of October 31, 2019 to 8,416 subscription customers as of October 31, 2020. Subscription revenue from new customers, subscription revenue from the renewal of existing customers, and subscription revenue from the sale of additional endpoints and additional modules to existing customers accounted for 32%, 37%, and 31% of total subscription revenue for the three months ended October 31, 2020, respectively. Subscription revenue from new customers, subscription revenue from the renewal of existing customers, and subscription revenue from the sale of additional endpoints and additional modules to existing customers accounted for 39%, 34%, and 27% of total subscription revenue for the three months ended October 31, 2019, respectively.</w:t>
      </w:r>
    </w:p>
    <w:p>
      <w:pPr>
        <w:spacing w:after="0" w:line="192"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Professional services revenue increased by $8.0 million, or 74%, for the three months ended October 31, 2020, compared to the three months ended October 31, 2019, which was primarily attributable to an increase in the number of professional service hours performed.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shows cost of revenue related to subscriptions and professional services for the three months ended October 31, 2020 as compared to the three months ended October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16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October 31,</w:t>
            </w:r>
          </w:p>
        </w:tc>
        <w:tc>
          <w:tcPr>
            <w:tcW w:w="320" w:type="dxa"/>
            <w:vAlign w:val="bottom"/>
          </w:tcPr>
          <w:p>
            <w:pPr>
              <w:spacing w:after="0"/>
              <w:rPr>
                <w:sz w:val="16"/>
                <w:szCs w:val="16"/>
                <w:color w:val="auto"/>
              </w:rPr>
            </w:pPr>
          </w:p>
        </w:tc>
        <w:tc>
          <w:tcPr>
            <w:tcW w:w="116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40" w:type="dxa"/>
            <w:vAlign w:val="bottom"/>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01"/>
        </w:trPr>
        <w:tc>
          <w:tcPr>
            <w:tcW w:w="48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617"/>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49,583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47 %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revenue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61,527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cost of revenue increased by $24.2 million, or 65%, for the three months ended October 31, 2020,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October 31, 2019. Subscription cost of revenue increased by $20.4 million, or 70%, for the three months ended October 31, 2020, compared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October 31, 2019. The increase in subscription cost of revenue was primarily due to an increase in employee-related expenses of $7.6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driven by a 76% increase in average headcount, an increase in cloud hosting and related services of $6.8 million driven by increased customer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activity, an increase in depreciation of data center equipment of $2.4 million, an increase in stock-based compensation expense of $1.6 million, and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allocated overhead costs of $0.9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Professional services cost of revenue increased by $3.8 million, or 47%, for the three months ended October 31, 2020, compared to the</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three months ended October 31, 2019. The increase in professional services cost of revenue was primarily due to an increase in employee-related expenses of $3.3 million driven by an increase in average headcount of 52% and an increase in stock-based compensation expense of $0.8 million, partially offset by a $0.3 million decrease in travel related costs due to the fact that, as a result of the COVID-19 pandemic, a majority of our workforce was working remotely and incurred limited travel costs during the quarter.</w:t>
      </w:r>
    </w:p>
    <w:p>
      <w:pPr>
        <w:spacing w:after="0" w:line="1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shows gross profit and gross margin for subscriptions and professional services for the three months ended October 31, 2020 as compared to the three months ended October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163,947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8"/>
              </w:rPr>
              <w:t>85,000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profit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2,764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153 %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w w:val="98"/>
              </w:rPr>
              <w:t>87,764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562"/>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October 31,</w:t>
            </w:r>
          </w:p>
        </w:tc>
        <w:tc>
          <w:tcPr>
            <w:tcW w:w="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3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2"/>
              </w:rPr>
              <w:t>77 %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margin</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2"/>
              </w:rPr>
              <w:t>37 %</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25 %</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2"/>
              </w:rPr>
              <w:t>74 %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70 %</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Subscription gross margin increased by three percentage points for the three months ended October 31, 2020, compared to the three months ended October 31, 2019. This increase was a result of continuing to shift more of our operations from third-party cloud service providers to colocation data centers, renegotiating the terms of a third-party cloud service provider contract, and continued optimization of our software development and our cloud database systems, which has resulted in reduced data center usage. This increase in gross margin was also due to the continued expansion of module adoption by our customer base. As of October 31, 2020, 61% of our customer base had adopted four or more modules and 44% of our customer base had adopted five or more modules. As of October 31, 2019, 52% of our customer base had adopted four or more modules and 31% of our customer base had adopted five or more modules. Our “collect once, reuse many” data strategy means that after the first module is paid for and covers the cost of data storage and most computational costs, each additional subscription module carries a higher margin. We expect gross margin to fluctuate quarter to quarter given the timing of turning on new cloud data centers in new geographies to accommodate increased activity and demand.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Professional services gross margin increased by 12% for the three months ended October 31, 2020,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October 31, 2019. The increase in professional services gross margin was due to an increase in utilization during the three months ended October 31,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three months ended October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sales and marketing expenses for the three months ended October 31,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3"/>
              </w:rPr>
              <w:t>Three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r>
      <w:tr>
        <w:trPr>
          <w:trHeight w:val="182"/>
        </w:trPr>
        <w:tc>
          <w:tcPr>
            <w:tcW w:w="4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2"/>
          </w:tcPr>
          <w:p>
            <w:pPr>
              <w:jc w:val="center"/>
              <w:ind w:left="584"/>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105,602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36,927</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20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Sales and marketing expenses increased by $36.9 million, or 54%, for the three months ended October 31, 2020, compared to the three months ended October 31, 2019. The increase in sales and marketing expenses was primarily due to an increase in employee-related expenses of $21.9 million driven by an increase in sales and marketing average headcount of 38%, an increase in marketing programs of $9.7 million due in part to Fal.Con, our annual user conference, being held in the third quarter this year but the fourth quarter last year, an increase in stock-based compensation of $5.5 million, and an increase in</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4" w:name="page45"/>
    <w:bookmarkEnd w:id="4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allocated overhead costs of $0.9 million, partially offset by a $3.4 million decrease in travel-related costs due to the fact that, as a result of the COVID-19 pandemic, a majority of our workforce was working remotely and incurred limited travel costs during the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research and development expenses for the three months ended October 31,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3"/>
              </w:rPr>
              <w:t>Three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2"/>
          </w:tcPr>
          <w:p>
            <w:pPr>
              <w:jc w:val="center"/>
              <w:ind w:left="624"/>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57,539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21,547</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Research and development expenses increased by $21.5 million, or 60%, for the three months ended October 31, 2020, compared to the</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three months ended October 31, 2019. This increase was primarily due to an increase in employee-related expenses of $12.4 million driven by an increase in research and development average headcount of 58%, an increase in stock-based compensation of $7.1 million, an increase in cloud hosting and related costs of $1.6 million, an increase in depreciation of data center equipment of $1.1 million, and an increase in allocated overhead costs of $1.0 million, partially offset by a decrease in expenses related to company events of $1.4 million and a $0.9 million decrease in travel-related costs due to the fact that, as a result of the COVID-19 pandemic, a majority of our workforce was working remotely and incurred limited travel costs during the quarter.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general and administrative expenses for the three months ended October 31,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3"/>
              </w:rPr>
              <w:t>Three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2"/>
          </w:tcPr>
          <w:p>
            <w:pPr>
              <w:jc w:val="center"/>
              <w:ind w:left="624"/>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31,951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10,336</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General and administrative expenses increased by $10.3 million, or 48%, for the three months ended October 31, 2020, compared to the</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three months ended October 31, 2019. The increase in general and administrative expenses was primarily due to an increase in stock-based compensation of $3.8 million, an increase in employee related expenses of $3.6 million driven by an increase in general and administrative average headcount of 61%, an increase in third party consulting costs of $2.2 million, driven primarily by acquisition related expenses, and an increase in accounting expenses of $0.5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Interest expense and Other income, net, for the three months ended October 31,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40" w:type="dxa"/>
            <w:vAlign w:val="bottom"/>
          </w:tcPr>
          <w:p>
            <w:pPr>
              <w:jc w:val="right"/>
              <w:ind w:right="499"/>
              <w:spacing w:after="0"/>
              <w:rPr>
                <w:sz w:val="20"/>
                <w:szCs w:val="20"/>
                <w:color w:val="auto"/>
              </w:rPr>
            </w:pPr>
            <w:r>
              <w:rPr>
                <w:rFonts w:ascii="Arial" w:cs="Arial" w:eastAsia="Arial" w:hAnsi="Arial"/>
                <w:sz w:val="14"/>
                <w:szCs w:val="14"/>
                <w:b w:val="1"/>
                <w:bCs w:val="1"/>
                <w:color w:val="auto"/>
              </w:rPr>
              <w:t>Change</w:t>
            </w:r>
          </w:p>
        </w:tc>
      </w:tr>
      <w:tr>
        <w:trPr>
          <w:trHeight w:val="201"/>
        </w:trPr>
        <w:tc>
          <w:tcPr>
            <w:tcW w:w="4820" w:type="dxa"/>
            <w:vAlign w:val="bottom"/>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272</w:t>
            </w:r>
          </w:p>
        </w:tc>
        <w:tc>
          <w:tcPr>
            <w:tcW w:w="106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3,579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Interest expense consists of the amortization of debt issuance costs related to our revolving credit facility as discussed in Note 5 of our condensed consolidated financial statements.</w:t>
      </w:r>
    </w:p>
    <w:p>
      <w:pPr>
        <w:spacing w:after="0" w:line="170"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Other income, net, was $0.3 million for the three months ended October 31, 2020 compared to $3.6 million for the three months ended October 31, 2019. This decrease of $3.3 million was driven primarily by a decrease in interest income of $3.5 million due to our having liquidated our portfolio of marketable securities during the first quarter of fiscal 2021 in response to the economic uncertainty surrounding the COVID-19 pandemic.</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5" w:name="page46"/>
    <w:bookmarkEnd w:id="4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the provision for income taxes for the three months ended October 31,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3"/>
              </w:rPr>
              <w:t>Three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2"/>
          </w:tcPr>
          <w:p>
            <w:pPr>
              <w:jc w:val="center"/>
              <w:ind w:left="624"/>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increase in provision for income taxes during the three months ended October 31, 2020 compared to the three months ended October 31, 2019 was primarily due to higher taxes paid in foreign tax jurisdictions, offset by a $0.7 million benefit from the acquisition of Preempt Security.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October 31, 2020 and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shows total revenue from subscriptions and professional services for the nine months ended October 31, 2020 as compared to the nine months ended October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October 31,</w:t>
            </w:r>
          </w:p>
        </w:tc>
        <w:tc>
          <w:tcPr>
            <w:tcW w:w="320" w:type="dxa"/>
            <w:vAlign w:val="bottom"/>
          </w:tcPr>
          <w:p>
            <w:pPr>
              <w:spacing w:after="0"/>
              <w:rPr>
                <w:sz w:val="16"/>
                <w:szCs w:val="16"/>
                <w:color w:val="auto"/>
              </w:rPr>
            </w:pPr>
          </w:p>
        </w:tc>
        <w:tc>
          <w:tcPr>
            <w:tcW w:w="11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20" w:type="dxa"/>
            <w:vAlign w:val="bottom"/>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01"/>
        </w:trPr>
        <w:tc>
          <w:tcPr>
            <w:tcW w:w="47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637"/>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183"/>
        </w:trPr>
        <w:tc>
          <w:tcPr>
            <w:tcW w:w="47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3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17,984</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57 %</w:t>
            </w:r>
          </w:p>
        </w:tc>
      </w:tr>
      <w:tr>
        <w:trPr>
          <w:trHeight w:val="24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280,205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revenue increased by $280.2 million, or 85%, for the nine months ended October 31, 2020, compared to the nine months ended October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2019. Subscription revenue accounted for 92% of our total revenue for the nine months ended October 31, 2020, and 90% of our total revenue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October 31, 2019. Professional services revenue accounted for 8% of our total revenue for the nine months ended October 31, 2020,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of our total revenue for the nine months ended October 31, 2019.</w:t>
      </w:r>
    </w:p>
    <w:p>
      <w:pPr>
        <w:spacing w:after="0" w:line="2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Subscription revenue increased by $262.2 million, or 88%, for the nine months ended October 31, 2020, compared to the nine months ended October 31, 2019. This increase was primarily attributable to the addition of new subscription customers, as we increased our customer base by 85% from 4,561 subscription customers as of October 31, 2019 to 8,416 subscription customers as of October 31, 2020. Subscription revenue from new customers, subscription revenue from the renewal of existing customers, and subscription revenue from the sale of additional endpoints and additional modules to existing customers accounted for 33%, 35%, and 32% of total subscription revenue for the nine months ended October 31, 2020, respectively. Subscription revenue from new customers, subscription revenue from the renewal of existing customers, and subscription revenue from the sale of additional endpoints and additional modules to existing customers accounted for 40%, 32%, and 28% of total subscription revenue for the nine months ended October 31, 2019, respectively.</w:t>
      </w:r>
    </w:p>
    <w:p>
      <w:pPr>
        <w:spacing w:after="0" w:line="192"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Professional services revenue increased by $18.0 million, or 57%, for the nine months ended October 31, 2020, compared to the nine months ended October 31, 2019, and was primarily attributable to an increase in the number of professional service hours performed.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shows cost of revenue related to subscriptions and professional services for the nine months ended October 31, 2020 as compared to the nine months ended October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October 31,</w:t>
            </w:r>
          </w:p>
        </w:tc>
        <w:tc>
          <w:tcPr>
            <w:tcW w:w="320" w:type="dxa"/>
            <w:vAlign w:val="bottom"/>
          </w:tcPr>
          <w:p>
            <w:pPr>
              <w:spacing w:after="0"/>
              <w:rPr>
                <w:sz w:val="16"/>
                <w:szCs w:val="16"/>
                <w:color w:val="auto"/>
              </w:rPr>
            </w:pPr>
          </w:p>
        </w:tc>
        <w:tc>
          <w:tcPr>
            <w:tcW w:w="116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40" w:type="dxa"/>
            <w:vAlign w:val="bottom"/>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01"/>
        </w:trPr>
        <w:tc>
          <w:tcPr>
            <w:tcW w:w="48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617"/>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91" w:lineRule="auto"/>
        <w:rPr>
          <w:sz w:val="20"/>
          <w:szCs w:val="20"/>
          <w:color w:val="auto"/>
        </w:rPr>
      </w:pPr>
      <w:r>
        <w:rPr>
          <w:rFonts w:ascii="Arial" w:cs="Arial" w:eastAsia="Arial" w:hAnsi="Arial"/>
          <w:sz w:val="16"/>
          <w:szCs w:val="16"/>
          <w:color w:val="auto"/>
        </w:rPr>
        <w:t>Total cost of revenue increased by $64.6 million, or 66%, for the nine months ended October 31, 2020, compared to the nine months ended October 31, 2019. Subscription cost of revenue increased by $53.0 million, or 68%, for the nine months ended October 31, 2020, compared to the</w:t>
      </w:r>
    </w:p>
    <w:p>
      <w:pPr>
        <w:ind w:right="60"/>
        <w:spacing w:after="0" w:line="253" w:lineRule="auto"/>
        <w:rPr>
          <w:sz w:val="20"/>
          <w:szCs w:val="20"/>
          <w:color w:val="auto"/>
        </w:rPr>
      </w:pPr>
      <w:r>
        <w:rPr>
          <w:rFonts w:ascii="Arial" w:cs="Arial" w:eastAsia="Arial" w:hAnsi="Arial"/>
          <w:sz w:val="18"/>
          <w:szCs w:val="18"/>
          <w:color w:val="auto"/>
        </w:rPr>
        <w:t>nine months ended October 31, 2019. The increase in subscription cost of revenue was primarily due to an increase in employee-related expenses of $19.2 million driven by a 82% increase in average headcount, an increase in cloud hosting and related services of $17.7 million driven by increased customer activity, an increase in depreciation of data center equipment of $5.8 million, an increase in stock-based compensation expense of $4.7 million, an increase in allocated overhead costs of $3.3 million, an increase in the amortization of internal use software of $1.1 million, and an increase in employee health insurance expense of $1.0 million.</w:t>
      </w:r>
    </w:p>
    <w:p>
      <w:pPr>
        <w:spacing w:after="0" w:line="19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Professional services cost of revenue increased by $11.6 million, or 57%, for the nine months ended October 31, 2020, compared to the</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nine months ended October 31, 2019. The increase in professional services cost of revenue was primarily due to an increase in employee-related expenses of $8.7 million driven by an increase in average headcount of 47% and an increase in stock-based compensation expense of $2.4 million.</w:t>
      </w:r>
    </w:p>
    <w:p>
      <w:pPr>
        <w:spacing w:after="0" w:line="16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shows gross profit and gross margin for subscriptions and professional services for the nine months ended October 31, 2020 as compared to the nine months ended October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7"/>
          </w:tcPr>
          <w:p>
            <w:pPr>
              <w:ind w:left="200"/>
              <w:spacing w:after="0"/>
              <w:rPr>
                <w:sz w:val="20"/>
                <w:szCs w:val="20"/>
                <w:color w:val="auto"/>
              </w:rPr>
            </w:pPr>
            <w:r>
              <w:rPr>
                <w:rFonts w:ascii="Arial" w:cs="Arial" w:eastAsia="Arial" w:hAnsi="Arial"/>
                <w:sz w:val="14"/>
                <w:szCs w:val="14"/>
                <w:b w:val="1"/>
                <w:bCs w:val="1"/>
                <w:color w:val="auto"/>
              </w:rPr>
              <w:t>Nine Months Ended October 31,</w:t>
            </w:r>
          </w:p>
        </w:tc>
        <w:tc>
          <w:tcPr>
            <w:tcW w:w="300" w:type="dxa"/>
            <w:vAlign w:val="bottom"/>
          </w:tcPr>
          <w:p>
            <w:pPr>
              <w:spacing w:after="0"/>
              <w:rPr>
                <w:sz w:val="16"/>
                <w:szCs w:val="16"/>
                <w:color w:val="auto"/>
              </w:rPr>
            </w:pPr>
          </w:p>
        </w:tc>
        <w:tc>
          <w:tcPr>
            <w:tcW w:w="1180" w:type="dxa"/>
            <w:vAlign w:val="bottom"/>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r>
      <w:tr>
        <w:trPr>
          <w:trHeight w:val="183"/>
        </w:trPr>
        <w:tc>
          <w:tcPr>
            <w:tcW w:w="48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429,144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219,929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 w:type="dxa"/>
            <w:vAlign w:val="bottom"/>
            <w:shd w:val="clear" w:color="auto" w:fill="CCEEFF"/>
          </w:tcPr>
          <w:p>
            <w:pPr>
              <w:spacing w:after="0"/>
              <w:rPr>
                <w:sz w:val="20"/>
                <w:szCs w:val="20"/>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profit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17,552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8"/>
                <w:szCs w:val="18"/>
                <w:color w:val="auto"/>
                <w:w w:val="87"/>
              </w:rPr>
              <w:t>11,164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57 %</w:t>
            </w:r>
          </w:p>
        </w:tc>
        <w:tc>
          <w:tcPr>
            <w:tcW w:w="20" w:type="dxa"/>
            <w:vAlign w:val="bottom"/>
            <w:tcBorders>
              <w:bottom w:val="single" w:sz="8" w:color="CCEEFF"/>
            </w:tcBorders>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215,603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70"/>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556"/>
              <w:spacing w:after="0"/>
              <w:rPr>
                <w:sz w:val="20"/>
                <w:szCs w:val="20"/>
                <w:color w:val="auto"/>
              </w:rPr>
            </w:pPr>
            <w:r>
              <w:rPr>
                <w:rFonts w:ascii="Arial" w:cs="Arial" w:eastAsia="Arial" w:hAnsi="Arial"/>
                <w:sz w:val="14"/>
                <w:szCs w:val="14"/>
                <w:b w:val="1"/>
                <w:bCs w:val="1"/>
                <w:color w:val="auto"/>
                <w:w w:val="94"/>
              </w:rPr>
              <w:t>Nine Months Ended October 31,</w:t>
            </w:r>
          </w:p>
        </w:tc>
        <w:tc>
          <w:tcPr>
            <w:tcW w:w="120" w:type="dxa"/>
            <w:vAlign w:val="bottom"/>
          </w:tcPr>
          <w:p>
            <w:pPr>
              <w:spacing w:after="0"/>
              <w:rPr>
                <w:sz w:val="24"/>
                <w:szCs w:val="24"/>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55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3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92"/>
              </w:rPr>
              <w:t>77 %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margin</w:t>
            </w: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56"/>
              <w:spacing w:after="0"/>
              <w:rPr>
                <w:sz w:val="20"/>
                <w:szCs w:val="20"/>
                <w:color w:val="auto"/>
              </w:rPr>
            </w:pPr>
            <w:r>
              <w:rPr>
                <w:rFonts w:ascii="Arial" w:cs="Arial" w:eastAsia="Arial" w:hAnsi="Arial"/>
                <w:sz w:val="18"/>
                <w:szCs w:val="18"/>
                <w:color w:val="auto"/>
                <w:w w:val="92"/>
              </w:rPr>
              <w:t>35 %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19"/>
                <w:szCs w:val="19"/>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center"/>
              <w:ind w:left="456"/>
              <w:spacing w:after="0"/>
              <w:rPr>
                <w:sz w:val="20"/>
                <w:szCs w:val="20"/>
                <w:color w:val="auto"/>
              </w:rPr>
            </w:pPr>
            <w:r>
              <w:rPr>
                <w:rFonts w:ascii="Arial" w:cs="Arial" w:eastAsia="Arial" w:hAnsi="Arial"/>
                <w:sz w:val="18"/>
                <w:szCs w:val="18"/>
                <w:color w:val="auto"/>
                <w:w w:val="92"/>
              </w:rPr>
              <w:t>73 %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Subscription gross margin increased by three percentage points for the nine months ended October 31, 2020, compared to the nine months ended October 31, 2019. This increase was a result of continuing to shift more of our operations from third-party cloud service providers to colocation data centers, renegotiating the terms of a third-party cloud service provider contract, and continued optimization of our software development and our cloud database systems, which has resulted in reduced data center usage. This increase in gross margin was also due to the continued expansion of module adoption by our customer base. As of October 31, 2020, 61% of our customer base had adopted four or more modules and 44% of our customer base had adopted five or more modules. As of October 31, 2019, 52% of our customer base had adopted four or more modules and 31% of our customer base had adopted five or more modules. Our “collect once, reuse many” data strategy means that after the first module is paid for and covers the cost of data storage and most computational costs, each additional subscription module carries a higher margin. We expect gross margin to fluctuate quarter to quarter given the timing of turning on new cloud data centers in new geographies to accommodate increased activity and demand.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Professional services gross margin remained the same for the nine months ended October 31, 2020, compared to the nine months ended October 31,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sales and marketing expenses for the nine months ended October 31, 2020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4"/>
              </w:rPr>
              <w:t>Nine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r>
      <w:tr>
        <w:trPr>
          <w:trHeight w:val="183"/>
        </w:trPr>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center"/>
              <w:ind w:left="604"/>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288,867</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98,075</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Sales and marketing expenses increased by $98.1 million, or 51%, for the nine months ended October 31, 2020, compared to the nine months ended October 31, 2019. The increase in sales and marketing expenses was primarily due to an increase in employee-related expenses of $58.5 million driven by an increase in sales and marketing average headcount of 44%, an increase in stock-based compensation of $19.6 million, an increase in marketing programs of $16.3 million due in part to Fal.Con, our annual user conference, being held in the third quarter this year and the fourth quarter last year, an increase in allocated overhead costs of $4.9 million, an increase in company events of $1.6 million, and increase in employee health insurance expense of $1.4 million, and an increase in contract labor costs of $1.3 million, partially offset by a $8.9 million decrease in travel-related costs due to the fact that, as a result of the COVID-19 pandemic, a majority of our workforce was working remotely and incurred limited travel costs during the nine months ended October 31,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research and development expenses for the nine months ended October 31, 2020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3"/>
              </w:rPr>
              <w:t>Nine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148,600</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57,103</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Research and development expenses increased by $57.1 million, or 62%, for the nine months ended October 31, 2020, compared to the</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nine months ended October 31, 2019. This increase was primarily due to an increase in employee-related expenses of $31.4 million driven by an increase in research and development average headcount of 57%, an increase in stock-based compensation of $15.3 million, an increase in cloud hosting and related costs of $5.7 million, an increase in allocated overhead costs of $3.8 million, an increase in depreciation of data center equipment of $2.7 million, and an increase in employee health insurance expense of $1.1 million, partially offset by a $2.4 million decrease in travel-related costs due to the fact that, as a result of the COVID-19 pandemic, a majority of our workforce was working remotely and incurred limited travel costs during the nine months ended October 31, 2020, and a decrease in expenses related to company events of $1.8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general and administrative expenses for the nine months ended October 31, 2020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3"/>
              </w:rPr>
              <w:t>Nine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r>
      <w:tr>
        <w:trPr>
          <w:trHeight w:val="18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85,955</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22,218</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40" w:type="dxa"/>
            <w:vAlign w:val="bottom"/>
          </w:tcPr>
          <w:p>
            <w:pPr>
              <w:spacing w:after="0"/>
              <w:rPr>
                <w:sz w:val="20"/>
                <w:szCs w:val="20"/>
                <w:color w:val="auto"/>
              </w:rPr>
            </w:pPr>
          </w:p>
        </w:tc>
      </w:tr>
      <w:tr>
        <w:trPr>
          <w:trHeight w:val="810"/>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521"/>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General and administrative expenses increased by $22.2 million, or 35%, for the nine months ended October 31, 2020, compared to the</w:t>
      </w:r>
    </w:p>
    <w:p>
      <w:pPr>
        <w:spacing w:after="0" w:line="2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nine months ended October 31, 2019. The increase in general and administrative expenses was primarily due an increase in employee-related expenses of $9.8 million driven by an increase in general and administrative average headcount of 63%, an increase in stock-based compensation expense of $4.3 million, an increase in corporate insurance expense of $2.2 million due to an increase in directors and officers insurance as a result of being a public company, an increase in overhead costs of $1.7 million, an increase in contract labor and consulting expense of $1.5 million primarily due to acquisition related expense, an increase in accounting expenses of $1.4 million, an increase in legal expenses of $1.2 million, and an increase in business taxes and license fees of $1.0 million, partially offset by a decrease in expenses related to company events of $1.0 million and a decrease of $0.6 million in travel-related costs due to the fact that, as a result of the COVID-19 pandemic, a majority of our workforce was working remotely and incurred limited travel costs during the nine months ended October 31, 2020.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Interest expense and Other income, net, for the nine months ended October 31, 2020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Nine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40" w:type="dxa"/>
            <w:vAlign w:val="bottom"/>
          </w:tcPr>
          <w:p>
            <w:pPr>
              <w:jc w:val="right"/>
              <w:ind w:right="499"/>
              <w:spacing w:after="0"/>
              <w:rPr>
                <w:sz w:val="20"/>
                <w:szCs w:val="20"/>
                <w:color w:val="auto"/>
              </w:rPr>
            </w:pPr>
            <w:r>
              <w:rPr>
                <w:rFonts w:ascii="Arial" w:cs="Arial" w:eastAsia="Arial" w:hAnsi="Arial"/>
                <w:sz w:val="14"/>
                <w:szCs w:val="14"/>
                <w:b w:val="1"/>
                <w:bCs w:val="1"/>
                <w:color w:val="auto"/>
              </w:rPr>
              <w:t>Change</w:t>
            </w:r>
          </w:p>
        </w:tc>
      </w:tr>
      <w:tr>
        <w:trPr>
          <w:trHeight w:val="201"/>
        </w:trPr>
        <w:tc>
          <w:tcPr>
            <w:tcW w:w="4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5,537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3,523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57 %</w:t>
            </w:r>
          </w:p>
        </w:tc>
      </w:tr>
    </w:tbl>
    <w:p>
      <w:pPr>
        <w:spacing w:after="0" w:line="20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Interest expense consists of the amortization of debt issuance costs related to our revolving credit facility as discussed in Note 5 of our condensed consolidated financial statements.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Other income, net, was $5.5 million for the nine months ended October 31, 2020 compared to $3.5 million for the nine months ended October 31, 2019. This increase of $2.0 million was driven primarily by a decrease in expense related to the fair value of redeemable convertible preferred stock warrants of $6.0 million as the warrants were converted into common stock upon our IPO in June 2019, and an increase in realized gain on marketable securities of $1.3 million due to our having liquidated our portfolio of marketable securities during the first quarter of fiscal 2021 in response to the economic uncertainty surrounding the COVID-19 pandemic, partially offset by a decrease in interest income of $3.8 million due to lower prevailing rates in the first three quarters of fiscal 2021 compared to the first three quarters of fiscal 2020 and a decrease in income from a legal settlement of $1.3 million which occurred during the nine months ended October 31, 2019.</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the provision for income taxes for the nine months ended October 31, 2020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3"/>
              </w:rPr>
              <w:t>Nine Months Ended October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01"/>
        </w:trPr>
        <w:tc>
          <w:tcPr>
            <w:tcW w:w="4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r>
      <w:tr>
        <w:trPr>
          <w:trHeight w:val="18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tcPr>
          <w:p>
            <w:pPr>
              <w:jc w:val="center"/>
              <w:ind w:left="584"/>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(1,928)</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increase in the provision for income taxes of $0.3 million during the nine months ended October 31, 2020 compared to the nine months ended October 31, 2019 was primarily due to higher taxes paid in foreign jurisdictions partially offset by a $0.7 million benefit from the acquisition of Preempt Security.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measures, may be helpful to investors because such measures provide consistency and comparability with past financial performance and,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our non-GAAP subscription gross profit to our GAAP subscription gross profit and of our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subscription gross margin to our GAAP subscription gross margin as of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October 31,</w:t>
            </w:r>
          </w:p>
        </w:tc>
        <w:tc>
          <w:tcPr>
            <w:tcW w:w="320" w:type="dxa"/>
            <w:vAlign w:val="bottom"/>
          </w:tcPr>
          <w:p>
            <w:pPr>
              <w:spacing w:after="0"/>
              <w:rPr>
                <w:sz w:val="18"/>
                <w:szCs w:val="18"/>
                <w:color w:val="auto"/>
              </w:rPr>
            </w:pPr>
          </w:p>
        </w:tc>
        <w:tc>
          <w:tcPr>
            <w:tcW w:w="298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Nine Months Ended October 31,</w:t>
            </w:r>
          </w:p>
        </w:tc>
      </w:tr>
      <w:tr>
        <w:trPr>
          <w:trHeight w:val="210"/>
        </w:trPr>
        <w:tc>
          <w:tcPr>
            <w:tcW w:w="45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(dollars in thousands)</w:t>
            </w:r>
          </w:p>
        </w:tc>
      </w:tr>
      <w:tr>
        <w:trPr>
          <w:trHeight w:val="232"/>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subscription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213,530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114,221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560,008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297,787</w:t>
            </w:r>
          </w:p>
        </w:tc>
      </w:tr>
      <w:tr>
        <w:trPr>
          <w:trHeight w:val="257"/>
        </w:trPr>
        <w:tc>
          <w:tcPr>
            <w:tcW w:w="4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subscription gross profit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429,144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219,929</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3,164</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Amortization of acquired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262</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Non-GAAP subscription gross profit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167,445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86,727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437,397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223,355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GAAP subscription gross margin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56"/>
        </w:trPr>
        <w:tc>
          <w:tcPr>
            <w:tcW w:w="4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Non-GAAP subscription gross margin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75 %</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define non-GAAP income (loss) from operations and non-GAAP operating margin as GAAP loss from operations and GAAP operating margin, respectively, excluding stock-based compensation expense, amortization of acquired intangible assets, and acquisition-related expenses. We believe non-GAAP income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0" w:name="page51"/>
    <w:bookmarkEnd w:id="5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reconciliation of our non-GAAP income (loss) from operations to our GAAP loss from operations and our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operating margin to our GAAP operating margin as of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October 31,</w:t>
            </w:r>
          </w:p>
        </w:tc>
        <w:tc>
          <w:tcPr>
            <w:tcW w:w="320" w:type="dxa"/>
            <w:vAlign w:val="bottom"/>
          </w:tcPr>
          <w:p>
            <w:pPr>
              <w:spacing w:after="0"/>
              <w:rPr>
                <w:sz w:val="18"/>
                <w:szCs w:val="18"/>
                <w:color w:val="auto"/>
              </w:rPr>
            </w:pPr>
          </w:p>
        </w:tc>
        <w:tc>
          <w:tcPr>
            <w:tcW w:w="29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 October 31,</w:t>
            </w:r>
          </w:p>
        </w:tc>
      </w:tr>
      <w:tr>
        <w:trPr>
          <w:trHeight w:val="210"/>
        </w:trPr>
        <w:tc>
          <w:tcPr>
            <w:tcW w:w="45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10"/>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232,460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609,509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329,304</w:t>
            </w:r>
          </w:p>
        </w:tc>
      </w:tr>
      <w:tr>
        <w:trPr>
          <w:trHeight w:val="216"/>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loss from operations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(24,159)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(38,518)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(76,726)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(114,933)</w:t>
            </w:r>
          </w:p>
        </w:tc>
      </w:tr>
      <w:tr>
        <w:trPr>
          <w:trHeight w:val="213"/>
        </w:trPr>
        <w:tc>
          <w:tcPr>
            <w:tcW w:w="4520" w:type="dxa"/>
            <w:vAlign w:val="bottom"/>
          </w:tcPr>
          <w:p>
            <w:pPr>
              <w:ind w:left="140"/>
              <w:spacing w:after="0"/>
              <w:rPr>
                <w:sz w:val="20"/>
                <w:szCs w:val="20"/>
                <w:color w:val="auto"/>
              </w:rPr>
            </w:pPr>
            <w:r>
              <w:rPr>
                <w:rFonts w:ascii="Arial" w:cs="Arial" w:eastAsia="Arial" w:hAnsi="Arial"/>
                <w:sz w:val="16"/>
                <w:szCs w:val="16"/>
                <w:color w:val="auto"/>
              </w:rPr>
              <w:t>Add: Stock-based compensation expense</w:t>
            </w:r>
          </w:p>
        </w:tc>
        <w:tc>
          <w:tcPr>
            <w:tcW w:w="2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40,610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21,966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101,961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55,577</w:t>
            </w:r>
          </w:p>
        </w:tc>
      </w:tr>
      <w:tr>
        <w:trPr>
          <w:trHeight w:val="219"/>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Amortization of acquired intangible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385</w:t>
            </w:r>
          </w:p>
        </w:tc>
      </w:tr>
      <w:tr>
        <w:trPr>
          <w:trHeight w:val="213"/>
        </w:trPr>
        <w:tc>
          <w:tcPr>
            <w:tcW w:w="4520" w:type="dxa"/>
            <w:vAlign w:val="bottom"/>
          </w:tcPr>
          <w:p>
            <w:pPr>
              <w:ind w:left="140"/>
              <w:spacing w:after="0"/>
              <w:rPr>
                <w:sz w:val="20"/>
                <w:szCs w:val="20"/>
                <w:color w:val="auto"/>
              </w:rPr>
            </w:pPr>
            <w:r>
              <w:rPr>
                <w:rFonts w:ascii="Arial" w:cs="Arial" w:eastAsia="Arial" w:hAnsi="Arial"/>
                <w:sz w:val="16"/>
                <w:szCs w:val="16"/>
                <w:color w:val="auto"/>
              </w:rPr>
              <w:t>Add: Acquisition-related expenses</w:t>
            </w:r>
          </w:p>
        </w:tc>
        <w:tc>
          <w:tcPr>
            <w:tcW w:w="2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income (loss) from operations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18,942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(16,451)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27,933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(58,971)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margin</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162"/>
        </w:trPr>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operating margin</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Free cash flow is a non-GAAP financial measure that we define as net cash provided by (used in) operating activities less purchases of property and equipment and capitalized internal-use software. Free cash flow margin is calculated as free cash flow divided by total revenue. We believe that free cash flow and free cash flow margin are useful indicators of liquidity that provide useful information to management and investors about the amount of cash consumed by our operating activities that is therefore not available to be used for other strategic initiatives. One limitation of free cash flow and free cash flow margin is that they do not reflect our future contractual commitments. Additionally, free cash flow does not represent the total increase or decrease in our cash balance for a given period. In addition, other companies may calculate free cash flow differently or not at all, which reduces the usefulness of free cash flow as a tool for comparison.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reconciliation of free cash flow and free cash flow margin to net cash provided by (used in) operating activities: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October 31,</w:t>
            </w:r>
          </w:p>
        </w:tc>
        <w:tc>
          <w:tcPr>
            <w:tcW w:w="300" w:type="dxa"/>
            <w:vAlign w:val="bottom"/>
          </w:tcPr>
          <w:p>
            <w:pPr>
              <w:spacing w:after="0"/>
              <w:rPr>
                <w:sz w:val="18"/>
                <w:szCs w:val="18"/>
                <w:color w:val="auto"/>
              </w:rPr>
            </w:pPr>
          </w:p>
        </w:tc>
        <w:tc>
          <w:tcPr>
            <w:tcW w:w="29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Nine Months Ended October 31,</w:t>
            </w:r>
          </w:p>
        </w:tc>
      </w:tr>
      <w:tr>
        <w:trPr>
          <w:trHeight w:val="210"/>
        </w:trPr>
        <w:tc>
          <w:tcPr>
            <w:tcW w:w="4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10"/>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(dollars in thousands)</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232,460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609,509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329,304</w:t>
            </w: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88,501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38,635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242,103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33,836</w:t>
            </w:r>
          </w:p>
        </w:tc>
      </w:tr>
      <w:tr>
        <w:trPr>
          <w:trHeight w:val="213"/>
        </w:trPr>
        <w:tc>
          <w:tcPr>
            <w:tcW w:w="4600" w:type="dxa"/>
            <w:vAlign w:val="bottom"/>
          </w:tcPr>
          <w:p>
            <w:pPr>
              <w:ind w:left="140"/>
              <w:spacing w:after="0"/>
              <w:rPr>
                <w:sz w:val="20"/>
                <w:szCs w:val="20"/>
                <w:color w:val="auto"/>
              </w:rPr>
            </w:pPr>
            <w:r>
              <w:rPr>
                <w:rFonts w:ascii="Arial" w:cs="Arial" w:eastAsia="Arial" w:hAnsi="Arial"/>
                <w:sz w:val="16"/>
                <w:szCs w:val="16"/>
                <w:color w:val="auto"/>
              </w:rPr>
              <w:t>Less: Purchases of property and equipment</w:t>
            </w:r>
          </w:p>
        </w:tc>
        <w:tc>
          <w:tcPr>
            <w:tcW w:w="2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(9,911)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(29,689)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(40,245)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(66,848)</w:t>
            </w:r>
          </w:p>
        </w:tc>
      </w:tr>
      <w:tr>
        <w:trPr>
          <w:trHeight w:val="216"/>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Capitalized internal-use software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(2,495)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(5,208)</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76,095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195,513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(38,220)</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(98,375)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(27,262)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512,728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(57,516)</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678,834</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 as a percentage of revenue</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38 %</w:t>
            </w:r>
          </w:p>
        </w:tc>
        <w:tc>
          <w:tcPr>
            <w:tcW w:w="17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31 %</w:t>
            </w:r>
          </w:p>
        </w:tc>
        <w:tc>
          <w:tcPr>
            <w:tcW w:w="16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40 %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66"/>
        </w:trPr>
        <w:tc>
          <w:tcPr>
            <w:tcW w:w="5120" w:type="dxa"/>
            <w:vAlign w:val="bottom"/>
          </w:tcPr>
          <w:p>
            <w:pPr>
              <w:ind w:left="140"/>
              <w:spacing w:after="0" w:line="166" w:lineRule="exact"/>
              <w:rPr>
                <w:sz w:val="20"/>
                <w:szCs w:val="20"/>
                <w:color w:val="auto"/>
              </w:rPr>
            </w:pPr>
            <w:r>
              <w:rPr>
                <w:rFonts w:ascii="Arial" w:cs="Arial" w:eastAsia="Arial" w:hAnsi="Arial"/>
                <w:sz w:val="16"/>
                <w:szCs w:val="16"/>
                <w:color w:val="auto"/>
              </w:rPr>
              <w:t>Less: Purchases of property and equipment as a percentage of</w:t>
            </w:r>
          </w:p>
        </w:tc>
        <w:tc>
          <w:tcPr>
            <w:tcW w:w="1660" w:type="dxa"/>
            <w:vAlign w:val="bottom"/>
            <w:vMerge w:val="restart"/>
          </w:tcPr>
          <w:p>
            <w:pPr>
              <w:jc w:val="right"/>
              <w:ind w:right="559"/>
              <w:spacing w:after="0"/>
              <w:rPr>
                <w:sz w:val="20"/>
                <w:szCs w:val="20"/>
                <w:color w:val="auto"/>
              </w:rPr>
            </w:pPr>
            <w:r>
              <w:rPr>
                <w:rFonts w:ascii="Arial" w:cs="Arial" w:eastAsia="Arial" w:hAnsi="Arial"/>
                <w:sz w:val="16"/>
                <w:szCs w:val="16"/>
                <w:color w:val="auto"/>
              </w:rPr>
              <w:t>(4)%</w:t>
            </w:r>
          </w:p>
        </w:tc>
        <w:tc>
          <w:tcPr>
            <w:tcW w:w="1700" w:type="dxa"/>
            <w:vAlign w:val="bottom"/>
            <w:vMerge w:val="restart"/>
          </w:tcPr>
          <w:p>
            <w:pPr>
              <w:jc w:val="right"/>
              <w:ind w:right="579"/>
              <w:spacing w:after="0"/>
              <w:rPr>
                <w:sz w:val="20"/>
                <w:szCs w:val="20"/>
                <w:color w:val="auto"/>
              </w:rPr>
            </w:pPr>
            <w:r>
              <w:rPr>
                <w:rFonts w:ascii="Arial" w:cs="Arial" w:eastAsia="Arial" w:hAnsi="Arial"/>
                <w:sz w:val="16"/>
                <w:szCs w:val="16"/>
                <w:color w:val="auto"/>
              </w:rPr>
              <w:t>(24)%</w:t>
            </w:r>
          </w:p>
        </w:tc>
        <w:tc>
          <w:tcPr>
            <w:tcW w:w="1620" w:type="dxa"/>
            <w:vAlign w:val="bottom"/>
            <w:vMerge w:val="restart"/>
          </w:tcPr>
          <w:p>
            <w:pPr>
              <w:jc w:val="right"/>
              <w:ind w:right="519"/>
              <w:spacing w:after="0"/>
              <w:rPr>
                <w:sz w:val="20"/>
                <w:szCs w:val="20"/>
                <w:color w:val="auto"/>
              </w:rPr>
            </w:pPr>
            <w:r>
              <w:rPr>
                <w:rFonts w:ascii="Arial" w:cs="Arial" w:eastAsia="Arial" w:hAnsi="Arial"/>
                <w:sz w:val="16"/>
                <w:szCs w:val="16"/>
                <w:color w:val="auto"/>
              </w:rPr>
              <w:t>(7)%</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5120" w:type="dxa"/>
            <w:vAlign w:val="bottom"/>
          </w:tcPr>
          <w:p>
            <w:pPr>
              <w:ind w:left="140"/>
              <w:spacing w:after="0"/>
              <w:rPr>
                <w:sz w:val="20"/>
                <w:szCs w:val="20"/>
                <w:color w:val="auto"/>
              </w:rPr>
            </w:pPr>
            <w:r>
              <w:rPr>
                <w:rFonts w:ascii="Arial" w:cs="Arial" w:eastAsia="Arial" w:hAnsi="Arial"/>
                <w:sz w:val="16"/>
                <w:szCs w:val="16"/>
                <w:color w:val="auto"/>
              </w:rPr>
              <w:t>revenue</w:t>
            </w:r>
          </w:p>
        </w:tc>
        <w:tc>
          <w:tcPr>
            <w:tcW w:w="166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Capitalized internal-use software as a percentage of revenue</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w:t>
            </w:r>
          </w:p>
        </w:tc>
        <w:tc>
          <w:tcPr>
            <w:tcW w:w="17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w:t>
            </w:r>
          </w:p>
        </w:tc>
        <w:tc>
          <w:tcPr>
            <w:tcW w:w="16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color w:val="auto"/>
              </w:rPr>
              <w:t>Free cash flow margin</w:t>
            </w:r>
          </w:p>
        </w:tc>
        <w:tc>
          <w:tcPr>
            <w:tcW w:w="1660" w:type="dxa"/>
            <w:vAlign w:val="bottom"/>
          </w:tcPr>
          <w:p>
            <w:pPr>
              <w:jc w:val="right"/>
              <w:ind w:right="559"/>
              <w:spacing w:after="0"/>
              <w:rPr>
                <w:sz w:val="20"/>
                <w:szCs w:val="20"/>
                <w:color w:val="auto"/>
              </w:rPr>
            </w:pPr>
            <w:r>
              <w:rPr>
                <w:rFonts w:ascii="Arial" w:cs="Arial" w:eastAsia="Arial" w:hAnsi="Arial"/>
                <w:sz w:val="16"/>
                <w:szCs w:val="16"/>
                <w:color w:val="auto"/>
              </w:rPr>
              <w:t>33 %</w:t>
            </w:r>
          </w:p>
        </w:tc>
        <w:tc>
          <w:tcPr>
            <w:tcW w:w="1700" w:type="dxa"/>
            <w:vAlign w:val="bottom"/>
          </w:tcPr>
          <w:p>
            <w:pPr>
              <w:jc w:val="right"/>
              <w:ind w:right="579"/>
              <w:spacing w:after="0"/>
              <w:rPr>
                <w:sz w:val="20"/>
                <w:szCs w:val="20"/>
                <w:color w:val="auto"/>
              </w:rPr>
            </w:pPr>
            <w:r>
              <w:rPr>
                <w:rFonts w:ascii="Arial" w:cs="Arial" w:eastAsia="Arial" w:hAnsi="Arial"/>
                <w:sz w:val="16"/>
                <w:szCs w:val="16"/>
                <w:color w:val="auto"/>
              </w:rPr>
              <w:t>6 %</w:t>
            </w:r>
          </w:p>
        </w:tc>
        <w:tc>
          <w:tcPr>
            <w:tcW w:w="1620" w:type="dxa"/>
            <w:vAlign w:val="bottom"/>
          </w:tcPr>
          <w:p>
            <w:pPr>
              <w:jc w:val="right"/>
              <w:ind w:right="519"/>
              <w:spacing w:after="0"/>
              <w:rPr>
                <w:sz w:val="20"/>
                <w:szCs w:val="20"/>
                <w:color w:val="auto"/>
              </w:rPr>
            </w:pPr>
            <w:r>
              <w:rPr>
                <w:rFonts w:ascii="Arial" w:cs="Arial" w:eastAsia="Arial" w:hAnsi="Arial"/>
                <w:sz w:val="16"/>
                <w:szCs w:val="16"/>
                <w:color w:val="auto"/>
              </w:rPr>
              <w:t>32 %</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51" w:name="page52"/>
    <w:bookmarkEnd w:id="5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June 2019, upon completion of our IPO, we received net proceeds of $659.2 million, after deducting underwriters’ discounts and commissions and offering expenses of $44.8 million.</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October 31, 2020, we had cash and cash equivalents, consisting of highly liquid money market funds, of $1.06 billion. During the first quarter of fiscal 2021, we liquidated our entire portfolio of marketable securities largely in response to the global economic uncertainty in conjunction with the COVID-19 pandemic. This resulted in the recognition of a realized gain of $1.3 million.</w:t>
      </w:r>
    </w:p>
    <w:p>
      <w:pPr>
        <w:spacing w:after="0" w:line="184"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Since our inception, we have generated operating losses, as reflected in our accumulated deficit of $711.1 million as of October 31, 2020. We expect to continue to incur operating losses for the foreseeable future due to the investments we intend to continue to make, particularly in sales and marketing and research and development. As a result, we may require additional capital resources to execute strategic initiatives to grow our business.</w:t>
      </w:r>
    </w:p>
    <w:p>
      <w:pPr>
        <w:spacing w:after="0" w:line="14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October 31, 2020, we had deferred revenue of $762.7 million, of which $579.7 million was recorded as a current liability and is expected to be recorded as revenue in the next 12 months, provided all other revenue recognition criteria have been met.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right="255"/>
              <w:spacing w:after="0"/>
              <w:rPr>
                <w:sz w:val="20"/>
                <w:szCs w:val="20"/>
                <w:color w:val="auto"/>
              </w:rPr>
            </w:pPr>
            <w:r>
              <w:rPr>
                <w:rFonts w:ascii="Arial" w:cs="Arial" w:eastAsia="Arial" w:hAnsi="Arial"/>
                <w:sz w:val="14"/>
                <w:szCs w:val="14"/>
                <w:b w:val="1"/>
                <w:bCs w:val="1"/>
                <w:color w:val="auto"/>
                <w:w w:val="93"/>
              </w:rPr>
              <w:t>Nine Months Ended October 31,</w:t>
            </w:r>
          </w:p>
        </w:tc>
      </w:tr>
      <w:tr>
        <w:trPr>
          <w:trHeight w:val="187"/>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83"/>
        </w:trPr>
        <w:tc>
          <w:tcPr>
            <w:tcW w:w="8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5"/>
                <w:szCs w:val="15"/>
                <w:color w:val="auto"/>
              </w:rPr>
            </w:pPr>
          </w:p>
        </w:tc>
      </w:tr>
      <w:tr>
        <w:trPr>
          <w:trHeight w:val="231"/>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242,103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33,836</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512,728</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(57,516)</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39,606</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678,834</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Net cash provided by operating activities during the nine months ended October 31, 2020 was $242.1 million, which resulted from a net loss of $73.6 million, adjusted for non-cash charges of $182.1 million and net cash inflow of $133.6 million from changes in operating assets and liabilities. Non-cash charges primarily consisted of $102.0 million in stock-based compensation expense, $44.9 million of amortization of deferred contract acquisition costs, $27.7 million of depreciation and amortization, and $7.7 million of non-cash operating lease costs. The net cash inflow from changes in operating assets and liabilities was primarily due to a $189.6 million increase in deferred revenue, a $18.7 million increase in accrued payroll and benefits, a $7.9 million increase in other liabilities and a $6.6 million increase in accounts payable, partially offset by $84.7 million increase in deferred contract acquisition costs and a $6.2 million increase in accounts receivable.</w:t>
      </w:r>
    </w:p>
    <w:p>
      <w:pPr>
        <w:spacing w:after="0" w:line="17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Net cash provided by operating activities during the nine months ended October 31, 2019 was $33.8 million, which resulted from a net loss of $113.4 million, adjusted for non-cash charges of $101.5 million and net cash inflow of $45.7 million from changes in operating assets and liabilities. Non-cash charges primarily consisted of $55.6 million in stock-based compensation expense, $24.1 million of amortization of deferred contract acquisition costs, $16.0 million of depreciation and amortization, and $6.0 million due to the change in the fair value of our redeemable convertible preferred stock warrant liability. The net cash inflow from changes in operating assets and liabilities was primarily due to a $157.2 million increase in deferred revenue, partially offset by a $55.2 million increase in deferred contract acquisition costs, a $53.6 million increase in accounts receivable, and a $19.9 million increase in prepaid expenses and other assets.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Net cash provided by investing activities during the nine months ended October 31, 2020 of $512.7 million was primarily due to the sale of marketable securities of $639.6 million and the maturities of marketable securities of $91.6 million, partially offset by a business acquisition, net of cash acquired, of $85.5 million, purchases of marketable securities of $84.9 million, purchases of property and equipment of $40.2 million, and capitalized internal-use software of $6.3 million.</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Net cash used in investing activities during the nine months ended October 31, 2019 of $57.5 million was primarily due to purchases of marketable securities of $187.7 million and purchases of property and equipment of $66.8 million, partially offset by maturities of marketable securities of $197.8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cash provided by financing activities of $39.6 million during the nine months ended October 31, 2020 was primarily due to proceeds from the exercise of stock options of $21.5 million and proceeds from employee stock purchase plan of $17.3 million.</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Net cash provided by financing activities of $678.8 million during the nine months ended October 31, 2019 was primarily due to our IPO. On June 14, 2019, we closed our IPO in which we sold 20,700,000 shares of Class A common stock. The shares were sold at a public offering price of $34.00 per share for net proceeds of $665.1 million, after deducting underwriters’ discounts and commissions, but before deducting offering expenses. In addition, there were proceeds from the exercise of stock options of $19.6 million during the nine months ended October 31,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We also have the option to request an incremental facility of up to an additional $75.0 million from one or more of the lenders under the Credit Agreement. The amount we may borrow under the Credit Agreement may not exceed the lesser of $150.0 million or our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We are charged a commitment fee of 0.20% to 0.30% per year for committed but unused amounts. The Credit Agreement will terminate on April 19, 2022.</w:t>
      </w:r>
    </w:p>
    <w:p>
      <w:pPr>
        <w:spacing w:after="0" w:line="17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Credit Agreement is collateralized by substantially all of our current and future property, rights, and assets, including, but not limited to, cash, goods, equipment, contractual rights, financial assets, and intangible assets of the Company and our subsidiaries. The Credit Agreement contains covenants limiting our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us to maintain the year-over-year growth rate of our ordinary course recurring subscription revenue above specified rates and to maintain minimum liquidity at specified levels. The Credit Agreement also contains events of default that include, among others, non-payment of principal, interest, or fees, breach of covenants, inaccuracy of representations and warranties, cross defaults to certain other indebtedness, bankruptcy and insolvency events, and material judgments. We were in compliance with all covenants under the Credit Agreement as of October 31,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Credit Agreement as of October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3" w:name="page54"/>
    <w:bookmarkEnd w:id="5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As of October 31, 2020, we had contributed $2.5 million to Falcon Fund.</w:t>
      </w:r>
    </w:p>
    <w:p>
      <w:pPr>
        <w:spacing w:after="0" w:line="17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contractual obligations as of October 31, 2020 and the fiscal years in which these obligations are due: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7"/>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Real estate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48,605</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11,380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10,838</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10,785</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9,950</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arrangements</w:t>
            </w:r>
            <w:r>
              <w:rPr>
                <w:rFonts w:ascii="Arial" w:cs="Arial" w:eastAsia="Arial" w:hAnsi="Arial"/>
                <w:sz w:val="21"/>
                <w:szCs w:val="21"/>
                <w:color w:val="auto"/>
                <w:vertAlign w:val="superscript"/>
              </w:rPr>
              <w:t>(1)</w:t>
            </w: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60" w:type="dxa"/>
            <w:vAlign w:val="bottom"/>
          </w:tcPr>
          <w:p>
            <w:pPr>
              <w:ind w:left="20"/>
              <w:spacing w:after="0" w:line="166" w:lineRule="exact"/>
              <w:rPr>
                <w:sz w:val="20"/>
                <w:szCs w:val="20"/>
                <w:color w:val="auto"/>
              </w:rPr>
            </w:pPr>
            <w:r>
              <w:rPr>
                <w:rFonts w:ascii="Arial" w:cs="Arial" w:eastAsia="Arial" w:hAnsi="Arial"/>
                <w:sz w:val="16"/>
                <w:szCs w:val="16"/>
                <w:color w:val="auto"/>
              </w:rPr>
              <w:t>Data center</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117,550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22,501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66,185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10,829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10,628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3,741</w:t>
            </w:r>
          </w:p>
        </w:tc>
        <w:tc>
          <w:tcPr>
            <w:tcW w:w="0" w:type="dxa"/>
            <w:vAlign w:val="bottom"/>
          </w:tcPr>
          <w:p>
            <w:pPr>
              <w:spacing w:after="0"/>
              <w:rPr>
                <w:sz w:val="1"/>
                <w:szCs w:val="1"/>
                <w:color w:val="auto"/>
              </w:rPr>
            </w:pPr>
          </w:p>
        </w:tc>
      </w:tr>
      <w:tr>
        <w:trPr>
          <w:trHeight w:val="212"/>
        </w:trPr>
        <w:tc>
          <w:tcPr>
            <w:tcW w:w="1660" w:type="dxa"/>
            <w:vAlign w:val="bottom"/>
          </w:tcPr>
          <w:p>
            <w:pPr>
              <w:ind w:left="20"/>
              <w:spacing w:after="0" w:line="213" w:lineRule="exact"/>
              <w:rPr>
                <w:sz w:val="20"/>
                <w:szCs w:val="20"/>
                <w:color w:val="auto"/>
              </w:rPr>
            </w:pPr>
            <w:r>
              <w:rPr>
                <w:rFonts w:ascii="Arial" w:cs="Arial" w:eastAsia="Arial" w:hAnsi="Arial"/>
                <w:sz w:val="16"/>
                <w:szCs w:val="16"/>
                <w:color w:val="auto"/>
              </w:rPr>
              <w:t>commitments</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Other purchase</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32,067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13,354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3,100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obligations</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198,222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92,979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24,767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21,599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7,899</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25" w:lineRule="exact"/>
        <w:rPr>
          <w:sz w:val="20"/>
          <w:szCs w:val="20"/>
          <w:color w:val="auto"/>
        </w:rPr>
      </w:pPr>
    </w:p>
    <w:p>
      <w:pPr>
        <w:ind w:left="660" w:right="100" w:hanging="652"/>
        <w:spacing w:after="0" w:line="308" w:lineRule="auto"/>
        <w:tabs>
          <w:tab w:leader="none" w:pos="65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Relates to non-cancellable real estate arrangements where the amounts are reflected on an undiscounted basis. For additional information refer to Note 7 to our condensed consolidated financial statements included elsewhere in this Quarterly Report on Form 10-Q.</w:t>
      </w:r>
    </w:p>
    <w:p>
      <w:pPr>
        <w:spacing w:after="0" w:line="146" w:lineRule="exact"/>
        <w:rPr>
          <w:rFonts w:ascii="Arial" w:cs="Arial" w:eastAsia="Arial" w:hAnsi="Arial"/>
          <w:sz w:val="17"/>
          <w:szCs w:val="17"/>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Relates to non-cancelable commitments to data center vendors.</w:t>
      </w:r>
    </w:p>
    <w:p>
      <w:pPr>
        <w:spacing w:after="0" w:line="225" w:lineRule="exact"/>
        <w:rPr>
          <w:rFonts w:ascii="Arial" w:cs="Arial" w:eastAsia="Arial" w:hAnsi="Arial"/>
          <w:sz w:val="18"/>
          <w:szCs w:val="18"/>
          <w:color w:val="auto"/>
        </w:rPr>
      </w:pPr>
    </w:p>
    <w:p>
      <w:pPr>
        <w:ind w:left="660" w:right="460" w:hanging="652"/>
        <w:spacing w:after="0" w:line="277" w:lineRule="auto"/>
        <w:tabs>
          <w:tab w:leader="none" w:pos="6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Relates to non-cancelable purchase commitments with various parties to purchase products and services entered into in the normal course of business.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including purchase orders, that we can cancel without a significant penalty are not included in the table above. Purchase orders issued in the ordinary course of business are not included in the table above, as such purchase orders represent authorizations to purchase rather than binding agreements.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above table does not reflect additional commitments of $88.4 million of non-cancelable purchase obligations from fiscal year 2022 through fiscal year 2025 in connection with the extension of an existing agreement, which extension was entered into in November 2020 and will be included in the table above in subsequent periods.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 as of October 31, 2020 or January 31, 2020.</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4" w:name="page55"/>
    <w:bookmarkEnd w:id="5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condensed consolidated balance sheet as of October 31, 2020 or January 31, 2020.</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and useful lives of long-lived assets, the fair value of financial instruments, the recognition and disclosure of contingent liabilities, stock-based compensation, and the fair value of assets acquired and liabilities assumed for business combinations.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6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significant accounting policies are more fully described in Note 2 to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Annual Report on Form 10-K for the fiscal year ended January 31, 2020, filed with the SEC on March 23, 2020, and there have been no significant changes to these policies for the nine months ended October 31, 2020, except in regards to our adoption of ASC 842 as discussed below.</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 xml:space="preserve">In February 2016, the Financial Accounting Standards Board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lessees to generally recognize on the balance sheet operating and financing lease liabilities and corresponding right-of-use assets, and to recognize on the income statement the expenses in a manner similar to prior practice. We adopted this new standard using the modified retrospective method as of February 1, 2020 and elected the transition option that allows us not to restate the comparative periods in our financial statements in the year of adoption.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adopting the leasing standard, we elected the following practical expedients:</w:t>
      </w:r>
    </w:p>
    <w:p>
      <w:pPr>
        <w:spacing w:after="0" w:line="252"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212529"/>
        </w:rPr>
      </w:pPr>
      <w:r>
        <w:rPr>
          <w:rFonts w:ascii="Arial" w:cs="Arial" w:eastAsia="Arial" w:hAnsi="Arial"/>
          <w:sz w:val="18"/>
          <w:szCs w:val="18"/>
          <w:color w:val="212529"/>
        </w:rPr>
        <w:t>The package of practical expedients which allows for not reassessing 1) whether existing contracts contain leases, 2) the lease classification of existing leases, and 3) whether existing initial direct costs meet the new definition.</w:t>
      </w:r>
    </w:p>
    <w:p>
      <w:pPr>
        <w:spacing w:after="0" w:line="211" w:lineRule="exact"/>
        <w:rPr>
          <w:rFonts w:ascii="Arial" w:cs="Arial" w:eastAsia="Arial" w:hAnsi="Arial"/>
          <w:sz w:val="18"/>
          <w:szCs w:val="18"/>
          <w:color w:val="212529"/>
        </w:rPr>
      </w:pPr>
    </w:p>
    <w:p>
      <w:pPr>
        <w:jc w:val="both"/>
        <w:ind w:left="660" w:hanging="328"/>
        <w:spacing w:after="0" w:line="236"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212529"/>
        </w:rPr>
        <w:t>The practical expedient in ASC Subtopic 842-10 to not separate non-lease components from lease components and instead account for each separate lease component and non-lease components associated with that lease component as a single lease component by class of the underlying assets.</w:t>
      </w:r>
    </w:p>
    <w:p>
      <w:pPr>
        <w:spacing w:after="0" w:line="230"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212529"/>
        </w:rPr>
        <w:t>Not to recognize right of use assets and lease liabilities for short-term leases, which have a lease term of twelve months or less and do not include an option to purchase the underlying asset that we are reasonably certain to exercise.</w:t>
      </w:r>
    </w:p>
    <w:p>
      <w:pPr>
        <w:spacing w:after="0" w:line="21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7"/>
          <w:szCs w:val="17"/>
          <w:color w:val="auto"/>
        </w:rPr>
        <w:t>We used our original assumptions for operating leases entered into prior to adoption, electing not to use the hindsight practical expedient.</w:t>
      </w:r>
    </w:p>
    <w:p>
      <w:pPr>
        <w:spacing w:after="0" w:line="250"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Lease payments consist primarily of the fixed payments under the arrangement, less any lease incentives such as tenant improvement allowance. We use an estimate of our incremental borrowing rate (IBR) based on the information available at the lease commencement date in determining the present value of lease payments, unless the implicit rate is readily determinable. In determining the appropriate IBR, we consider information including, but not limited to, our credit rating, the lease term, and the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currency in which the arrangement is denominated. For leases which commenced prior to our adoption of Topic 842, we used the IBR on January 31, 2020.</w:t>
      </w:r>
    </w:p>
    <w:p>
      <w:pPr>
        <w:spacing w:after="0" w:line="23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condensed consolidated financial statements, and are considered by us to be backlog. As of October 31, 2020, we had backlog of approximately $310.5 million. Of this amount, approximately $101.9 million is not reasonably expected to be billed in the next twelve months.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6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 and free cash flow.</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As of October 31, 2020, we had 3,163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17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400" w:firstLine="648"/>
        <w:spacing w:after="0" w:line="279" w:lineRule="auto"/>
        <w:rPr>
          <w:sz w:val="20"/>
          <w:szCs w:val="20"/>
          <w:color w:val="auto"/>
        </w:rPr>
      </w:pPr>
      <w:r>
        <w:rPr>
          <w:rFonts w:ascii="Arial" w:cs="Arial" w:eastAsia="Arial" w:hAnsi="Arial"/>
          <w:sz w:val="16"/>
          <w:szCs w:val="16"/>
          <w:color w:val="auto"/>
        </w:rPr>
        <w:t>CrowdStrike, Inc. was incorporated in the state of Delaware in August 2011. We then incorporated CrowdStrike Holdings, Inc. in the state of Delaware in November 2011, which acquired all shares of CrowdStrike, Inc. held by Warburg Pincus Private Equity X, L.P. and Warburg Pincus X Partners, L.P., or Warburg Pincus, such that CrowdStrike, Inc. became our wholly-owned subsidiary. 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Quarterly Report on Form 10-Q.</w:t>
      </w:r>
    </w:p>
    <w:p>
      <w:pPr>
        <w:spacing w:after="0" w:line="15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8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In particular, Section 107 of the JOBS Act provides that an emerging growth company can take advantage of the extended transition period provided in Section 7(a)(2)(B) of the Securities Act of 1933, as amended, or the Securities Act, for complying with new or revised accounting standards. Thus, an emerging growth company can delay the adoption of certain accounting standards until those standards would otherwise apply to private companies. We have elected to avail ourselves of this extended transition period and, as a result, we may not adopt new or revised accounting standards on the relevant dates on which adoption of such standards is required for other public companies until required by private company accounting standards.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the last business day of our second quarter in 2020, the aggregate market value of our shares held by non-affiliate stockholders exceeded $700 million. As a result, as of January 31, 2021, we will be considered a large accelerated filer as defined in Rule 12b-2 under the Securities Exchange Act of 1934, as amended, or the Exchange Act,, and we will cease to be an emerging growth company as defined in the JOBS Act. We will no longer be exempt from the auditor attestation requirements of Section 404(b) of the Sarbanes-Oxley Act, and our independent registered public accounting firm will evaluate and report on the effectiveness of our internal control over financial reporting.</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more information about the impact of certain recent accounting pronouncements on our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7" w:name="page58"/>
    <w:bookmarkEnd w:id="5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cash and cash equivalents primarily consist of cash on hand and highly liquid investments in corporate debt securities and money market funds. Our investments are exposed to market risk due to fluctuations in interest rates, which may affect our interest income and the fair value of our investments. As of October 31, 2020, we had cash and cash equivalents of $1.06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October 31, 2020. We therefore do not expect our results of operations or cash flows to be materially affected by a sudden change in market interest rates.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To date,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net. During the nine months ended October 31, 2020 foreign currency exchange rate gain recorded to Other comprehensive income (loss) was $0.9 million. A hypothetical 10% decrease in the U.S. dollar against other currencies would have resulted in an increase in operating loss of approximately $11.6 million for the nine months ended October 31, 2020. We have not entered into derivative or hedging transactions, but we may do so in the future if our exposure to foreign currency becomes more significant.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October 31, 2020. Based on the evaluation of our disclosure controls and procedures as of October 31, 2020,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580" w:firstLine="648"/>
        <w:spacing w:after="0" w:line="261" w:lineRule="auto"/>
        <w:rPr>
          <w:sz w:val="20"/>
          <w:szCs w:val="20"/>
          <w:color w:val="auto"/>
        </w:rPr>
      </w:pPr>
      <w:r>
        <w:rPr>
          <w:rFonts w:ascii="Arial" w:cs="Arial" w:eastAsia="Arial" w:hAnsi="Arial"/>
          <w:sz w:val="18"/>
          <w:szCs w:val="18"/>
          <w:color w:val="auto"/>
        </w:rPr>
        <w:t>Refer to Note 11 – Commitments and Contingencies in our Notes to Condensed Consolidated Financial Statements in Part I, Item 1 of this Quarterly Report on Form 10-Q.</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from time to time, we are party to various litigation matters and subject to claims that arise in the ordinary course of business. In addition, third parties may from time to time assert claims against us in the form of letters and other communications. 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operating results and future revenue.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2020, the World Health Organization characterized COVID-19 as a pandemic and the President of the United States declared the COVID-19 outbreak a national emergency. Since then, the COVID-19 pandemic has rapidly spread across the globe and has already resulted in significant volatility, uncertainty and economic disruption. While the COVID-19 pandemic has not had a material adverse financial impact on our business to date, the future impacts of the pandemic and any resulting economic impact are largely unknown. It is possible that the COVID-19 pandemic, the measures taken by the governments of countries affected and the resulting economic impact may materially and adversely affect our business, operating results and future revenue. Additionally, due to our subscription-based business model, the effect of the COVID-19 pandemic may not be fully reflected in our results of operations until future periods, if at all.</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Preventative measures instituted by governments and businesses to mitigate the spread of COVID-19, including travel restrictions, social distancing requirements, shelter in place orders, and quarantines, have negatively impacted the global economy and may adversely impact us, our customers and vendors. Some of our customers have been negatively impacted by the COVID-19 pandemic which could affect our revenues. Customers may also request revised payment terms. If such a demand for revised payment terms occurs, some delays in accounts receivable collection would result. A prolonged economic downturn could result in a larger customer churn than we currently anticipate and reduced demand for our products and services, in which case our revenues could be significantly impacted.</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extent to which COVID-19 ultimately impacts our results of operations, cash flow and financial position will depend on future developments, which are uncertain and cannot be predicted, including, but not limited to, the duration and spread of the outbreak, its severity, the actions taken by governments and authorities to contain the virus or treat its impact, and how quickly and to what extent normal economic and operating conditions can resume. These uncertainties have resulted in volatility in securities and financial markets, which may prevent us from accessing the equity or debt capital markets on attractive terms or at all for a period of time, which could have an adverse effect on our liquidity position. Even after the COVID-19 pandemic has subsided, we may experience material adverse impacts to our business as a result of its global economic impact, including as a result of any recession that may occur. The impact of the COVID-19 pandemic may also exacerbate other risks discussed in this “Risk Factors” section and elsewhere in this Quarterly Report on Form 10-Q. For these reasons, the current level of uncertainty over the economic and operational impacts of COVID-19 means the impact on our results of operations, cash flows and financial</w:t>
      </w:r>
    </w:p>
    <w:p>
      <w:pPr>
        <w:sectPr>
          <w:pgSz w:w="11900" w:h="16838" w:orient="portrait"/>
          <w:cols w:equalWidth="0" w:num="1">
            <w:col w:w="11200"/>
          </w:cols>
          <w:pgMar w:left="320" w:top="341" w:right="3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60" w:name="page61"/>
    <w:bookmarkEnd w:id="6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position cannot be reasonably estimated at this time. Adverse global economic conditions, like the ones we are currently experiencing during the COVID-19 pandemic, could adversely impact our business and financial condition.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Adverse global economic conditions like the ones we are currently experiencing because of the COVID-19 pandemic and uncertain conditions in the credit markets have created, and in the future may increase, risk to our financial outlook.</w:t>
      </w:r>
    </w:p>
    <w:p>
      <w:pPr>
        <w:spacing w:after="0" w:line="170"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uncertain global economy could also result in material churn in our customer base, reductions in revenues from our offerings, longer sales cycles, slower adoption of new technologies and increased price competition, which could adversely affect our liquidity. Customers and vendors filing for bankruptcy could also lead to costly and time-intensive actions with adverse effects, including greater difficulty or delay in accounts receivable collection.</w:t>
      </w:r>
    </w:p>
    <w:p>
      <w:pPr>
        <w:spacing w:after="0" w:line="1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have experienced rapid revenue growth in recent periods and we expect to continue to invest broadly across our organization to support our growth. For example, our headcount grew from 910 employees as of January 31, 2018, to 3,163 employees as of October 31, 2020.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92" w:lineRule="exact"/>
        <w:rPr>
          <w:sz w:val="20"/>
          <w:szCs w:val="20"/>
          <w:color w:val="auto"/>
        </w:rPr>
      </w:pPr>
    </w:p>
    <w:p>
      <w:pPr>
        <w:ind w:left="980" w:right="1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170"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incurred net losses in all periods since our inception, and we may not achieve or maintain profitability in the future. We experienced net losses of $135.5 million, $140.1 million, and $141.8 million for fiscal 2018, fiscal 2019, and fiscal 2020, respectively. As of October 31, 2020, we had an accumulated deficit of $711.1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In addition to the anticipated costs to grow our business, we also expect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makes it difficult to evaluate our current business and future prospects, and may increase the risk of your investment.</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will be negatively affected. You should consider our business and prospects in light of the risks and difficulties we encounter in this new and evolving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78" w:lineRule="exact"/>
        <w:rPr>
          <w:sz w:val="20"/>
          <w:szCs w:val="20"/>
          <w:color w:val="auto"/>
        </w:rPr>
      </w:pPr>
    </w:p>
    <w:p>
      <w:pPr>
        <w:ind w:left="980" w:right="54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competitors include the following by general category:</w:t>
      </w:r>
    </w:p>
    <w:p>
      <w:pPr>
        <w:spacing w:after="0" w:line="225" w:lineRule="exact"/>
        <w:rPr>
          <w:sz w:val="20"/>
          <w:szCs w:val="20"/>
          <w:color w:val="auto"/>
        </w:rPr>
      </w:pPr>
    </w:p>
    <w:p>
      <w:pPr>
        <w:ind w:left="980" w:right="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legacy antivirus product providers, such as McAfee, Inc., Broadcom Inc. (Symantec), and Microsoft Corporation, who offer a broad range of approaches and solutions including traditional antivirus and signature-based protection;</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and VMWare, Inc. (Carbon Black), who offer point products based on malware-only or application whitelisting techniques; and</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and FireEye, Inc., who are supplementing their core perimeter-based offerings with endpoint security solutions.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3" w:name="page64"/>
    <w:bookmarkEnd w:id="6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9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were implicated in failing to block such attack.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6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24"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6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It is virtually impossible for us to entirely eliminate the risk of such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all of which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factors, many of which are beyond our control, can affect the delivery, availability, and the performance of our Falcon platform:</w:t>
      </w:r>
    </w:p>
    <w:p>
      <w:pPr>
        <w:spacing w:after="0" w:line="23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70"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83"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ectPr>
          <w:pgSz w:w="11900" w:h="16838" w:orient="portrait"/>
          <w:cols w:equalWidth="0" w:num="1">
            <w:col w:w="11200"/>
          </w:cols>
          <w:pgMar w:left="320" w:top="341" w:right="3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66" w:name="page67"/>
    <w:bookmarkEnd w:id="6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11" w:lineRule="exact"/>
        <w:rPr>
          <w:sz w:val="20"/>
          <w:szCs w:val="20"/>
          <w:color w:val="auto"/>
        </w:rPr>
      </w:pPr>
    </w:p>
    <w:p>
      <w:pPr>
        <w:ind w:left="980" w:right="10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171"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competitive developments, including consolidation among our customers or competitors;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level of awareness of cybersecurity threats, particularly advanced cyberattacks, and the market adoption of our Falcon platform;</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right="18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use of our Falcon platform;</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both domestic and in our foreign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media coverage or publicity;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events;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expansion of our business;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5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time. If Mr. Kurtz, or one or more of our key employees, or members of our management team resigns or otherwise ceases to provide us with their service, our business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24" w:lineRule="exact"/>
        <w:rPr>
          <w:sz w:val="20"/>
          <w:szCs w:val="20"/>
          <w:color w:val="auto"/>
        </w:rPr>
      </w:pPr>
    </w:p>
    <w:p>
      <w:pPr>
        <w:ind w:left="980" w:right="44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116" w:lineRule="exact"/>
        <w:rPr>
          <w:rFonts w:ascii="Arial" w:cs="Arial" w:eastAsia="Arial" w:hAnsi="Arial"/>
          <w:sz w:val="18"/>
          <w:szCs w:val="18"/>
          <w:color w:val="auto"/>
        </w:rPr>
      </w:pPr>
    </w:p>
    <w:p>
      <w:pPr>
        <w:ind w:left="980" w:right="100" w:hanging="324"/>
        <w:spacing w:after="0" w:line="259"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 certification is costly to maintain and if we lost our certification in the future it would restrict our ability to sell to government customers;</w:t>
      </w:r>
    </w:p>
    <w:p>
      <w:pPr>
        <w:spacing w:after="0" w:line="132"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16"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29"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0" w:name="page71"/>
    <w:bookmarkEnd w:id="7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timely and cost-effectively scale and adapt our existing technology to meet our customers’ performance and other requirements.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25"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w:t>
      </w:r>
    </w:p>
    <w:p>
      <w:pPr>
        <w:spacing w:after="0" w:line="2" w:lineRule="exact"/>
        <w:rPr>
          <w:sz w:val="20"/>
          <w:szCs w:val="20"/>
          <w:color w:val="auto"/>
        </w:rPr>
      </w:pPr>
    </w:p>
    <w:p>
      <w:pPr>
        <w:ind w:right="460"/>
        <w:spacing w:after="0" w:line="243" w:lineRule="auto"/>
        <w:rPr>
          <w:sz w:val="20"/>
          <w:szCs w:val="20"/>
          <w:color w:val="auto"/>
        </w:rPr>
      </w:pPr>
      <w:r>
        <w:rPr>
          <w:rFonts w:ascii="Arial" w:cs="Arial" w:eastAsia="Arial" w:hAnsi="Arial"/>
          <w:sz w:val="18"/>
          <w:szCs w:val="18"/>
          <w:color w:val="auto"/>
        </w:rPr>
        <w:t>customers. Failure to maintain high-quality customer support could have a material adverse effect on our business, results of operations, and financial condition.</w:t>
      </w:r>
    </w:p>
    <w:p>
      <w:pPr>
        <w:spacing w:after="0" w:line="1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202"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debt financing, the holders of debt would have priority over the holders of our Class A common stock, and we may be required to accept terms that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Our credit agreement contains restrictive covenants that limit our ability to borrow more money, to make distributions to our stockholders, and to engage in certain other activities, as well as financial covenants that may limit our operating flexibility.</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Our existing credit agreement contains a number of covenants that limit our ability and our subsidiaries’ ability to, among other things, transfer or dispose of assets, pay dividends or make distributions, incur additional indebtedness, create liens, make investments, loans and acquisitions, engage in transactions with affiliates, merge or consolidate with other companies, or sell substantially all of our assets. Our credit agreement is guaranteed by us and certain of our subsidiaries and secured by substantially all of the assets of the borrower subsidiary, us, and the guarantor subsidiaries. The terms of our credit agreement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 Additionally, our credit agreement includes financial covenants that require us to maintain minimum growth rates of our recurring subscription revenue, and to maintain minimum liquidity at specified levels. We may not be able to generate sufficient cash flow or sales to meet the financial covenants or pay the principal or interest under the credit facility.</w:t>
      </w:r>
    </w:p>
    <w:p>
      <w:pPr>
        <w:spacing w:after="0" w:line="196"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If we are unable to comply with our payment requirements, our lender may accelerate our obligations under our credit agreement and foreclose upon the collateral, or we may be forced to sell assets, restructure our indebtedness or seek additional equity capital, which would dilute our stockholders’ interests. If we fail to comply with any covenant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20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202"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7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We derived approximately 17%, 23%, 26%, and 28% of our total revenue from our international customers for fiscal 2018, fiscal 2019, fiscal 2020, and the nine months ended October 31, 2020,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7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greater difficulty in negotiating contracts with standard terms, enforcing contracts and managing collections, and longer collection periods;</w:t>
      </w:r>
    </w:p>
    <w:p>
      <w:pPr>
        <w:spacing w:after="0" w:line="223" w:lineRule="exact"/>
        <w:rPr>
          <w:rFonts w:ascii="Arial" w:cs="Arial" w:eastAsia="Arial" w:hAnsi="Arial"/>
          <w:sz w:val="17"/>
          <w:szCs w:val="17"/>
          <w:color w:val="auto"/>
        </w:rPr>
      </w:pPr>
    </w:p>
    <w:p>
      <w:pPr>
        <w:ind w:left="660" w:right="580" w:hanging="328"/>
        <w:spacing w:after="0" w:line="23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11" w:lineRule="exact"/>
        <w:rPr>
          <w:rFonts w:ascii="Arial" w:cs="Arial" w:eastAsia="Arial" w:hAnsi="Arial"/>
          <w:sz w:val="18"/>
          <w:szCs w:val="18"/>
          <w:color w:val="auto"/>
        </w:rPr>
      </w:pPr>
    </w:p>
    <w:p>
      <w:pPr>
        <w:ind w:left="660" w:right="360" w:hanging="328"/>
        <w:spacing w:after="0" w:line="23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11" w:lineRule="exact"/>
        <w:rPr>
          <w:rFonts w:ascii="Arial" w:cs="Arial" w:eastAsia="Arial" w:hAnsi="Arial"/>
          <w:sz w:val="18"/>
          <w:szCs w:val="18"/>
          <w:color w:val="auto"/>
        </w:rPr>
      </w:pPr>
    </w:p>
    <w:p>
      <w:pPr>
        <w:ind w:left="660" w:hanging="328"/>
        <w:spacing w:after="0" w:line="22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89" w:lineRule="exact"/>
        <w:rPr>
          <w:rFonts w:ascii="Arial" w:cs="Arial" w:eastAsia="Arial" w:hAnsi="Arial"/>
          <w:sz w:val="18"/>
          <w:szCs w:val="18"/>
          <w:color w:val="auto"/>
        </w:rPr>
      </w:pPr>
    </w:p>
    <w:p>
      <w:pPr>
        <w:ind w:left="660" w:right="200" w:hanging="328"/>
        <w:spacing w:after="0" w:line="23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ectPr>
          <w:pgSz w:w="11900" w:h="16838" w:orient="portrait"/>
          <w:cols w:equalWidth="0" w:num="1">
            <w:col w:w="11160"/>
          </w:cols>
          <w:pgMar w:left="320" w:top="34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type w:val="continuous"/>
        </w:sectPr>
      </w:pPr>
    </w:p>
    <w:bookmarkStart w:id="72" w:name="page73"/>
    <w:bookmarkEnd w:id="7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211" w:lineRule="exact"/>
        <w:rPr>
          <w:rFonts w:ascii="Arial" w:cs="Arial" w:eastAsia="Arial" w:hAnsi="Arial"/>
          <w:sz w:val="18"/>
          <w:szCs w:val="18"/>
          <w:color w:val="auto"/>
        </w:rPr>
      </w:pPr>
    </w:p>
    <w:p>
      <w:pPr>
        <w:ind w:left="660" w:right="240" w:hanging="328"/>
        <w:spacing w:after="0" w:line="23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188" w:lineRule="exact"/>
        <w:rPr>
          <w:rFonts w:ascii="Arial" w:cs="Arial" w:eastAsia="Arial" w:hAnsi="Arial"/>
          <w:sz w:val="18"/>
          <w:szCs w:val="18"/>
          <w:color w:val="auto"/>
        </w:rPr>
      </w:pPr>
    </w:p>
    <w:p>
      <w:pPr>
        <w:ind w:left="660" w:right="100" w:hanging="328"/>
        <w:spacing w:after="0" w:line="23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w:t>
      </w:r>
    </w:p>
    <w:p>
      <w:pPr>
        <w:spacing w:after="0" w:line="188" w:lineRule="exact"/>
        <w:rPr>
          <w:rFonts w:ascii="Arial" w:cs="Arial" w:eastAsia="Arial" w:hAnsi="Arial"/>
          <w:sz w:val="18"/>
          <w:szCs w:val="18"/>
          <w:color w:val="auto"/>
        </w:rPr>
      </w:pPr>
    </w:p>
    <w:p>
      <w:pPr>
        <w:ind w:left="660" w:right="980" w:hanging="328"/>
        <w:spacing w:after="0" w:line="23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greater difficulty in identifying, attracting and retaining local qualified personnel, and the costs and expenses associated with such activities;</w:t>
      </w:r>
    </w:p>
    <w:p>
      <w:pPr>
        <w:spacing w:after="0" w:line="22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 and</w:t>
      </w:r>
    </w:p>
    <w:p>
      <w:pPr>
        <w:spacing w:after="0" w:line="211" w:lineRule="exact"/>
        <w:rPr>
          <w:rFonts w:ascii="Arial" w:cs="Arial" w:eastAsia="Arial" w:hAnsi="Arial"/>
          <w:sz w:val="18"/>
          <w:szCs w:val="18"/>
          <w:color w:val="auto"/>
        </w:rPr>
      </w:pPr>
    </w:p>
    <w:p>
      <w:pPr>
        <w:ind w:left="660" w:right="140" w:hanging="328"/>
        <w:spacing w:after="0" w:line="23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20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Additionally,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Euro, Australian Dollar, and Canadian Dollar,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21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201" w:lineRule="exact"/>
        <w:rPr>
          <w:sz w:val="20"/>
          <w:szCs w:val="20"/>
          <w:color w:val="auto"/>
        </w:rPr>
      </w:pPr>
    </w:p>
    <w:p>
      <w:pPr>
        <w:ind w:right="60"/>
        <w:spacing w:after="0" w:line="324" w:lineRule="auto"/>
        <w:rPr>
          <w:sz w:val="20"/>
          <w:szCs w:val="20"/>
          <w:color w:val="auto"/>
        </w:rPr>
      </w:pPr>
      <w:r>
        <w:rPr>
          <w:rFonts w:ascii="Arial" w:cs="Arial" w:eastAsia="Arial" w:hAnsi="Arial"/>
          <w:sz w:val="15"/>
          <w:szCs w:val="15"/>
          <w:b w:val="1"/>
          <w:bCs w:val="1"/>
          <w:i w:val="1"/>
          <w:iCs w:val="1"/>
          <w:color w:val="auto"/>
        </w:rPr>
        <w:t>CrowdStrike is a highly-visible public company whose management, products, business, results of operations, statements and actions are scrutinized by third-parties whose influence could negatively impact the perception of our brand and the market value of our Class A common stock.</w:t>
      </w:r>
    </w:p>
    <w:p>
      <w:pPr>
        <w:spacing w:after="0" w:line="14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color w:val="auto"/>
        </w:rPr>
        <w:t>CrowdStrike is a highly-visible public company whose management, products, business, results of operations, statements and actions are publicized. Such attention sometimes includes criticism of us by a range of third-parties. Our continued success depends on our ability to focus on executing on our mission and business plan while maintaining the trust of our current and potential customers, employees, stockholders and business partners. Any criticism, whether or not accurate, could influence the perception of our brand or our management by our customers, suppliers or investors, which could adversely impact our business prospects, operating results and the market value of our Class A common stock.</w:t>
      </w:r>
    </w:p>
    <w:p>
      <w:pPr>
        <w:spacing w:after="0" w:line="18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202"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for us to predict the duration or magnitude of the adverse results of the outbreak and its effects on our business or results of operations at this time.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73" w:name="page74"/>
    <w:bookmarkEnd w:id="7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85"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96"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and Regulatory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4" w:name="page75"/>
    <w:bookmarkEnd w:id="7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86"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the Health Insurance Portability and Accountability Act,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7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20 million Euros or four percent of our worldwide annual revenue for the prior fiscal year, whichever is higher. We have incurred substantial expense in complying with the obligations imposed by the GDPR and we may be required to do so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which went into effect on January 1, 2020, with enforcement commencing on July 1, 2020. The CCPA has been characterized as the first “GDPR-like” privacy statute to be enacted in the United States because it contains a number of provisions similar to certain provisions of the GDPR. In addition, the California Privacy Rights Act of 2020, or the CPRA was passed by California voters in November 2020. The CPRA amends the CCPA by creating additional privacy rights for California consumers and additional obligations on businesses, which could subject us to additional compliance costs as well as potential fines, individual claims and commercial liabilities. The majority of the CPRA provisions will take effect on January 1, 2023. The CCPA and CPRA could mark the beginning of a trend toward more stringent privacy legislation in the United States, as other states or the federal government may follow California’s lead and increase protections for U.S. residents.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17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96"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7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-191135</wp:posOffset>
            </wp:positionV>
            <wp:extent cx="349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925" cy="8890"/>
                    </a:xfrm>
                    <a:prstGeom prst="rect">
                      <a:avLst/>
                    </a:prstGeom>
                    <a:noFill/>
                  </pic:spPr>
                </pic:pic>
              </a:graphicData>
            </a:graphic>
          </wp:anchor>
        </w:drawing>
      </w:r>
    </w:p>
    <w:p>
      <w:pPr>
        <w:spacing w:after="0" w:line="82"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our license to do business in the jurisdictions in which we operate;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33"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13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w:t>
      </w: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78" w:name="page79"/>
    <w:bookmarkEnd w:id="7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12"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2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4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are also subject to FCPA,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FCPA,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3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1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4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12"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us to pay monetary damages or enter into royalty and licensing agreements that we would not normally find acceptable;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are regularly subject to claims, suits, and government investigations and other proceedings including patent, product liability, class action, whistleblower, personal injury, property damage, labor and employment,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84"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9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9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customers, negatively impact our sales and marketing efforts, and have an adverse effect on our business,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you could lose all or part of your investment.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34"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1"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94"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Kurtz;</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2" w:name="page83"/>
    <w:bookmarkEnd w:id="8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litigation, if instituted against us, could result in substantial costs and divert our management’s attention and resources from our business. This could have an adverse effect on our business, results of operations and financial condition.</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4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November 30, 2020, we had 188,279,983 shares of Class A common stock outstanding and 32,983,756 shares of Class B common stock outstanding.</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the shares of Class A common stock sold in our initial public offering are freely tradable without restrictions or further registration under the Securities Act, except for any shares held by our affiliates as defined in Rule 144 under the Securities Act.</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of October 31, 2020, our executive officers, directors, one of our current stockholders and its respective affiliates held, in aggregate, 62% of the voting power of our outstanding capital stock. Furthermore, one of our current stockholders and its respective affiliates held, in aggregate, 26%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6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our common stock are subordinate to our debts and other liabilities, resulting in a greater risk of loss for stockholders.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7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will be an “emerging growth company” as defined in the JOBS Act until January 31, 2021. As an emerging growth company, we have taken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who have adopted the new or revised accounting standards. We cannot predict if investors will find our Class A common stock less attractive because we have relied on these exemptions. If some investors find our Class A common stock less attractive as a result, our stock price may be more volatile.</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11" w:lineRule="exact"/>
        <w:rPr>
          <w:sz w:val="20"/>
          <w:szCs w:val="20"/>
          <w:color w:val="auto"/>
        </w:rPr>
      </w:pPr>
    </w:p>
    <w:p>
      <w:pPr>
        <w:ind w:left="98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29"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16" w:lineRule="exact"/>
        <w:rPr>
          <w:rFonts w:ascii="Arial" w:cs="Arial" w:eastAsia="Arial" w:hAnsi="Arial"/>
          <w:sz w:val="18"/>
          <w:szCs w:val="18"/>
          <w:color w:val="auto"/>
        </w:rPr>
      </w:pPr>
    </w:p>
    <w:p>
      <w:pPr>
        <w:ind w:left="980" w:right="24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69" w:lineRule="exact"/>
        <w:rPr>
          <w:rFonts w:ascii="Arial" w:cs="Arial" w:eastAsia="Arial" w:hAnsi="Arial"/>
          <w:sz w:val="16"/>
          <w:szCs w:val="16"/>
          <w:color w:val="auto"/>
        </w:rPr>
      </w:pPr>
    </w:p>
    <w:p>
      <w:pPr>
        <w:ind w:left="980" w:right="54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69" w:lineRule="exact"/>
        <w:rPr>
          <w:rFonts w:ascii="Arial" w:cs="Arial" w:eastAsia="Arial" w:hAnsi="Arial"/>
          <w:sz w:val="16"/>
          <w:szCs w:val="16"/>
          <w:color w:val="auto"/>
        </w:rPr>
      </w:pPr>
    </w:p>
    <w:p>
      <w:pPr>
        <w:ind w:left="980" w:right="160" w:hanging="324"/>
        <w:spacing w:after="0" w:line="259"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32" w:lineRule="exact"/>
        <w:rPr>
          <w:rFonts w:ascii="Arial" w:cs="Arial" w:eastAsia="Arial" w:hAnsi="Arial"/>
          <w:sz w:val="18"/>
          <w:szCs w:val="18"/>
          <w:color w:val="auto"/>
        </w:rPr>
      </w:pPr>
    </w:p>
    <w:p>
      <w:pPr>
        <w:ind w:left="980" w:right="80" w:hanging="324"/>
        <w:spacing w:after="0" w:line="286"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11" w:lineRule="exact"/>
        <w:rPr>
          <w:rFonts w:ascii="Arial" w:cs="Arial" w:eastAsia="Arial" w:hAnsi="Arial"/>
          <w:sz w:val="17"/>
          <w:szCs w:val="17"/>
          <w:color w:val="auto"/>
        </w:rPr>
      </w:pPr>
    </w:p>
    <w:p>
      <w:pPr>
        <w:ind w:left="980" w:right="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two-thirds of the then-outstanding voting power of our capital stock; and</w:t>
      </w:r>
    </w:p>
    <w:p>
      <w:pPr>
        <w:spacing w:after="0" w:line="116"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w:t>
      </w:r>
    </w:p>
    <w:p>
      <w:pPr>
        <w:spacing w:after="0" w:line="17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71"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16"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if we fail to maintain an effective system of internal controls, our ability to produce timely and accurate financial statements or comply with applicable regulations could be impaired.</w:t>
      </w:r>
    </w:p>
    <w:p>
      <w:pPr>
        <w:spacing w:after="0" w:line="10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a new public company, we recently became subject to the reporting requirements of the Exchange Act, the Sarbanes-Oxley Act of 2002, or the Sarbanes-Oxley Act, and the rules and regulations of Nasdaq. We expect that the requirements of these rules and regulations will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are required to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As a result of becoming a public company, our management is required, pursuant to Section 404 of the Sarbanes-Oxley Act, to certify financial and other information in our quarterly and annual reports and provide an annual management report on the effectiveness of our internal control over financial reporting commencing with our second Annual Report on Form 10-K.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6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January 31, 2021.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results of operations and could cause a decline in the price of our stock.</w:t>
      </w:r>
    </w:p>
    <w:p>
      <w:pPr>
        <w:spacing w:after="0" w:line="188"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part of our business strategy, we have in the past and expect to continue to make investments in and/or acquire complementary companies, services or technologies. For example, we recently acquired Preempt Security, Inc.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including our acquisition of Preempt Security, we may not ultimately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144"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integration of product and service offerings;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legal, regulatory or compliance requirements;</w:t>
      </w:r>
    </w:p>
    <w:p>
      <w:pPr>
        <w:spacing w:after="0" w:line="171"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16"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71" w:lineRule="exact"/>
        <w:rPr>
          <w:rFonts w:ascii="Arial" w:cs="Arial" w:eastAsia="Arial" w:hAnsi="Arial"/>
          <w:sz w:val="18"/>
          <w:szCs w:val="18"/>
          <w:color w:val="auto"/>
        </w:rPr>
      </w:pPr>
    </w:p>
    <w:p>
      <w:pPr>
        <w:ind w:left="980" w:right="76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9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As of January 31, 2020, we had aggregate U.S. federal and California net operating loss carryforwards of $652.9 million and $82.0 million, respectively, which may be available to offset future taxable income for income tax purposes. If not utilized, the federal and California net operating loss carryforwards will begin to expire in 2031. As of January 31, 2020, we had net operating loss carryforwards for other states of $406.1 million that will begin to expire in 2023. As of January 31, 2020, we had federal and California research and development credit carryforwards of $19.9 million and $4.9 million, respectively. The federal research and development credit carryforwards will begin to expire in 2031, and the California carryforwards are carried forward indefinitely. Realization of these net operating loss and research and development credit carryforwards depends on future income,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7" w:name="page88"/>
    <w:bookmarkEnd w:id="8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there is a risk that our existing carryforwards could expire unused and be unavailable to offset future income tax liabilities, which could adversely affect our results of operations.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20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37"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7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7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Shares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September 30, 2020, we agreed to issue up to $5.3 million of shares of our Class A common stock, subject to service-based vesting and other conditions, to certain individual stockholders of Preempt Security in connection with our acquisition of Preempt Security. The transaction was exempt from registration under Section 4(a)(2) of the Securities Act.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purchases of shares of our common stock during the nine months ended October 31, 2020. On June 11, 2019, the SEC declared our registration statement on Form S-1 (File No. 333-231461) for our IPO effective. There have been no material changes in the planned use of proceeds from our IPO as described in our final prospectus filed with the SEC on June 13,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89" w:name="page90"/>
    <w:bookmarkEnd w:id="8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4"/>
                <w:szCs w:val="14"/>
                <w:b w:val="1"/>
                <w:bCs w:val="1"/>
                <w:color w:val="auto"/>
                <w:w w:val="96"/>
              </w:rPr>
              <w:t>Incorporated by Reference</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300" w:type="dxa"/>
            <w:vAlign w:val="bottom"/>
            <w:gridSpan w:val="13"/>
            <w:vMerge w:val="restart"/>
          </w:tcPr>
          <w:p>
            <w:pPr>
              <w:ind w:left="58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1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File No.</w:t>
            </w:r>
          </w:p>
        </w:tc>
        <w:tc>
          <w:tcPr>
            <w:tcW w:w="10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Exhibit</w:t>
            </w:r>
          </w:p>
        </w:tc>
        <w:tc>
          <w:tcPr>
            <w:tcW w:w="1420" w:type="dxa"/>
            <w:vAlign w:val="bottom"/>
          </w:tcPr>
          <w:p>
            <w:pPr>
              <w:jc w:val="right"/>
              <w:ind w:right="379"/>
              <w:spacing w:after="0" w:line="135" w:lineRule="exact"/>
              <w:rPr>
                <w:sz w:val="20"/>
                <w:szCs w:val="20"/>
                <w:color w:val="auto"/>
              </w:rPr>
            </w:pPr>
            <w:r>
              <w:rPr>
                <w:rFonts w:ascii="Arial" w:cs="Arial" w:eastAsia="Arial" w:hAnsi="Arial"/>
                <w:sz w:val="14"/>
                <w:szCs w:val="14"/>
                <w:b w:val="1"/>
                <w:bCs w:val="1"/>
                <w:color w:val="auto"/>
              </w:rPr>
              <w:t>Filing</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8"/>
        </w:trPr>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00" w:type="dxa"/>
            <w:vAlign w:val="bottom"/>
            <w:gridSpan w:val="1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420" w:type="dxa"/>
            <w:vAlign w:val="bottom"/>
          </w:tcPr>
          <w:p>
            <w:pPr>
              <w:jc w:val="right"/>
              <w:ind w:right="399"/>
              <w:spacing w:after="0"/>
              <w:rPr>
                <w:sz w:val="20"/>
                <w:szCs w:val="20"/>
                <w:color w:val="auto"/>
              </w:rPr>
            </w:pPr>
            <w:r>
              <w:rPr>
                <w:rFonts w:ascii="Arial" w:cs="Arial" w:eastAsia="Arial" w:hAnsi="Arial"/>
                <w:sz w:val="14"/>
                <w:szCs w:val="14"/>
                <w:b w:val="1"/>
                <w:bCs w:val="1"/>
                <w:color w:val="auto"/>
              </w:rPr>
              <w:t>Date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ind w:left="20"/>
              <w:spacing w:after="0" w:line="184" w:lineRule="exact"/>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3.1</w:t>
              </w:r>
            </w:hyperlink>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100" w:type="dxa"/>
            <w:vAlign w:val="bottom"/>
            <w:tcBorders>
              <w:top w:val="single" w:sz="8" w:color="auto"/>
            </w:tcBorders>
            <w:gridSpan w:val="16"/>
          </w:tcPr>
          <w:p>
            <w:pPr>
              <w:spacing w:after="0" w:line="184" w:lineRule="exact"/>
              <w:rPr>
                <w:rFonts w:ascii="Arial" w:cs="Arial" w:eastAsia="Arial" w:hAnsi="Arial"/>
                <w:sz w:val="18"/>
                <w:szCs w:val="18"/>
                <w:color w:val="0000FF"/>
              </w:rPr>
            </w:pPr>
            <w:hyperlink r:id="rId110">
              <w:r>
                <w:rPr>
                  <w:rFonts w:ascii="Arial" w:cs="Arial" w:eastAsia="Arial" w:hAnsi="Arial"/>
                  <w:sz w:val="18"/>
                  <w:szCs w:val="18"/>
                  <w:color w:val="0000FF"/>
                </w:rPr>
                <w:t xml:space="preserve">Amended and Restated Certificate of Incorporation of the </w:t>
              </w:r>
            </w:hyperlink>
            <w:r>
              <w:rPr>
                <w:rFonts w:ascii="Arial" w:cs="Arial" w:eastAsia="Arial" w:hAnsi="Arial"/>
                <w:sz w:val="18"/>
                <w:szCs w:val="18"/>
                <w:color w:val="000000"/>
              </w:rPr>
              <w:t>8-K</w:t>
            </w:r>
          </w:p>
        </w:tc>
        <w:tc>
          <w:tcPr>
            <w:tcW w:w="1160" w:type="dxa"/>
            <w:vAlign w:val="bottom"/>
            <w:tcBorders>
              <w:top w:val="single" w:sz="8" w:color="auto"/>
            </w:tcBorders>
          </w:tcPr>
          <w:p>
            <w:pPr>
              <w:jc w:val="right"/>
              <w:ind w:right="96"/>
              <w:spacing w:after="0" w:line="184" w:lineRule="exact"/>
              <w:rPr>
                <w:sz w:val="20"/>
                <w:szCs w:val="20"/>
                <w:color w:val="auto"/>
              </w:rPr>
            </w:pPr>
            <w:r>
              <w:rPr>
                <w:rFonts w:ascii="Arial" w:cs="Arial" w:eastAsia="Arial" w:hAnsi="Arial"/>
                <w:sz w:val="18"/>
                <w:szCs w:val="18"/>
                <w:color w:val="auto"/>
              </w:rPr>
              <w:t>001-38933</w:t>
            </w:r>
          </w:p>
        </w:tc>
        <w:tc>
          <w:tcPr>
            <w:tcW w:w="1080" w:type="dxa"/>
            <w:vAlign w:val="bottom"/>
            <w:tcBorders>
              <w:top w:val="single" w:sz="8" w:color="auto"/>
            </w:tcBorders>
          </w:tcPr>
          <w:p>
            <w:pPr>
              <w:jc w:val="right"/>
              <w:ind w:right="439"/>
              <w:spacing w:after="0" w:line="184" w:lineRule="exact"/>
              <w:rPr>
                <w:sz w:val="20"/>
                <w:szCs w:val="20"/>
                <w:color w:val="auto"/>
              </w:rPr>
            </w:pPr>
            <w:r>
              <w:rPr>
                <w:rFonts w:ascii="Arial" w:cs="Arial" w:eastAsia="Arial" w:hAnsi="Arial"/>
                <w:sz w:val="18"/>
                <w:szCs w:val="18"/>
                <w:color w:val="auto"/>
              </w:rPr>
              <w:t>3.1</w:t>
            </w:r>
          </w:p>
        </w:tc>
        <w:tc>
          <w:tcPr>
            <w:tcW w:w="1420" w:type="dxa"/>
            <w:vAlign w:val="bottom"/>
            <w:tcBorders>
              <w:top w:val="single" w:sz="8" w:color="auto"/>
            </w:tcBorders>
          </w:tcPr>
          <w:p>
            <w:pPr>
              <w:jc w:val="right"/>
              <w:ind w:right="499"/>
              <w:spacing w:after="0" w:line="184" w:lineRule="exact"/>
              <w:rPr>
                <w:sz w:val="20"/>
                <w:szCs w:val="20"/>
                <w:color w:val="auto"/>
              </w:rPr>
            </w:pPr>
            <w:r>
              <w:rPr>
                <w:rFonts w:ascii="Arial" w:cs="Arial" w:eastAsia="Arial" w:hAnsi="Arial"/>
                <w:sz w:val="18"/>
                <w:szCs w:val="18"/>
                <w:color w:val="auto"/>
              </w:rPr>
              <w:t>6/14/2019</w:t>
            </w: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Registrant, as currently in effect.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60" w:type="dxa"/>
            <w:vAlign w:val="bottom"/>
          </w:tcPr>
          <w:p>
            <w:pPr>
              <w:ind w:left="20"/>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3.2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15"/>
          </w:tcPr>
          <w:p>
            <w:pPr>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Bylaws of the Registrant, as currently in effect.</w:t>
              </w:r>
            </w:hyperlink>
          </w:p>
        </w:tc>
        <w:tc>
          <w:tcPr>
            <w:tcW w:w="900" w:type="dxa"/>
            <w:vAlign w:val="bottom"/>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001-38933</w:t>
            </w:r>
          </w:p>
        </w:tc>
        <w:tc>
          <w:tcPr>
            <w:tcW w:w="1080" w:type="dxa"/>
            <w:vAlign w:val="bottom"/>
          </w:tcPr>
          <w:p>
            <w:pPr>
              <w:jc w:val="right"/>
              <w:ind w:right="439"/>
              <w:spacing w:after="0"/>
              <w:rPr>
                <w:sz w:val="20"/>
                <w:szCs w:val="20"/>
                <w:color w:val="auto"/>
              </w:rPr>
            </w:pPr>
            <w:r>
              <w:rPr>
                <w:rFonts w:ascii="Arial" w:cs="Arial" w:eastAsia="Arial" w:hAnsi="Arial"/>
                <w:sz w:val="18"/>
                <w:szCs w:val="18"/>
                <w:color w:val="auto"/>
              </w:rPr>
              <w:t>3.2</w:t>
            </w:r>
          </w:p>
        </w:tc>
        <w:tc>
          <w:tcPr>
            <w:tcW w:w="1420" w:type="dxa"/>
            <w:vAlign w:val="bottom"/>
          </w:tcPr>
          <w:p>
            <w:pPr>
              <w:jc w:val="right"/>
              <w:ind w:right="499"/>
              <w:spacing w:after="0"/>
              <w:rPr>
                <w:sz w:val="20"/>
                <w:szCs w:val="20"/>
                <w:color w:val="auto"/>
              </w:rPr>
            </w:pPr>
            <w:r>
              <w:rPr>
                <w:rFonts w:ascii="Arial" w:cs="Arial" w:eastAsia="Arial" w:hAnsi="Arial"/>
                <w:sz w:val="18"/>
                <w:szCs w:val="18"/>
                <w:color w:val="auto"/>
              </w:rPr>
              <w:t>6/14/2019</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20"/>
              <w:spacing w:after="0" w:line="190" w:lineRule="exact"/>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31.1</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0" w:type="dxa"/>
            <w:vAlign w:val="bottom"/>
            <w:gridSpan w:val="15"/>
          </w:tcPr>
          <w:p>
            <w:pPr>
              <w:spacing w:after="0" w:line="190" w:lineRule="exact"/>
              <w:rPr>
                <w:rFonts w:ascii="Arial" w:cs="Arial" w:eastAsia="Arial" w:hAnsi="Arial"/>
                <w:sz w:val="18"/>
                <w:szCs w:val="18"/>
                <w:color w:val="0000FF"/>
                <w:w w:val="96"/>
              </w:rPr>
            </w:pPr>
            <w:hyperlink w:anchor="page92">
              <w:r>
                <w:rPr>
                  <w:rFonts w:ascii="Arial" w:cs="Arial" w:eastAsia="Arial" w:hAnsi="Arial"/>
                  <w:sz w:val="18"/>
                  <w:szCs w:val="18"/>
                  <w:color w:val="0000FF"/>
                  <w:w w:val="96"/>
                </w:rPr>
                <w:t>Certification of the Principal Executive Officer pursuant</w:t>
              </w:r>
            </w:hyperlink>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to Exchange Act Rules 13a14(a) and 15d14(a), as</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6"/>
          </w:tcPr>
          <w:p>
            <w:pPr>
              <w:spacing w:after="0" w:line="156" w:lineRule="exact"/>
              <w:rPr>
                <w:rFonts w:ascii="Arial" w:cs="Arial" w:eastAsia="Arial" w:hAnsi="Arial"/>
                <w:sz w:val="18"/>
                <w:szCs w:val="18"/>
                <w:color w:val="0000FF"/>
                <w:w w:val="88"/>
              </w:rPr>
            </w:pPr>
            <w:hyperlink w:anchor="page92">
              <w:r>
                <w:rPr>
                  <w:rFonts w:ascii="Arial" w:cs="Arial" w:eastAsia="Arial" w:hAnsi="Arial"/>
                  <w:sz w:val="18"/>
                  <w:szCs w:val="18"/>
                  <w:color w:val="0000FF"/>
                  <w:w w:val="88"/>
                </w:rPr>
                <w:t>adopted pursuant to Section 302 of the Sarbanes-</w:t>
              </w:r>
            </w:hyperlink>
          </w:p>
        </w:tc>
        <w:tc>
          <w:tcPr>
            <w:tcW w:w="640" w:type="dxa"/>
            <w:vAlign w:val="bottom"/>
            <w:gridSpan w:val="9"/>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Oxley</w:t>
              </w:r>
            </w:hyperlink>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92">
              <w:r>
                <w:rPr>
                  <w:rFonts w:ascii="Arial" w:cs="Arial" w:eastAsia="Arial" w:hAnsi="Arial"/>
                  <w:sz w:val="18"/>
                  <w:szCs w:val="18"/>
                  <w:color w:val="0000FF"/>
                  <w:w w:val="91"/>
                </w:rPr>
                <w:t>Act of 2002.</w:t>
              </w:r>
            </w:hyperlink>
          </w:p>
        </w:tc>
        <w:tc>
          <w:tcPr>
            <w:tcW w:w="306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31.2</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15"/>
          </w:tcPr>
          <w:p>
            <w:pPr>
              <w:spacing w:after="0"/>
              <w:rPr>
                <w:rFonts w:ascii="Arial" w:cs="Arial" w:eastAsia="Arial" w:hAnsi="Arial"/>
                <w:sz w:val="18"/>
                <w:szCs w:val="18"/>
                <w:color w:val="0000FF"/>
                <w:w w:val="93"/>
              </w:rPr>
            </w:pPr>
            <w:hyperlink w:anchor="page93">
              <w:r>
                <w:rPr>
                  <w:rFonts w:ascii="Arial" w:cs="Arial" w:eastAsia="Arial" w:hAnsi="Arial"/>
                  <w:sz w:val="18"/>
                  <w:szCs w:val="18"/>
                  <w:color w:val="0000FF"/>
                  <w:w w:val="93"/>
                </w:rPr>
                <w:t>Certification of the Principal Financial Officer pursuant to</w:t>
              </w:r>
            </w:hyperlink>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w:anchor="page93">
              <w:r>
                <w:rPr>
                  <w:rFonts w:ascii="Arial" w:cs="Arial" w:eastAsia="Arial" w:hAnsi="Arial"/>
                  <w:sz w:val="18"/>
                  <w:szCs w:val="18"/>
                  <w:color w:val="0000FF"/>
                  <w:w w:val="92"/>
                </w:rPr>
                <w:t>Exchange Act Rules 13a14(a) and 15d14(a), as adopted</w:t>
              </w:r>
            </w:hyperlink>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w:anchor="page93">
              <w:r>
                <w:rPr>
                  <w:rFonts w:ascii="Arial" w:cs="Arial" w:eastAsia="Arial" w:hAnsi="Arial"/>
                  <w:sz w:val="18"/>
                  <w:szCs w:val="18"/>
                  <w:color w:val="0000FF"/>
                  <w:w w:val="93"/>
                </w:rPr>
                <w:t>pursuant to Section 302 of the Sarbanes-Oxley Act of</w:t>
              </w:r>
            </w:hyperlink>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93">
              <w:r>
                <w:rPr>
                  <w:rFonts w:ascii="Arial" w:cs="Arial" w:eastAsia="Arial" w:hAnsi="Arial"/>
                  <w:sz w:val="18"/>
                  <w:szCs w:val="18"/>
                  <w:color w:val="0000FF"/>
                  <w:w w:val="84"/>
                </w:rPr>
                <w:t>2002.</w:t>
              </w:r>
            </w:hyperlink>
          </w:p>
        </w:tc>
        <w:tc>
          <w:tcPr>
            <w:tcW w:w="50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32.1*</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15"/>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Certification of the Principal Executive Officer and</w:t>
              </w:r>
            </w:hyperlink>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7"/>
          </w:tcPr>
          <w:p>
            <w:pPr>
              <w:spacing w:after="0" w:line="156" w:lineRule="exact"/>
              <w:rPr>
                <w:rFonts w:ascii="Arial" w:cs="Arial" w:eastAsia="Arial" w:hAnsi="Arial"/>
                <w:sz w:val="18"/>
                <w:szCs w:val="18"/>
                <w:color w:val="0000FF"/>
                <w:w w:val="95"/>
              </w:rPr>
            </w:pPr>
            <w:hyperlink w:anchor="page94">
              <w:r>
                <w:rPr>
                  <w:rFonts w:ascii="Arial" w:cs="Arial" w:eastAsia="Arial" w:hAnsi="Arial"/>
                  <w:sz w:val="18"/>
                  <w:szCs w:val="18"/>
                  <w:color w:val="0000FF"/>
                  <w:w w:val="95"/>
                </w:rPr>
                <w:t>Principal Financial Officer pursuant to 18 U.S.C.</w:t>
              </w:r>
            </w:hyperlink>
          </w:p>
        </w:tc>
        <w:tc>
          <w:tcPr>
            <w:tcW w:w="34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5"/>
          </w:tcPr>
          <w:p>
            <w:pPr>
              <w:spacing w:after="0" w:line="156" w:lineRule="exact"/>
              <w:rPr>
                <w:rFonts w:ascii="Arial" w:cs="Arial" w:eastAsia="Arial" w:hAnsi="Arial"/>
                <w:sz w:val="18"/>
                <w:szCs w:val="18"/>
                <w:color w:val="0000FF"/>
                <w:w w:val="87"/>
              </w:rPr>
            </w:pPr>
            <w:hyperlink w:anchor="page94">
              <w:r>
                <w:rPr>
                  <w:rFonts w:ascii="Arial" w:cs="Arial" w:eastAsia="Arial" w:hAnsi="Arial"/>
                  <w:sz w:val="18"/>
                  <w:szCs w:val="18"/>
                  <w:color w:val="0000FF"/>
                  <w:w w:val="87"/>
                </w:rPr>
                <w:t>Section 1350, as adopted pursuant to Section 906</w:t>
              </w:r>
            </w:hyperlink>
          </w:p>
        </w:tc>
        <w:tc>
          <w:tcPr>
            <w:tcW w:w="680" w:type="dxa"/>
            <w:vAlign w:val="bottom"/>
            <w:gridSpan w:val="10"/>
          </w:tcPr>
          <w:p>
            <w:pPr>
              <w:ind w:left="60"/>
              <w:spacing w:after="0" w:line="156" w:lineRule="exact"/>
              <w:rPr>
                <w:rFonts w:ascii="Arial" w:cs="Arial" w:eastAsia="Arial" w:hAnsi="Arial"/>
                <w:sz w:val="18"/>
                <w:szCs w:val="18"/>
                <w:color w:val="0000FF"/>
              </w:rPr>
            </w:pPr>
            <w:hyperlink w:anchor="page94">
              <w:r>
                <w:rPr>
                  <w:rFonts w:ascii="Arial" w:cs="Arial" w:eastAsia="Arial" w:hAnsi="Arial"/>
                  <w:sz w:val="18"/>
                  <w:szCs w:val="18"/>
                  <w:color w:val="0000FF"/>
                </w:rPr>
                <w:t>of the</w:t>
              </w:r>
            </w:hyperlink>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94">
              <w:r>
                <w:rPr>
                  <w:rFonts w:ascii="Arial" w:cs="Arial" w:eastAsia="Arial" w:hAnsi="Arial"/>
                  <w:sz w:val="18"/>
                  <w:szCs w:val="18"/>
                  <w:color w:val="0000FF"/>
                  <w:w w:val="90"/>
                </w:rPr>
                <w:t>Sarbanes-Oxley Act of 2002.</w:t>
              </w:r>
            </w:hyperlink>
          </w:p>
        </w:tc>
        <w:tc>
          <w:tcPr>
            <w:tcW w:w="1920" w:type="dxa"/>
            <w:vAlign w:val="bottom"/>
            <w:tcBorders>
              <w:top w:val="single" w:sz="8" w:color="0000FF"/>
            </w:tcBorders>
            <w:gridSpan w:val="8"/>
          </w:tcPr>
          <w:p>
            <w:pPr>
              <w:spacing w:after="0"/>
              <w:rPr>
                <w:sz w:val="13"/>
                <w:szCs w:val="13"/>
                <w:color w:val="auto"/>
              </w:rPr>
            </w:pPr>
          </w:p>
        </w:tc>
        <w:tc>
          <w:tcPr>
            <w:tcW w:w="1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420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4200" w:type="dxa"/>
            <w:vAlign w:val="bottom"/>
            <w:gridSpan w:val="15"/>
          </w:tcPr>
          <w:p>
            <w:pPr>
              <w:spacing w:after="0"/>
              <w:rPr>
                <w:sz w:val="20"/>
                <w:szCs w:val="20"/>
                <w:color w:val="auto"/>
              </w:rPr>
            </w:pPr>
            <w:r>
              <w:rPr>
                <w:rFonts w:ascii="Arial" w:cs="Arial" w:eastAsia="Arial" w:hAnsi="Arial"/>
                <w:sz w:val="18"/>
                <w:szCs w:val="18"/>
                <w:color w:val="auto"/>
                <w:w w:val="98"/>
              </w:rPr>
              <w:t>Inline XBRL Taxonomy Extension Schema Document</w:t>
            </w: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101.CAL</w:t>
            </w:r>
          </w:p>
        </w:tc>
        <w:tc>
          <w:tcPr>
            <w:tcW w:w="20" w:type="dxa"/>
            <w:vAlign w:val="bottom"/>
          </w:tcPr>
          <w:p>
            <w:pPr>
              <w:spacing w:after="0"/>
              <w:rPr>
                <w:sz w:val="15"/>
                <w:szCs w:val="15"/>
                <w:color w:val="auto"/>
              </w:rPr>
            </w:pPr>
          </w:p>
        </w:tc>
        <w:tc>
          <w:tcPr>
            <w:tcW w:w="4200" w:type="dxa"/>
            <w:vAlign w:val="bottom"/>
            <w:gridSpan w:val="15"/>
          </w:tcPr>
          <w:p>
            <w:pPr>
              <w:spacing w:after="0" w:line="176" w:lineRule="exact"/>
              <w:rPr>
                <w:sz w:val="20"/>
                <w:szCs w:val="20"/>
                <w:color w:val="auto"/>
              </w:rPr>
            </w:pPr>
            <w:r>
              <w:rPr>
                <w:rFonts w:ascii="Arial" w:cs="Arial" w:eastAsia="Arial" w:hAnsi="Arial"/>
                <w:sz w:val="18"/>
                <w:szCs w:val="18"/>
                <w:color w:val="auto"/>
                <w:w w:val="95"/>
              </w:rPr>
              <w:t>Inline XBRL Taxonomy Extension Calculation Linkbase</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101.DEF</w:t>
            </w:r>
          </w:p>
        </w:tc>
        <w:tc>
          <w:tcPr>
            <w:tcW w:w="20" w:type="dxa"/>
            <w:vAlign w:val="bottom"/>
          </w:tcPr>
          <w:p>
            <w:pPr>
              <w:spacing w:after="0"/>
              <w:rPr>
                <w:sz w:val="15"/>
                <w:szCs w:val="15"/>
                <w:color w:val="auto"/>
              </w:rPr>
            </w:pPr>
          </w:p>
        </w:tc>
        <w:tc>
          <w:tcPr>
            <w:tcW w:w="4200" w:type="dxa"/>
            <w:vAlign w:val="bottom"/>
            <w:gridSpan w:val="15"/>
          </w:tcPr>
          <w:p>
            <w:pPr>
              <w:spacing w:after="0" w:line="176" w:lineRule="exact"/>
              <w:rPr>
                <w:sz w:val="20"/>
                <w:szCs w:val="20"/>
                <w:color w:val="auto"/>
              </w:rPr>
            </w:pPr>
            <w:r>
              <w:rPr>
                <w:rFonts w:ascii="Arial" w:cs="Arial" w:eastAsia="Arial" w:hAnsi="Arial"/>
                <w:sz w:val="18"/>
                <w:szCs w:val="18"/>
                <w:color w:val="auto"/>
                <w:w w:val="98"/>
              </w:rPr>
              <w:t>Inline XBRL Taxonomy Extension Definition Linkbase</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101.LAB</w:t>
            </w:r>
          </w:p>
        </w:tc>
        <w:tc>
          <w:tcPr>
            <w:tcW w:w="20" w:type="dxa"/>
            <w:vAlign w:val="bottom"/>
          </w:tcPr>
          <w:p>
            <w:pPr>
              <w:spacing w:after="0"/>
              <w:rPr>
                <w:sz w:val="15"/>
                <w:szCs w:val="15"/>
                <w:color w:val="auto"/>
              </w:rPr>
            </w:pPr>
          </w:p>
        </w:tc>
        <w:tc>
          <w:tcPr>
            <w:tcW w:w="4200" w:type="dxa"/>
            <w:vAlign w:val="bottom"/>
            <w:gridSpan w:val="15"/>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101.PRE</w:t>
            </w:r>
          </w:p>
        </w:tc>
        <w:tc>
          <w:tcPr>
            <w:tcW w:w="20" w:type="dxa"/>
            <w:vAlign w:val="bottom"/>
          </w:tcPr>
          <w:p>
            <w:pPr>
              <w:spacing w:after="0"/>
              <w:rPr>
                <w:sz w:val="15"/>
                <w:szCs w:val="15"/>
                <w:color w:val="auto"/>
              </w:rPr>
            </w:pPr>
          </w:p>
        </w:tc>
        <w:tc>
          <w:tcPr>
            <w:tcW w:w="4200" w:type="dxa"/>
            <w:vAlign w:val="bottom"/>
            <w:gridSpan w:val="15"/>
          </w:tcPr>
          <w:p>
            <w:pPr>
              <w:spacing w:after="0" w:line="176" w:lineRule="exact"/>
              <w:rPr>
                <w:sz w:val="20"/>
                <w:szCs w:val="20"/>
                <w:color w:val="auto"/>
              </w:rPr>
            </w:pPr>
            <w:r>
              <w:rPr>
                <w:rFonts w:ascii="Arial" w:cs="Arial" w:eastAsia="Arial" w:hAnsi="Arial"/>
                <w:sz w:val="18"/>
                <w:szCs w:val="18"/>
                <w:color w:val="auto"/>
                <w:w w:val="92"/>
              </w:rPr>
              <w:t>Inline XBRL Taxonomy Extension Presentation Linkbase</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00" w:right="6040" w:hanging="1074"/>
        <w:spacing w:after="0" w:line="224"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Instance XBRL document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9" w:lineRule="exact"/>
        <w:rPr>
          <w:sz w:val="20"/>
          <w:szCs w:val="20"/>
          <w:color w:val="auto"/>
        </w:rPr>
      </w:pPr>
    </w:p>
    <w:p>
      <w:pPr>
        <w:ind w:left="420" w:right="140" w:hanging="412"/>
        <w:spacing w:after="0" w:line="311" w:lineRule="auto"/>
        <w:tabs>
          <w:tab w:leader="none" w:pos="4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Sunnyvale, California, on the day of December 3, 2020.</w:t>
      </w:r>
    </w:p>
    <w:p>
      <w:pPr>
        <w:spacing w:after="0" w:line="200" w:lineRule="exact"/>
        <w:rPr>
          <w:sz w:val="20"/>
          <w:szCs w:val="20"/>
          <w:color w:val="auto"/>
        </w:rPr>
      </w:pPr>
    </w:p>
    <w:p>
      <w:pPr>
        <w:spacing w:after="0" w:line="250"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CROWDSTRIKE HOLDINGS, INC.</w:t>
      </w:r>
    </w:p>
    <w:p>
      <w:pPr>
        <w:spacing w:after="0" w:line="81" w:lineRule="exact"/>
        <w:rPr>
          <w:sz w:val="20"/>
          <w:szCs w:val="20"/>
          <w:color w:val="auto"/>
        </w:rPr>
      </w:pPr>
    </w:p>
    <w:p>
      <w:pPr>
        <w:ind w:left="5460"/>
        <w:spacing w:after="0"/>
        <w:tabs>
          <w:tab w:leader="none" w:pos="5960" w:val="left"/>
        </w:tabs>
        <w:rPr>
          <w:sz w:val="20"/>
          <w:szCs w:val="20"/>
          <w:color w:val="auto"/>
        </w:rPr>
      </w:pPr>
      <w:r>
        <w:rPr>
          <w:rFonts w:ascii="Arial" w:cs="Arial" w:eastAsia="Arial" w:hAnsi="Arial"/>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Burt W. Podbere</w:t>
      </w:r>
    </w:p>
    <w:p>
      <w:pPr>
        <w:ind w:left="598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77" w:lineRule="exact"/>
        <w:rPr>
          <w:sz w:val="20"/>
          <w:szCs w:val="20"/>
          <w:color w:val="auto"/>
        </w:rPr>
      </w:pPr>
    </w:p>
    <w:p>
      <w:pPr>
        <w:ind w:left="5460"/>
        <w:spacing w:after="0"/>
        <w:tabs>
          <w:tab w:leader="none" w:pos="5960" w:val="left"/>
        </w:tabs>
        <w:rPr>
          <w:sz w:val="20"/>
          <w:szCs w:val="20"/>
          <w:color w:val="auto"/>
        </w:rPr>
      </w:pPr>
      <w:r>
        <w:rPr>
          <w:rFonts w:ascii="Arial" w:cs="Arial" w:eastAsia="Arial" w:hAnsi="Arial"/>
          <w:sz w:val="18"/>
          <w:szCs w:val="18"/>
          <w:color w:val="auto"/>
        </w:rPr>
        <w:t>By:</w:t>
        <w:tab/>
        <w:t>/s/ Abhishek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Abhishek Maheshwari</w:t>
      </w:r>
    </w:p>
    <w:p>
      <w:pPr>
        <w:ind w:left="5980"/>
        <w:spacing w:after="0"/>
        <w:rPr>
          <w:sz w:val="20"/>
          <w:szCs w:val="20"/>
          <w:color w:val="auto"/>
        </w:rPr>
      </w:pPr>
      <w:r>
        <w:rPr>
          <w:rFonts w:ascii="Arial" w:cs="Arial" w:eastAsia="Arial" w:hAnsi="Arial"/>
          <w:sz w:val="18"/>
          <w:szCs w:val="18"/>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320" w:top="341" w:right="59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40" w:hanging="328"/>
        <w:spacing w:after="0" w:line="27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2020</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CROWDSTRIKE HOLDINGS,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1038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2020</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CROWDSTRIKE HOLDINGS,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Pr>
          <w:p>
            <w:pPr>
              <w:ind w:left="20"/>
              <w:spacing w:after="0"/>
              <w:rPr>
                <w:sz w:val="20"/>
                <w:szCs w:val="20"/>
                <w:color w:val="auto"/>
              </w:rPr>
            </w:pPr>
            <w:r>
              <w:rPr>
                <w:rFonts w:ascii="Arial" w:cs="Arial" w:eastAsia="Arial" w:hAnsi="Arial"/>
                <w:sz w:val="18"/>
                <w:szCs w:val="18"/>
                <w:color w:val="auto"/>
              </w:rPr>
              <w:t>Burt W. Podbere</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103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93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October 31, 2020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3, 2020</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8"/>
              </w:rPr>
              <w:t>President, Chief Executive Officer, and Director</w:t>
            </w:r>
          </w:p>
        </w:tc>
      </w:tr>
      <w:tr>
        <w:trPr>
          <w:trHeight w:val="230"/>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October 31, 2020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3, 2020</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Burt W. Podbere</w:t>
            </w:r>
          </w:p>
        </w:tc>
        <w:tc>
          <w:tcPr>
            <w:tcW w:w="0" w:type="dxa"/>
            <w:vAlign w:val="bottom"/>
          </w:tcPr>
          <w:p>
            <w:pPr>
              <w:spacing w:after="0"/>
              <w:rPr>
                <w:sz w:val="1"/>
                <w:szCs w:val="1"/>
                <w:color w:val="auto"/>
              </w:rPr>
            </w:pPr>
          </w:p>
        </w:tc>
      </w:tr>
      <w:tr>
        <w:trPr>
          <w:trHeight w:val="176"/>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1."/>
      <w:numFmt w:val="decimal"/>
      <w:start w:val="1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1)"/>
      <w:numFmt w:val="decimal"/>
      <w:start w:val="3"/>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04"/>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0" Type="http://schemas.openxmlformats.org/officeDocument/2006/relationships/hyperlink" Target="http://www.sec.gov/Archives/edgar/data/1535527/000110465919035685/a19-11597_1ex3d1.htm" TargetMode="External"/><Relationship Id="rId111" Type="http://schemas.openxmlformats.org/officeDocument/2006/relationships/hyperlink" Target="http://www.sec.gov/Archives/edgar/data/1535527/000110465919035685/a19-11597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2020-12-03T15:10:53Z</dcterms:created>
  <dcterms:modified xsi:type="dcterms:W3CDTF">2020-12-03T15:10:53Z</dcterms:modified>
</cp:coreProperties>
</file>