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GANDHI SAMEER K</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206 E. 9TH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178</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625.71</w:t>
            </w:r>
            <w:r>
              <w:rPr>
                <w:rFonts w:ascii="Times New Roman" w:cs="Times New Roman" w:eastAsia="Times New Roman" w:hAnsi="Times New Roman"/>
                <w:sz w:val="22"/>
                <w:szCs w:val="22"/>
                <w:color w:val="008000"/>
                <w:w w:val="95"/>
                <w:vertAlign w:val="superscript"/>
              </w:rPr>
              <w:t>(2)</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729,849</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727</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626.7</w:t>
            </w:r>
            <w:r>
              <w:rPr>
                <w:rFonts w:ascii="Times New Roman" w:cs="Times New Roman" w:eastAsia="Times New Roman" w:hAnsi="Times New Roman"/>
                <w:sz w:val="22"/>
                <w:szCs w:val="22"/>
                <w:color w:val="008000"/>
                <w:w w:val="95"/>
                <w:vertAlign w:val="superscript"/>
              </w:rPr>
              <w:t>(4)</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729,122</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725</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627.68</w:t>
            </w:r>
            <w:r>
              <w:rPr>
                <w:rFonts w:ascii="Times New Roman" w:cs="Times New Roman" w:eastAsia="Times New Roman" w:hAnsi="Times New Roman"/>
                <w:sz w:val="22"/>
                <w:szCs w:val="22"/>
                <w:color w:val="008000"/>
                <w:w w:val="95"/>
                <w:vertAlign w:val="superscript"/>
              </w:rPr>
              <w:t>(5)</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728,397</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675</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628.6</w:t>
            </w:r>
            <w:r>
              <w:rPr>
                <w:rFonts w:ascii="Times New Roman" w:cs="Times New Roman" w:eastAsia="Times New Roman" w:hAnsi="Times New Roman"/>
                <w:sz w:val="22"/>
                <w:szCs w:val="22"/>
                <w:color w:val="008000"/>
                <w:w w:val="95"/>
                <w:vertAlign w:val="superscript"/>
              </w:rPr>
              <w:t>(6)</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727,722</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203</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629.59</w:t>
            </w:r>
            <w:r>
              <w:rPr>
                <w:rFonts w:ascii="Times New Roman" w:cs="Times New Roman" w:eastAsia="Times New Roman" w:hAnsi="Times New Roman"/>
                <w:sz w:val="22"/>
                <w:szCs w:val="22"/>
                <w:color w:val="008000"/>
                <w:w w:val="95"/>
                <w:vertAlign w:val="superscript"/>
              </w:rPr>
              <w:t>(7)</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727,519</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175</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630.83</w:t>
            </w:r>
            <w:r>
              <w:rPr>
                <w:rFonts w:ascii="Times New Roman" w:cs="Times New Roman" w:eastAsia="Times New Roman" w:hAnsi="Times New Roman"/>
                <w:sz w:val="22"/>
                <w:szCs w:val="22"/>
                <w:color w:val="008000"/>
                <w:w w:val="95"/>
                <w:vertAlign w:val="superscript"/>
              </w:rPr>
              <w:t>(8)</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727,344</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187</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631.88</w:t>
            </w:r>
            <w:r>
              <w:rPr>
                <w:rFonts w:ascii="Times New Roman" w:cs="Times New Roman" w:eastAsia="Times New Roman" w:hAnsi="Times New Roman"/>
                <w:sz w:val="22"/>
                <w:szCs w:val="22"/>
                <w:color w:val="008000"/>
                <w:w w:val="95"/>
                <w:vertAlign w:val="superscript"/>
              </w:rPr>
              <w:t>(9)</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727,157</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97</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633.22</w:t>
            </w:r>
            <w:r>
              <w:rPr>
                <w:rFonts w:ascii="Times New Roman" w:cs="Times New Roman" w:eastAsia="Times New Roman" w:hAnsi="Times New Roman"/>
                <w:sz w:val="22"/>
                <w:szCs w:val="22"/>
                <w:color w:val="008000"/>
                <w:w w:val="94"/>
                <w:vertAlign w:val="superscript"/>
              </w:rPr>
              <w:t>(10)</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727,060</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60"/>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188</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634.16</w:t>
            </w:r>
            <w:r>
              <w:rPr>
                <w:rFonts w:ascii="Times New Roman" w:cs="Times New Roman" w:eastAsia="Times New Roman" w:hAnsi="Times New Roman"/>
                <w:sz w:val="22"/>
                <w:szCs w:val="22"/>
                <w:color w:val="008000"/>
                <w:w w:val="94"/>
                <w:vertAlign w:val="superscript"/>
              </w:rPr>
              <w:t>(11)</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726,872</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55"/>
        </w:trPr>
        <w:tc>
          <w:tcPr>
            <w:tcW w:w="228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3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85</w:t>
            </w:r>
            <w:r>
              <w:rPr>
                <w:rFonts w:ascii="Times New Roman" w:cs="Times New Roman" w:eastAsia="Times New Roman" w:hAnsi="Times New Roman"/>
                <w:sz w:val="11"/>
                <w:szCs w:val="11"/>
                <w:color w:val="008000"/>
                <w:w w:val="84"/>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635.15</w:t>
            </w:r>
            <w:r>
              <w:rPr>
                <w:rFonts w:ascii="Times New Roman" w:cs="Times New Roman" w:eastAsia="Times New Roman" w:hAnsi="Times New Roman"/>
                <w:sz w:val="22"/>
                <w:szCs w:val="22"/>
                <w:color w:val="008000"/>
                <w:w w:val="94"/>
                <w:vertAlign w:val="superscript"/>
              </w:rPr>
              <w:t>(12)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726,787</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149</w:t>
            </w:r>
            <w:r>
              <w:rPr>
                <w:rFonts w:ascii="Times New Roman" w:cs="Times New Roman" w:eastAsia="Times New Roman" w:hAnsi="Times New Roman"/>
                <w:sz w:val="22"/>
                <w:szCs w:val="22"/>
                <w:color w:val="008000"/>
                <w:w w:val="89"/>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636.01</w:t>
            </w:r>
            <w:r>
              <w:rPr>
                <w:rFonts w:ascii="Times New Roman" w:cs="Times New Roman" w:eastAsia="Times New Roman" w:hAnsi="Times New Roman"/>
                <w:sz w:val="22"/>
                <w:szCs w:val="22"/>
                <w:color w:val="008000"/>
                <w:w w:val="94"/>
                <w:vertAlign w:val="superscript"/>
              </w:rPr>
              <w:t>(13)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726,638</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164</w:t>
            </w:r>
            <w:r>
              <w:rPr>
                <w:rFonts w:ascii="Times New Roman" w:cs="Times New Roman" w:eastAsia="Times New Roman" w:hAnsi="Times New Roman"/>
                <w:sz w:val="11"/>
                <w:szCs w:val="11"/>
                <w:color w:val="008000"/>
                <w:w w:val="81"/>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637.22</w:t>
            </w:r>
            <w:r>
              <w:rPr>
                <w:rFonts w:ascii="Times New Roman" w:cs="Times New Roman" w:eastAsia="Times New Roman" w:hAnsi="Times New Roman"/>
                <w:sz w:val="22"/>
                <w:szCs w:val="22"/>
                <w:color w:val="008000"/>
                <w:w w:val="94"/>
                <w:vertAlign w:val="superscript"/>
              </w:rPr>
              <w:t>(14)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726,474</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201</w:t>
            </w:r>
            <w:r>
              <w:rPr>
                <w:rFonts w:ascii="Times New Roman" w:cs="Times New Roman" w:eastAsia="Times New Roman" w:hAnsi="Times New Roman"/>
                <w:sz w:val="22"/>
                <w:szCs w:val="22"/>
                <w:color w:val="008000"/>
                <w:w w:val="89"/>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638.77</w:t>
            </w:r>
            <w:r>
              <w:rPr>
                <w:rFonts w:ascii="Times New Roman" w:cs="Times New Roman" w:eastAsia="Times New Roman" w:hAnsi="Times New Roman"/>
                <w:sz w:val="22"/>
                <w:szCs w:val="22"/>
                <w:color w:val="008000"/>
                <w:w w:val="94"/>
                <w:vertAlign w:val="superscript"/>
              </w:rPr>
              <w:t>(15)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726,273</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821</w:t>
            </w:r>
            <w:r>
              <w:rPr>
                <w:rFonts w:ascii="Times New Roman" w:cs="Times New Roman" w:eastAsia="Times New Roman" w:hAnsi="Times New Roman"/>
                <w:sz w:val="22"/>
                <w:szCs w:val="22"/>
                <w:color w:val="008000"/>
                <w:w w:val="89"/>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639.61</w:t>
            </w:r>
            <w:r>
              <w:rPr>
                <w:rFonts w:ascii="Times New Roman" w:cs="Times New Roman" w:eastAsia="Times New Roman" w:hAnsi="Times New Roman"/>
                <w:sz w:val="22"/>
                <w:szCs w:val="22"/>
                <w:color w:val="008000"/>
                <w:w w:val="94"/>
                <w:vertAlign w:val="superscript"/>
              </w:rPr>
              <w:t>(16)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725,452</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692</w:t>
            </w:r>
            <w:r>
              <w:rPr>
                <w:rFonts w:ascii="Times New Roman" w:cs="Times New Roman" w:eastAsia="Times New Roman" w:hAnsi="Times New Roman"/>
                <w:sz w:val="11"/>
                <w:szCs w:val="11"/>
                <w:color w:val="008000"/>
                <w:w w:val="81"/>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640.67</w:t>
            </w:r>
            <w:r>
              <w:rPr>
                <w:rFonts w:ascii="Times New Roman" w:cs="Times New Roman" w:eastAsia="Times New Roman" w:hAnsi="Times New Roman"/>
                <w:sz w:val="22"/>
                <w:szCs w:val="22"/>
                <w:color w:val="008000"/>
                <w:w w:val="94"/>
                <w:vertAlign w:val="superscript"/>
              </w:rPr>
              <w:t>(17)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724,760</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948</w:t>
            </w:r>
            <w:r>
              <w:rPr>
                <w:rFonts w:ascii="Times New Roman" w:cs="Times New Roman" w:eastAsia="Times New Roman" w:hAnsi="Times New Roman"/>
                <w:sz w:val="22"/>
                <w:szCs w:val="22"/>
                <w:color w:val="008000"/>
                <w:w w:val="89"/>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641.65</w:t>
            </w:r>
            <w:r>
              <w:rPr>
                <w:rFonts w:ascii="Times New Roman" w:cs="Times New Roman" w:eastAsia="Times New Roman" w:hAnsi="Times New Roman"/>
                <w:sz w:val="22"/>
                <w:szCs w:val="22"/>
                <w:color w:val="008000"/>
                <w:w w:val="94"/>
                <w:vertAlign w:val="superscript"/>
              </w:rPr>
              <w:t>(18)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723,812</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0"/>
              </w:rPr>
              <w:t>1,317</w:t>
            </w:r>
            <w:r>
              <w:rPr>
                <w:rFonts w:ascii="Times New Roman" w:cs="Times New Roman" w:eastAsia="Times New Roman" w:hAnsi="Times New Roman"/>
                <w:sz w:val="22"/>
                <w:szCs w:val="22"/>
                <w:color w:val="008000"/>
                <w:w w:val="90"/>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642.66</w:t>
            </w:r>
            <w:r>
              <w:rPr>
                <w:rFonts w:ascii="Times New Roman" w:cs="Times New Roman" w:eastAsia="Times New Roman" w:hAnsi="Times New Roman"/>
                <w:sz w:val="22"/>
                <w:szCs w:val="22"/>
                <w:color w:val="008000"/>
                <w:w w:val="94"/>
                <w:vertAlign w:val="superscript"/>
              </w:rPr>
              <w:t>(19)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722,495</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0"/>
              </w:rPr>
              <w:t>1,710</w:t>
            </w:r>
            <w:r>
              <w:rPr>
                <w:rFonts w:ascii="Times New Roman" w:cs="Times New Roman" w:eastAsia="Times New Roman" w:hAnsi="Times New Roman"/>
                <w:sz w:val="22"/>
                <w:szCs w:val="22"/>
                <w:color w:val="008000"/>
                <w:w w:val="90"/>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643.66</w:t>
            </w:r>
            <w:r>
              <w:rPr>
                <w:rFonts w:ascii="Times New Roman" w:cs="Times New Roman" w:eastAsia="Times New Roman" w:hAnsi="Times New Roman"/>
                <w:sz w:val="22"/>
                <w:szCs w:val="22"/>
                <w:color w:val="008000"/>
                <w:w w:val="94"/>
                <w:vertAlign w:val="superscript"/>
              </w:rPr>
              <w:t>(20)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720,785</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0"/>
              </w:rPr>
              <w:t>1,604</w:t>
            </w:r>
            <w:r>
              <w:rPr>
                <w:rFonts w:ascii="Times New Roman" w:cs="Times New Roman" w:eastAsia="Times New Roman" w:hAnsi="Times New Roman"/>
                <w:sz w:val="22"/>
                <w:szCs w:val="22"/>
                <w:color w:val="008000"/>
                <w:w w:val="90"/>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644.6</w:t>
            </w:r>
            <w:r>
              <w:rPr>
                <w:rFonts w:ascii="Times New Roman" w:cs="Times New Roman" w:eastAsia="Times New Roman" w:hAnsi="Times New Roman"/>
                <w:sz w:val="22"/>
                <w:szCs w:val="22"/>
                <w:color w:val="008000"/>
                <w:w w:val="94"/>
                <w:vertAlign w:val="superscript"/>
              </w:rPr>
              <w:t>(21)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719,181</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672</w:t>
            </w:r>
            <w:r>
              <w:rPr>
                <w:rFonts w:ascii="Times New Roman" w:cs="Times New Roman" w:eastAsia="Times New Roman" w:hAnsi="Times New Roman"/>
                <w:sz w:val="11"/>
                <w:szCs w:val="11"/>
                <w:color w:val="008000"/>
                <w:w w:val="81"/>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645.42</w:t>
            </w:r>
            <w:r>
              <w:rPr>
                <w:rFonts w:ascii="Times New Roman" w:cs="Times New Roman" w:eastAsia="Times New Roman" w:hAnsi="Times New Roman"/>
                <w:sz w:val="22"/>
                <w:szCs w:val="22"/>
                <w:color w:val="008000"/>
                <w:w w:val="94"/>
                <w:vertAlign w:val="superscript"/>
              </w:rPr>
              <w:t>(22)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718,509</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59"/>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236</w:t>
            </w:r>
            <w:r>
              <w:rPr>
                <w:rFonts w:ascii="Times New Roman" w:cs="Times New Roman" w:eastAsia="Times New Roman" w:hAnsi="Times New Roman"/>
                <w:sz w:val="22"/>
                <w:szCs w:val="22"/>
                <w:color w:val="008000"/>
                <w:w w:val="89"/>
                <w:vertAlign w:val="superscript"/>
              </w:rPr>
              <w:t>(1)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646.75</w:t>
            </w:r>
            <w:r>
              <w:rPr>
                <w:rFonts w:ascii="Times New Roman" w:cs="Times New Roman" w:eastAsia="Times New Roman" w:hAnsi="Times New Roman"/>
                <w:sz w:val="22"/>
                <w:szCs w:val="22"/>
                <w:color w:val="008000"/>
                <w:w w:val="94"/>
                <w:vertAlign w:val="superscript"/>
              </w:rPr>
              <w:t>(23)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718,273</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29,189</w:t>
            </w:r>
            <w:r>
              <w:rPr>
                <w:rFonts w:ascii="Times New Roman" w:cs="Times New Roman" w:eastAsia="Times New Roman" w:hAnsi="Times New Roman"/>
                <w:sz w:val="22"/>
                <w:szCs w:val="22"/>
                <w:color w:val="008000"/>
                <w:w w:val="92"/>
                <w:vertAlign w:val="superscript"/>
              </w:rPr>
              <w:t>(24)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dated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9/21/2001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3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89"/>
              </w:rPr>
              <w:t>8,132</w:t>
            </w:r>
            <w:r>
              <w:rPr>
                <w:rFonts w:ascii="Times New Roman" w:cs="Times New Roman" w:eastAsia="Times New Roman" w:hAnsi="Times New Roman"/>
                <w:sz w:val="22"/>
                <w:szCs w:val="22"/>
                <w:color w:val="008000"/>
                <w:w w:val="89"/>
                <w:vertAlign w:val="superscript"/>
              </w:rPr>
              <w:t>(25)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w:t>
            </w: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7"/>
          <w:szCs w:val="17"/>
          <w:color w:val="0000FF"/>
        </w:rPr>
        <w:t>Nonexempt</w:t>
      </w:r>
    </w:p>
    <w:p>
      <w:pPr>
        <w:spacing w:after="0" w:line="11"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0000FF"/>
        </w:rPr>
        <w:t>Trust dated</w:t>
      </w:r>
    </w:p>
    <w:p>
      <w:pPr>
        <w:spacing w:after="0" w:line="18"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0000FF"/>
        </w:rPr>
        <w:t>10/31/2011</w:t>
      </w:r>
    </w:p>
    <w:p>
      <w:pPr>
        <w:sectPr>
          <w:pgSz w:w="11900" w:h="16838" w:orient="portrait"/>
          <w:cols w:equalWidth="0" w:num="1">
            <w:col w:w="10940"/>
          </w:cols>
          <w:pgMar w:left="480" w:top="191" w:right="479" w:bottom="589"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7357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735711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1">
            <w:col w:w="11000"/>
          </w:cols>
          <w:pgMar w:left="460" w:top="191" w:right="439" w:bottom="0" w:gutter="0" w:footer="0" w:header="0"/>
        </w:sectPr>
      </w:pP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33655" cy="2451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245110"/>
                    </a:xfrm>
                    <a:prstGeom prst="rect">
                      <a:avLst/>
                    </a:prstGeom>
                    <a:noFill/>
                    <a:ln>
                      <a:noFill/>
                    </a:ln>
                  </pic:spPr>
                </pic:pic>
              </a:graphicData>
            </a:graphic>
          </wp:inline>
        </w:drawing>
      </w:r>
      <w:r>
        <w:rPr>
          <w:rFonts w:ascii="Times New Roman" w:cs="Times New Roman" w:eastAsia="Times New Roman" w:hAnsi="Times New Roman"/>
          <w:sz w:val="16"/>
          <w:szCs w:val="16"/>
          <w:color w:val="0000FF"/>
        </w:rPr>
        <w:t xml:space="preserve"> Class A common stock</w:t>
      </w:r>
    </w:p>
    <w:p>
      <w:pPr>
        <w:spacing w:after="0" w:line="20" w:lineRule="exact"/>
        <w:rPr>
          <w:sz w:val="20"/>
          <w:szCs w:val="20"/>
          <w:color w:val="auto"/>
        </w:rPr>
      </w:pPr>
      <w:r>
        <w:rPr>
          <w:sz w:val="20"/>
          <w:szCs w:val="20"/>
          <w:color w:val="auto"/>
        </w:rPr>
        <w:br w:type="column"/>
      </w:r>
    </w:p>
    <w:p>
      <w:pPr>
        <w:ind w:left="2020"/>
        <w:spacing w:after="0"/>
        <w:rPr>
          <w:sz w:val="20"/>
          <w:szCs w:val="20"/>
          <w:color w:val="auto"/>
        </w:rPr>
      </w:pPr>
      <w:r>
        <w:rPr>
          <w:rFonts w:ascii="Times New Roman" w:cs="Times New Roman" w:eastAsia="Times New Roman" w:hAnsi="Times New Roman"/>
          <w:sz w:val="17"/>
          <w:szCs w:val="17"/>
          <w:color w:val="0000FF"/>
        </w:rPr>
        <w:t>The</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Potomac</w:t>
      </w:r>
    </w:p>
    <w:p>
      <w:pPr>
        <w:ind w:left="140"/>
        <w:spacing w:after="0"/>
        <w:tabs>
          <w:tab w:leader="none" w:pos="1440" w:val="left"/>
          <w:tab w:leader="none" w:pos="2000" w:val="left"/>
        </w:tabs>
        <w:rPr>
          <w:sz w:val="20"/>
          <w:szCs w:val="20"/>
          <w:color w:val="auto"/>
        </w:rPr>
      </w:pPr>
      <w:r>
        <w:rPr>
          <w:rFonts w:ascii="Times New Roman" w:cs="Times New Roman" w:eastAsia="Times New Roman" w:hAnsi="Times New Roman"/>
          <w:sz w:val="17"/>
          <w:szCs w:val="17"/>
          <w:color w:val="0000FF"/>
        </w:rPr>
        <w:t>29,868</w:t>
      </w:r>
      <w:r>
        <w:rPr>
          <w:rFonts w:ascii="Times New Roman" w:cs="Times New Roman" w:eastAsia="Times New Roman" w:hAnsi="Times New Roman"/>
          <w:sz w:val="22"/>
          <w:szCs w:val="22"/>
          <w:color w:val="008000"/>
          <w:vertAlign w:val="superscript"/>
        </w:rPr>
        <w:t>(26)</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2011</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Irrevocable</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Trust</w:t>
      </w:r>
    </w:p>
    <w:p>
      <w:pPr>
        <w:spacing w:after="0" w:line="1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ind w:left="20"/>
        <w:spacing w:after="0"/>
        <w:tabs>
          <w:tab w:leader="none" w:pos="1440" w:val="left"/>
          <w:tab w:leader="none" w:pos="2000" w:val="left"/>
        </w:tabs>
        <w:rPr>
          <w:sz w:val="20"/>
          <w:szCs w:val="20"/>
          <w:color w:val="auto"/>
        </w:rPr>
      </w:pPr>
      <w:r>
        <w:rPr>
          <w:rFonts w:ascii="Times New Roman" w:cs="Times New Roman" w:eastAsia="Times New Roman" w:hAnsi="Times New Roman"/>
          <w:sz w:val="17"/>
          <w:szCs w:val="17"/>
          <w:color w:val="0000FF"/>
        </w:rPr>
        <w:t>3,483,559</w:t>
      </w:r>
      <w:r>
        <w:rPr>
          <w:rFonts w:ascii="Times New Roman" w:cs="Times New Roman" w:eastAsia="Times New Roman" w:hAnsi="Times New Roman"/>
          <w:sz w:val="22"/>
          <w:szCs w:val="22"/>
          <w:color w:val="008000"/>
          <w:vertAlign w:val="superscript"/>
        </w:rPr>
        <w:t>(27)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Leaders</w:t>
      </w:r>
    </w:p>
    <w:p>
      <w:pPr>
        <w:ind w:left="2020"/>
        <w:spacing w:after="0"/>
        <w:rPr>
          <w:sz w:val="20"/>
          <w:szCs w:val="20"/>
          <w:color w:val="auto"/>
        </w:rPr>
      </w:pPr>
      <w:r>
        <w:rPr>
          <w:rFonts w:ascii="Times New Roman" w:cs="Times New Roman" w:eastAsia="Times New Roman" w:hAnsi="Times New Roman"/>
          <w:sz w:val="17"/>
          <w:szCs w:val="17"/>
          <w:color w:val="0000FF"/>
        </w:rPr>
        <w:t>Fund L.P.</w:t>
      </w:r>
    </w:p>
    <w:p>
      <w:pPr>
        <w:spacing w:after="0" w:line="1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Leaders</w:t>
      </w:r>
    </w:p>
    <w:p>
      <w:pPr>
        <w:ind w:left="80"/>
        <w:spacing w:after="0" w:line="190" w:lineRule="auto"/>
        <w:tabs>
          <w:tab w:leader="none" w:pos="1440" w:val="left"/>
          <w:tab w:leader="none" w:pos="2000" w:val="left"/>
        </w:tabs>
        <w:rPr>
          <w:sz w:val="20"/>
          <w:szCs w:val="20"/>
          <w:color w:val="auto"/>
        </w:rPr>
      </w:pPr>
      <w:r>
        <w:rPr>
          <w:rFonts w:ascii="Times New Roman" w:cs="Times New Roman" w:eastAsia="Times New Roman" w:hAnsi="Times New Roman"/>
          <w:sz w:val="27"/>
          <w:szCs w:val="27"/>
          <w:color w:val="0000FF"/>
          <w:vertAlign w:val="subscript"/>
        </w:rPr>
        <w:t>166,441</w:t>
      </w:r>
      <w:r>
        <w:rPr>
          <w:rFonts w:ascii="Times New Roman" w:cs="Times New Roman" w:eastAsia="Times New Roman" w:hAnsi="Times New Roman"/>
          <w:sz w:val="10"/>
          <w:szCs w:val="10"/>
          <w:color w:val="008000"/>
        </w:rPr>
        <w:t>(28)</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Fund</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Investors</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2016</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tabs>
          <w:tab w:leader="none" w:pos="1440" w:val="left"/>
          <w:tab w:leader="none" w:pos="2000" w:val="left"/>
        </w:tabs>
        <w:rPr>
          <w:sz w:val="20"/>
          <w:szCs w:val="20"/>
          <w:color w:val="auto"/>
        </w:rPr>
      </w:pPr>
      <w:r>
        <w:rPr>
          <w:rFonts w:ascii="Times New Roman" w:cs="Times New Roman" w:eastAsia="Times New Roman" w:hAnsi="Times New Roman"/>
          <w:sz w:val="17"/>
          <w:szCs w:val="17"/>
          <w:color w:val="0000FF"/>
        </w:rPr>
        <w:t>169,519</w:t>
      </w:r>
      <w:r>
        <w:rPr>
          <w:rFonts w:ascii="Times New Roman" w:cs="Times New Roman" w:eastAsia="Times New Roman" w:hAnsi="Times New Roman"/>
          <w:sz w:val="22"/>
          <w:szCs w:val="22"/>
          <w:color w:val="008000"/>
          <w:vertAlign w:val="superscript"/>
        </w:rPr>
        <w:t>(29)(30)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Growth</w:t>
      </w:r>
    </w:p>
    <w:p>
      <w:pPr>
        <w:jc w:val="right"/>
        <w:ind w:right="120"/>
        <w:spacing w:after="0"/>
        <w:rPr>
          <w:sz w:val="20"/>
          <w:szCs w:val="20"/>
          <w:color w:val="auto"/>
        </w:rPr>
      </w:pPr>
      <w:r>
        <w:rPr>
          <w:rFonts w:ascii="Times New Roman" w:cs="Times New Roman" w:eastAsia="Times New Roman" w:hAnsi="Times New Roman"/>
          <w:sz w:val="17"/>
          <w:szCs w:val="17"/>
          <w:color w:val="0000FF"/>
        </w:rPr>
        <w:t>Fund II L.P.</w:t>
      </w:r>
    </w:p>
    <w:p>
      <w:pPr>
        <w:spacing w:after="0" w:line="1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Growth</w:t>
      </w:r>
    </w:p>
    <w:p>
      <w:pPr>
        <w:ind w:left="140"/>
        <w:spacing w:after="0" w:line="198" w:lineRule="auto"/>
        <w:tabs>
          <w:tab w:leader="none" w:pos="1440" w:val="left"/>
          <w:tab w:leader="none" w:pos="2000" w:val="left"/>
        </w:tabs>
        <w:rPr>
          <w:sz w:val="20"/>
          <w:szCs w:val="20"/>
          <w:color w:val="auto"/>
        </w:rPr>
      </w:pPr>
      <w:r>
        <w:rPr>
          <w:rFonts w:ascii="Times New Roman" w:cs="Times New Roman" w:eastAsia="Times New Roman" w:hAnsi="Times New Roman"/>
          <w:sz w:val="27"/>
          <w:szCs w:val="27"/>
          <w:color w:val="0000FF"/>
          <w:vertAlign w:val="subscript"/>
        </w:rPr>
        <w:t>12,281</w:t>
      </w:r>
      <w:r>
        <w:rPr>
          <w:rFonts w:ascii="Times New Roman" w:cs="Times New Roman" w:eastAsia="Times New Roman" w:hAnsi="Times New Roman"/>
          <w:sz w:val="10"/>
          <w:szCs w:val="10"/>
          <w:color w:val="008000"/>
        </w:rPr>
        <w:t>(31)</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5"/>
          <w:szCs w:val="25"/>
          <w:color w:val="0000FF"/>
          <w:vertAlign w:val="superscript"/>
        </w:rPr>
        <w:t>Fund II</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Strategic</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Partners</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L.P.</w:t>
      </w:r>
    </w:p>
    <w:p>
      <w:pPr>
        <w:spacing w:after="0" w:line="1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Growth</w:t>
      </w:r>
    </w:p>
    <w:p>
      <w:pPr>
        <w:ind w:left="140"/>
        <w:spacing w:after="0" w:line="190" w:lineRule="auto"/>
        <w:tabs>
          <w:tab w:leader="none" w:pos="1440" w:val="left"/>
          <w:tab w:leader="none" w:pos="2000" w:val="left"/>
        </w:tabs>
        <w:rPr>
          <w:sz w:val="20"/>
          <w:szCs w:val="20"/>
          <w:color w:val="auto"/>
        </w:rPr>
      </w:pPr>
      <w:r>
        <w:rPr>
          <w:rFonts w:ascii="Times New Roman" w:cs="Times New Roman" w:eastAsia="Times New Roman" w:hAnsi="Times New Roman"/>
          <w:sz w:val="27"/>
          <w:szCs w:val="27"/>
          <w:color w:val="0000FF"/>
          <w:vertAlign w:val="subscript"/>
        </w:rPr>
        <w:t>18,200</w:t>
      </w:r>
      <w:r>
        <w:rPr>
          <w:rFonts w:ascii="Times New Roman" w:cs="Times New Roman" w:eastAsia="Times New Roman" w:hAnsi="Times New Roman"/>
          <w:sz w:val="10"/>
          <w:szCs w:val="10"/>
          <w:color w:val="008000"/>
        </w:rPr>
        <w:t>(32)</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Fund</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Investors</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2013</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0"/>
          <w:szCs w:val="20"/>
          <w:color w:val="auto"/>
        </w:rPr>
      </w:pPr>
    </w:p>
    <w:p>
      <w:pPr>
        <w:ind w:left="180"/>
        <w:spacing w:after="0"/>
        <w:tabs>
          <w:tab w:leader="none" w:pos="1420" w:val="left"/>
        </w:tabs>
        <w:rPr>
          <w:sz w:val="20"/>
          <w:szCs w:val="20"/>
          <w:color w:val="auto"/>
        </w:rPr>
      </w:pPr>
      <w:r>
        <w:rPr>
          <w:rFonts w:ascii="Times New Roman" w:cs="Times New Roman" w:eastAsia="Times New Roman" w:hAnsi="Times New Roman"/>
          <w:sz w:val="17"/>
          <w:szCs w:val="17"/>
          <w:color w:val="0000FF"/>
        </w:rPr>
        <w:t>7,580</w:t>
      </w:r>
      <w:r>
        <w:rPr>
          <w:rFonts w:ascii="Times New Roman" w:cs="Times New Roman" w:eastAsia="Times New Roman" w:hAnsi="Times New Roman"/>
          <w:sz w:val="22"/>
          <w:szCs w:val="22"/>
          <w:color w:val="008000"/>
          <w:vertAlign w:val="superscript"/>
        </w:rPr>
        <w:t>(33)</w:t>
      </w:r>
      <w:r>
        <w:rPr>
          <w:sz w:val="20"/>
          <w:szCs w:val="20"/>
          <w:color w:val="auto"/>
        </w:rPr>
        <w:tab/>
      </w:r>
      <w:r>
        <w:rPr>
          <w:rFonts w:ascii="Times New Roman" w:cs="Times New Roman" w:eastAsia="Times New Roman" w:hAnsi="Times New Roman"/>
          <w:sz w:val="16"/>
          <w:szCs w:val="16"/>
          <w:color w:val="0000FF"/>
        </w:rPr>
        <w:t>D</w:t>
      </w:r>
    </w:p>
    <w:p>
      <w:pPr>
        <w:spacing w:after="0" w:line="119" w:lineRule="exact"/>
        <w:rPr>
          <w:sz w:val="20"/>
          <w:szCs w:val="20"/>
          <w:color w:val="auto"/>
        </w:rPr>
      </w:pPr>
    </w:p>
    <w:p>
      <w:pPr>
        <w:sectPr>
          <w:pgSz w:w="11900" w:h="16838" w:orient="portrait"/>
          <w:cols w:equalWidth="0" w:num="2">
            <w:col w:w="7320" w:space="720"/>
            <w:col w:w="2960"/>
          </w:cols>
          <w:pgMar w:left="460" w:top="191"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June 27, 2025.</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$625.15 to $626.14.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$626.18 to $627.15.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$627.19 to $628.14.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$628.19 to $629.14.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$629.23 to $630.21.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$630.41 to $631.22.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$631.47 to $632.39.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$632.51 to $633.50.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$633.53 to $634.46.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his transaction was executed in multiple trades at prices ranging from $634.57 to $635.47.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$635.58 to $636.42.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$636.58 to $637.57.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00"/>
          </w:cols>
          <w:pgMar w:left="460" w:top="191" w:right="439" w:bottom="0" w:gutter="0" w:footer="0" w:header="0"/>
          <w:type w:val="continuous"/>
        </w:sectPr>
      </w:pPr>
    </w:p>
    <w:bookmarkStart w:id="3" w:name="page4"/>
    <w:bookmarkEnd w:id="3"/>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$638.08 to $639.07.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$639.11 to $640.08.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$640.18 to $641.16.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$641.18 to $642.15.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$642.18 to $643.17.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$643.17 to $644.16.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$644.18 to $645.13.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$645.17 to $646.00.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$646.23 to $647.20.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ind w:right="14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right="38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L.P. Accel Leaders Fund Associates L.L.C. ("Accel Leaders Fund") is the general partner of Accel Leaders Fund L.P. (the "Accel Leader Fund</w:t>
      </w:r>
    </w:p>
    <w:p>
      <w:pPr>
        <w:spacing w:after="0" w:line="1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3"/>
          <w:szCs w:val="13"/>
          <w:color w:val="008000"/>
        </w:rPr>
        <w:t>Entity").Accel Leaders Fund GP has sole voting and dispositive power with regard to the shares held by the Accel Leaders Fund Entity. The Reporting Person is one of six Managing Members of Accel Leaders Fund GP, who share voting and dispositive powers over the shares held by the Accel Leaders Fund Entity. Each of such Managing Members, the Reporting Person and Accel Growth Fund II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p>
      <w:pPr>
        <w:spacing w:after="0" w:line="28" w:lineRule="exact"/>
        <w:rPr>
          <w:sz w:val="20"/>
          <w:szCs w:val="20"/>
          <w:color w:val="auto"/>
        </w:rPr>
      </w:pPr>
    </w:p>
    <w:p>
      <w:pPr>
        <w:ind w:right="18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Investors 2016 L.L.C. The Reporting Person is one of six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right="4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L.P. Accel Growth Fund II Associates L.L.C. ("Accel Growth Fund II GP") is the general partner of each of Accel Growth Fund II L.P. and Accel Growth Fund II Strategic Partners L.P. (together, the "Accel Growth Fund II Entities"). Accel Growth Fund II GP has sole voting and dispositive power with regard to the shares held by the Accel Growth Fund II Entities. The Reporting Person is one of six Managing Members of Accel Growth Fund II GP, who share voting and dispositive powers over the shares held by the Accel Growth Fund II Entities (continued in Footnote 19)</w:t>
      </w:r>
    </w:p>
    <w:p>
      <w:pPr>
        <w:spacing w:after="0" w:line="24" w:lineRule="exact"/>
        <w:rPr>
          <w:rFonts w:ascii="Times New Roman" w:cs="Times New Roman" w:eastAsia="Times New Roman" w:hAnsi="Times New Roman"/>
          <w:sz w:val="13"/>
          <w:szCs w:val="13"/>
          <w:color w:val="008000"/>
        </w:rPr>
      </w:pPr>
    </w:p>
    <w:p>
      <w:pPr>
        <w:jc w:val="both"/>
        <w:ind w:right="2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29) Each of such Managing Members, the Reporting Person and Accel Growth Fund II GP disclaims Section 16 beneficial ownership over the securities reported herein except to the extent of its pecuniary interest therein, if any, and this report shall not be deemed an admission that any such Managing Member, the Reporting Person or Accel Growth Fund II GP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Strategic Partners L.P.</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one of five Managing Members of Accel Growth Fund Investors 2013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5"/>
    </w:lvl>
  </w:abstractNum>
  <w:abstractNum w:abstractNumId="2">
    <w:nsid w:val="2AE8944A"/>
    <w:multiLevelType w:val="hybridMultilevel"/>
    <w:lvl w:ilvl="0">
      <w:lvlJc w:val="left"/>
      <w:lvlText w:val="%1."/>
      <w:numFmt w:val="decimal"/>
      <w:start w:val="2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01326"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2026-05-22T15:27:47Z</dcterms:created>
  <dcterms:modified xsi:type="dcterms:W3CDTF">2026-05-22T15:27:47Z</dcterms:modified>
</cp:coreProperties>
</file>