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576580</wp:posOffset>
            </wp:positionV>
            <wp:extent cx="71621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596265</wp:posOffset>
            </wp:positionV>
            <wp:extent cx="71621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ind w:left="35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___________________________________________________________________________________________________</w:t>
      </w:r>
    </w:p>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19" w:lineRule="exact"/>
        <w:rPr>
          <w:sz w:val="24"/>
          <w:szCs w:val="24"/>
          <w:color w:val="auto"/>
        </w:rPr>
      </w:pPr>
    </w:p>
    <w:p>
      <w:pPr>
        <w:ind w:left="35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___________________________________________________________________________________________________</w:t>
      </w:r>
    </w:p>
    <w:p>
      <w:pPr>
        <w:spacing w:after="0" w:line="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36" w:lineRule="exact"/>
        <w:rPr>
          <w:sz w:val="24"/>
          <w:szCs w:val="24"/>
          <w:color w:val="auto"/>
        </w:rPr>
      </w:pPr>
    </w:p>
    <w:p>
      <w:pPr>
        <w:ind w:left="340" w:hanging="2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w:t>
      </w:r>
    </w:p>
    <w:p>
      <w:pPr>
        <w:spacing w:after="0" w:line="88" w:lineRule="exact"/>
        <w:rPr>
          <w:rFonts w:ascii="MS PGothic" w:cs="MS PGothic" w:eastAsia="MS PGothic" w:hAnsi="MS PGothic"/>
          <w:sz w:val="14"/>
          <w:szCs w:val="14"/>
          <w:color w:val="auto"/>
        </w:rPr>
      </w:pPr>
    </w:p>
    <w:p>
      <w:pPr>
        <w:ind w:left="426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quarterly period ended April 30, 2021</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OR</w:t>
      </w:r>
    </w:p>
    <w:p>
      <w:pPr>
        <w:spacing w:after="0" w:line="41" w:lineRule="exact"/>
        <w:rPr>
          <w:sz w:val="24"/>
          <w:szCs w:val="24"/>
          <w:color w:val="auto"/>
        </w:rPr>
      </w:pPr>
    </w:p>
    <w:p>
      <w:pPr>
        <w:ind w:left="4740" w:right="4140" w:hanging="4635"/>
        <w:spacing w:after="0" w:line="367" w:lineRule="auto"/>
        <w:tabs>
          <w:tab w:leader="none" w:pos="353"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8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1"/>
              </w:rPr>
              <w:t>Commission File Number: 001-38933</w:t>
            </w: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07"/>
        </w:trPr>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900" w:type="dxa"/>
            <w:vAlign w:val="bottom"/>
            <w:gridSpan w:val="5"/>
          </w:tcPr>
          <w:p>
            <w:pPr>
              <w:jc w:val="center"/>
              <w:ind w:right="380"/>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83"/>
        </w:trPr>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80" w:type="dxa"/>
            <w:vAlign w:val="bottom"/>
            <w:gridSpan w:val="4"/>
          </w:tcPr>
          <w:p>
            <w:pPr>
              <w:jc w:val="center"/>
              <w:ind w:right="780"/>
              <w:spacing w:after="0"/>
              <w:rPr>
                <w:sz w:val="20"/>
                <w:szCs w:val="20"/>
                <w:color w:val="auto"/>
              </w:rPr>
            </w:pPr>
            <w:r>
              <w:rPr>
                <w:rFonts w:ascii="Arial" w:cs="Arial" w:eastAsia="Arial" w:hAnsi="Arial"/>
                <w:sz w:val="20"/>
                <w:szCs w:val="20"/>
                <w:b w:val="1"/>
                <w:bCs w:val="1"/>
                <w:color w:val="auto"/>
              </w:rPr>
              <w:t>CROWDSTRIKE HOLDINGS, INC.</w:t>
            </w:r>
          </w:p>
        </w:tc>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80" w:type="dxa"/>
            <w:vAlign w:val="bottom"/>
            <w:gridSpan w:val="4"/>
          </w:tcPr>
          <w:p>
            <w:pPr>
              <w:jc w:val="center"/>
              <w:ind w:right="780"/>
              <w:spacing w:after="0"/>
              <w:rPr>
                <w:sz w:val="20"/>
                <w:szCs w:val="20"/>
                <w:color w:val="auto"/>
              </w:rPr>
            </w:pPr>
            <w:r>
              <w:rPr>
                <w:rFonts w:ascii="Arial" w:cs="Arial" w:eastAsia="Arial" w:hAnsi="Arial"/>
                <w:sz w:val="14"/>
                <w:szCs w:val="14"/>
                <w:color w:val="auto"/>
                <w:w w:val="91"/>
              </w:rPr>
              <w:t>(Exact Name of Registrant as Specified in Its Charter)</w:t>
            </w:r>
          </w:p>
        </w:tc>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07"/>
        </w:trPr>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900" w:type="dxa"/>
            <w:vAlign w:val="bottom"/>
            <w:gridSpan w:val="5"/>
          </w:tcPr>
          <w:p>
            <w:pPr>
              <w:jc w:val="center"/>
              <w:ind w:right="380"/>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83"/>
        </w:trPr>
        <w:tc>
          <w:tcPr>
            <w:tcW w:w="1440" w:type="dxa"/>
            <w:vAlign w:val="bottom"/>
          </w:tcPr>
          <w:p>
            <w:pPr>
              <w:spacing w:after="0"/>
              <w:rPr>
                <w:sz w:val="15"/>
                <w:szCs w:val="15"/>
                <w:color w:val="auto"/>
              </w:rPr>
            </w:pPr>
          </w:p>
        </w:tc>
        <w:tc>
          <w:tcPr>
            <w:tcW w:w="19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1"/>
              </w:rPr>
              <w:t>Delaware</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tcPr>
          <w:p>
            <w:pPr>
              <w:jc w:val="center"/>
              <w:ind w:right="257"/>
              <w:spacing w:after="0"/>
              <w:rPr>
                <w:sz w:val="20"/>
                <w:szCs w:val="20"/>
                <w:color w:val="auto"/>
              </w:rPr>
            </w:pPr>
            <w:r>
              <w:rPr>
                <w:rFonts w:ascii="Arial" w:cs="Arial" w:eastAsia="Arial" w:hAnsi="Arial"/>
                <w:sz w:val="13"/>
                <w:szCs w:val="13"/>
                <w:b w:val="1"/>
                <w:bCs w:val="1"/>
                <w:color w:val="auto"/>
                <w:w w:val="89"/>
              </w:rPr>
              <w:t>45-3788918</w:t>
            </w:r>
          </w:p>
        </w:tc>
        <w:tc>
          <w:tcPr>
            <w:tcW w:w="760" w:type="dxa"/>
            <w:vAlign w:val="bottom"/>
          </w:tcPr>
          <w:p>
            <w:pPr>
              <w:spacing w:after="0"/>
              <w:rPr>
                <w:sz w:val="15"/>
                <w:szCs w:val="15"/>
                <w:color w:val="auto"/>
              </w:rPr>
            </w:pPr>
          </w:p>
        </w:tc>
      </w:tr>
      <w:tr>
        <w:trPr>
          <w:trHeight w:val="135"/>
        </w:trPr>
        <w:tc>
          <w:tcPr>
            <w:tcW w:w="3380" w:type="dxa"/>
            <w:vAlign w:val="bottom"/>
            <w:gridSpan w:val="3"/>
          </w:tcPr>
          <w:p>
            <w:pPr>
              <w:jc w:val="center"/>
              <w:ind w:left="637"/>
              <w:spacing w:after="0" w:line="135" w:lineRule="exact"/>
              <w:rPr>
                <w:sz w:val="20"/>
                <w:szCs w:val="20"/>
                <w:color w:val="auto"/>
              </w:rPr>
            </w:pPr>
            <w:r>
              <w:rPr>
                <w:rFonts w:ascii="Arial" w:cs="Arial" w:eastAsia="Arial" w:hAnsi="Arial"/>
                <w:sz w:val="13"/>
                <w:szCs w:val="13"/>
                <w:color w:val="auto"/>
                <w:w w:val="91"/>
              </w:rPr>
              <w:t>(State or other jurisdiction of</w:t>
            </w: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20" w:type="dxa"/>
            <w:vAlign w:val="bottom"/>
            <w:gridSpan w:val="2"/>
          </w:tcPr>
          <w:p>
            <w:pPr>
              <w:jc w:val="center"/>
              <w:ind w:right="1120"/>
              <w:spacing w:after="0" w:line="135" w:lineRule="exact"/>
              <w:rPr>
                <w:sz w:val="20"/>
                <w:szCs w:val="20"/>
                <w:color w:val="auto"/>
              </w:rPr>
            </w:pPr>
            <w:r>
              <w:rPr>
                <w:rFonts w:ascii="Arial" w:cs="Arial" w:eastAsia="Arial" w:hAnsi="Arial"/>
                <w:sz w:val="13"/>
                <w:szCs w:val="13"/>
                <w:color w:val="auto"/>
                <w:w w:val="90"/>
              </w:rPr>
              <w:t>(I.R.S. Employer</w:t>
            </w:r>
          </w:p>
        </w:tc>
      </w:tr>
      <w:tr>
        <w:trPr>
          <w:trHeight w:val="161"/>
        </w:trPr>
        <w:tc>
          <w:tcPr>
            <w:tcW w:w="3380" w:type="dxa"/>
            <w:vAlign w:val="bottom"/>
            <w:gridSpan w:val="3"/>
          </w:tcPr>
          <w:p>
            <w:pPr>
              <w:jc w:val="center"/>
              <w:ind w:left="677"/>
              <w:spacing w:after="0"/>
              <w:rPr>
                <w:sz w:val="20"/>
                <w:szCs w:val="20"/>
                <w:color w:val="auto"/>
              </w:rPr>
            </w:pPr>
            <w:r>
              <w:rPr>
                <w:rFonts w:ascii="Arial" w:cs="Arial" w:eastAsia="Arial" w:hAnsi="Arial"/>
                <w:sz w:val="13"/>
                <w:szCs w:val="13"/>
                <w:color w:val="auto"/>
                <w:w w:val="89"/>
              </w:rPr>
              <w:t>incorporation or organization)</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20" w:type="dxa"/>
            <w:vAlign w:val="bottom"/>
            <w:gridSpan w:val="2"/>
          </w:tcPr>
          <w:p>
            <w:pPr>
              <w:jc w:val="center"/>
              <w:ind w:right="1080"/>
              <w:spacing w:after="0"/>
              <w:rPr>
                <w:sz w:val="20"/>
                <w:szCs w:val="20"/>
                <w:color w:val="auto"/>
              </w:rPr>
            </w:pPr>
            <w:r>
              <w:rPr>
                <w:rFonts w:ascii="Arial" w:cs="Arial" w:eastAsia="Arial" w:hAnsi="Arial"/>
                <w:sz w:val="13"/>
                <w:szCs w:val="13"/>
                <w:color w:val="auto"/>
                <w:w w:val="92"/>
              </w:rPr>
              <w:t>Identification Number)</w:t>
            </w:r>
          </w:p>
        </w:tc>
      </w:tr>
      <w:tr>
        <w:trPr>
          <w:trHeight w:val="258"/>
        </w:trPr>
        <w:tc>
          <w:tcPr>
            <w:tcW w:w="1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8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2"/>
              </w:rPr>
              <w:t>150 Mathilda Place, Suite 300, Sunnyvale, California 94086</w:t>
            </w:r>
          </w:p>
        </w:tc>
        <w:tc>
          <w:tcPr>
            <w:tcW w:w="22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4"/>
        </w:trPr>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4"/>
          </w:tcPr>
          <w:p>
            <w:pPr>
              <w:jc w:val="center"/>
              <w:ind w:right="800"/>
              <w:spacing w:after="0"/>
              <w:rPr>
                <w:sz w:val="20"/>
                <w:szCs w:val="20"/>
                <w:color w:val="auto"/>
              </w:rPr>
            </w:pPr>
            <w:r>
              <w:rPr>
                <w:rFonts w:ascii="Arial" w:cs="Arial" w:eastAsia="Arial" w:hAnsi="Arial"/>
                <w:sz w:val="14"/>
                <w:szCs w:val="14"/>
                <w:color w:val="auto"/>
                <w:w w:val="93"/>
              </w:rPr>
              <w:t>(Address of principal executive offices)</w:t>
            </w:r>
          </w:p>
        </w:tc>
        <w:tc>
          <w:tcPr>
            <w:tcW w:w="2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0"/>
        </w:trPr>
        <w:tc>
          <w:tcPr>
            <w:tcW w:w="1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900" w:type="dxa"/>
            <w:vAlign w:val="bottom"/>
            <w:gridSpan w:val="5"/>
          </w:tcPr>
          <w:p>
            <w:pPr>
              <w:jc w:val="center"/>
              <w:ind w:right="360"/>
              <w:spacing w:after="0" w:line="90" w:lineRule="exact"/>
              <w:rPr>
                <w:sz w:val="20"/>
                <w:szCs w:val="20"/>
                <w:color w:val="auto"/>
              </w:rPr>
            </w:pPr>
            <w:r>
              <w:rPr>
                <w:rFonts w:ascii="Arial" w:cs="Arial" w:eastAsia="Arial" w:hAnsi="Arial"/>
                <w:sz w:val="8"/>
                <w:szCs w:val="8"/>
                <w:b w:val="1"/>
                <w:bCs w:val="1"/>
                <w:color w:val="auto"/>
                <w:w w:val="94"/>
              </w:rPr>
              <w:t>__________________________________________________________________________________________________</w:t>
            </w:r>
          </w:p>
        </w:tc>
        <w:tc>
          <w:tcPr>
            <w:tcW w:w="226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75"/>
        </w:trPr>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9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Registrant’s telephone number, including area code: (888) 512-8906</w:t>
            </w: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07"/>
        </w:trPr>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900" w:type="dxa"/>
            <w:vAlign w:val="bottom"/>
            <w:gridSpan w:val="5"/>
          </w:tcPr>
          <w:p>
            <w:pPr>
              <w:jc w:val="center"/>
              <w:ind w:right="380"/>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33"/>
        </w:trPr>
        <w:tc>
          <w:tcPr>
            <w:tcW w:w="1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4"/>
          </w:tcPr>
          <w:p>
            <w:pPr>
              <w:jc w:val="center"/>
              <w:ind w:right="800"/>
              <w:spacing w:after="0"/>
              <w:rPr>
                <w:sz w:val="20"/>
                <w:szCs w:val="20"/>
                <w:color w:val="auto"/>
              </w:rPr>
            </w:pPr>
            <w:r>
              <w:rPr>
                <w:rFonts w:ascii="Arial" w:cs="Arial" w:eastAsia="Arial" w:hAnsi="Arial"/>
                <w:sz w:val="13"/>
                <w:szCs w:val="13"/>
                <w:color w:val="auto"/>
                <w:w w:val="88"/>
              </w:rPr>
              <w:t>Securities registered pursuant to Section 12(b) of the Act:</w:t>
            </w:r>
          </w:p>
        </w:tc>
        <w:tc>
          <w:tcPr>
            <w:tcW w:w="2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36"/>
        </w:trPr>
        <w:tc>
          <w:tcPr>
            <w:tcW w:w="3380" w:type="dxa"/>
            <w:vAlign w:val="bottom"/>
            <w:tcBorders>
              <w:left w:val="single" w:sz="8" w:color="auto"/>
            </w:tcBorders>
            <w:gridSpan w:val="3"/>
          </w:tcPr>
          <w:p>
            <w:pPr>
              <w:jc w:val="center"/>
              <w:ind w:left="357"/>
              <w:spacing w:after="0" w:line="136" w:lineRule="exact"/>
              <w:rPr>
                <w:sz w:val="20"/>
                <w:szCs w:val="20"/>
                <w:color w:val="auto"/>
              </w:rPr>
            </w:pPr>
            <w:r>
              <w:rPr>
                <w:rFonts w:ascii="Arial" w:cs="Arial" w:eastAsia="Arial" w:hAnsi="Arial"/>
                <w:sz w:val="13"/>
                <w:szCs w:val="13"/>
                <w:color w:val="auto"/>
                <w:w w:val="88"/>
              </w:rPr>
              <w:t>Title of each class</w:t>
            </w:r>
          </w:p>
        </w:tc>
        <w:tc>
          <w:tcPr>
            <w:tcW w:w="420" w:type="dxa"/>
            <w:vAlign w:val="bottom"/>
            <w:tcBorders>
              <w:right w:val="single" w:sz="8" w:color="auto"/>
            </w:tcBorders>
          </w:tcPr>
          <w:p>
            <w:pPr>
              <w:spacing w:after="0"/>
              <w:rPr>
                <w:sz w:val="11"/>
                <w:szCs w:val="11"/>
                <w:color w:val="auto"/>
              </w:rPr>
            </w:pPr>
          </w:p>
        </w:tc>
        <w:tc>
          <w:tcPr>
            <w:tcW w:w="3740" w:type="dxa"/>
            <w:vAlign w:val="bottom"/>
            <w:tcBorders>
              <w:right w:val="single" w:sz="8" w:color="auto"/>
            </w:tcBorders>
            <w:gridSpan w:val="3"/>
          </w:tcPr>
          <w:p>
            <w:pPr>
              <w:jc w:val="center"/>
              <w:ind w:right="40"/>
              <w:spacing w:after="0" w:line="136" w:lineRule="exact"/>
              <w:rPr>
                <w:sz w:val="20"/>
                <w:szCs w:val="20"/>
                <w:color w:val="auto"/>
              </w:rPr>
            </w:pPr>
            <w:r>
              <w:rPr>
                <w:rFonts w:ascii="Arial" w:cs="Arial" w:eastAsia="Arial" w:hAnsi="Arial"/>
                <w:sz w:val="13"/>
                <w:szCs w:val="13"/>
                <w:color w:val="auto"/>
                <w:w w:val="90"/>
              </w:rPr>
              <w:t>Trading symbol(s)</w:t>
            </w:r>
          </w:p>
        </w:tc>
        <w:tc>
          <w:tcPr>
            <w:tcW w:w="740" w:type="dxa"/>
            <w:vAlign w:val="bottom"/>
          </w:tcPr>
          <w:p>
            <w:pPr>
              <w:spacing w:after="0"/>
              <w:rPr>
                <w:sz w:val="11"/>
                <w:szCs w:val="11"/>
                <w:color w:val="auto"/>
              </w:rPr>
            </w:pPr>
          </w:p>
        </w:tc>
        <w:tc>
          <w:tcPr>
            <w:tcW w:w="3020" w:type="dxa"/>
            <w:vAlign w:val="bottom"/>
            <w:tcBorders>
              <w:right w:val="single" w:sz="8" w:color="auto"/>
            </w:tcBorders>
            <w:gridSpan w:val="2"/>
          </w:tcPr>
          <w:p>
            <w:pPr>
              <w:jc w:val="center"/>
              <w:ind w:right="760"/>
              <w:spacing w:after="0" w:line="136" w:lineRule="exact"/>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14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47"/>
        </w:trPr>
        <w:tc>
          <w:tcPr>
            <w:tcW w:w="3380" w:type="dxa"/>
            <w:vAlign w:val="bottom"/>
            <w:tcBorders>
              <w:left w:val="single" w:sz="8" w:color="auto"/>
            </w:tcBorders>
            <w:gridSpan w:val="3"/>
          </w:tcPr>
          <w:p>
            <w:pPr>
              <w:jc w:val="center"/>
              <w:ind w:left="357"/>
              <w:spacing w:after="0" w:line="148" w:lineRule="exact"/>
              <w:rPr>
                <w:sz w:val="20"/>
                <w:szCs w:val="20"/>
                <w:color w:val="auto"/>
              </w:rPr>
            </w:pPr>
            <w:r>
              <w:rPr>
                <w:rFonts w:ascii="Arial" w:cs="Arial" w:eastAsia="Arial" w:hAnsi="Arial"/>
                <w:sz w:val="13"/>
                <w:szCs w:val="13"/>
                <w:color w:val="auto"/>
                <w:w w:val="87"/>
              </w:rPr>
              <w:t>Class A common stock, par value $0.0005 per share</w:t>
            </w:r>
          </w:p>
        </w:tc>
        <w:tc>
          <w:tcPr>
            <w:tcW w:w="420" w:type="dxa"/>
            <w:vAlign w:val="bottom"/>
            <w:tcBorders>
              <w:right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Borders>
              <w:right w:val="single" w:sz="8" w:color="auto"/>
            </w:tcBorders>
            <w:gridSpan w:val="2"/>
          </w:tcPr>
          <w:p>
            <w:pPr>
              <w:jc w:val="center"/>
              <w:ind w:right="1420"/>
              <w:spacing w:after="0" w:line="148" w:lineRule="exact"/>
              <w:rPr>
                <w:sz w:val="20"/>
                <w:szCs w:val="20"/>
                <w:color w:val="auto"/>
              </w:rPr>
            </w:pPr>
            <w:r>
              <w:rPr>
                <w:rFonts w:ascii="Arial" w:cs="Arial" w:eastAsia="Arial" w:hAnsi="Arial"/>
                <w:sz w:val="13"/>
                <w:szCs w:val="13"/>
                <w:color w:val="auto"/>
                <w:w w:val="93"/>
              </w:rPr>
              <w:t>CRWD</w:t>
            </w:r>
          </w:p>
        </w:tc>
        <w:tc>
          <w:tcPr>
            <w:tcW w:w="740" w:type="dxa"/>
            <w:vAlign w:val="bottom"/>
          </w:tcPr>
          <w:p>
            <w:pPr>
              <w:spacing w:after="0"/>
              <w:rPr>
                <w:sz w:val="12"/>
                <w:szCs w:val="12"/>
                <w:color w:val="auto"/>
              </w:rPr>
            </w:pPr>
          </w:p>
        </w:tc>
        <w:tc>
          <w:tcPr>
            <w:tcW w:w="3020" w:type="dxa"/>
            <w:vAlign w:val="bottom"/>
            <w:tcBorders>
              <w:right w:val="single" w:sz="8" w:color="auto"/>
            </w:tcBorders>
            <w:gridSpan w:val="2"/>
          </w:tcPr>
          <w:p>
            <w:pPr>
              <w:jc w:val="center"/>
              <w:ind w:right="740"/>
              <w:spacing w:after="0" w:line="148" w:lineRule="exact"/>
              <w:rPr>
                <w:sz w:val="20"/>
                <w:szCs w:val="20"/>
                <w:color w:val="auto"/>
              </w:rPr>
            </w:pPr>
            <w:r>
              <w:rPr>
                <w:rFonts w:ascii="Arial" w:cs="Arial" w:eastAsia="Arial" w:hAnsi="Arial"/>
                <w:sz w:val="13"/>
                <w:szCs w:val="13"/>
                <w:color w:val="auto"/>
                <w:w w:val="89"/>
              </w:rPr>
              <w:t>The Nasdaq Stock Market LLC</w:t>
            </w:r>
          </w:p>
        </w:tc>
      </w:tr>
      <w:tr>
        <w:trPr>
          <w:trHeight w:val="190"/>
        </w:trPr>
        <w:tc>
          <w:tcPr>
            <w:tcW w:w="1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302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3"/>
                <w:szCs w:val="13"/>
                <w:color w:val="auto"/>
                <w:w w:val="88"/>
              </w:rPr>
              <w:t>(Nasdaq Global Select Market)</w:t>
            </w:r>
          </w:p>
        </w:tc>
      </w:tr>
      <w:tr>
        <w:trPr>
          <w:trHeight w:val="36"/>
        </w:trPr>
        <w:tc>
          <w:tcPr>
            <w:tcW w:w="14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bl>
    <w:p>
      <w:pPr>
        <w:spacing w:after="0" w:line="311" w:lineRule="exact"/>
        <w:rPr>
          <w:sz w:val="24"/>
          <w:szCs w:val="24"/>
          <w:color w:val="auto"/>
        </w:rPr>
      </w:pPr>
    </w:p>
    <w:p>
      <w:pPr>
        <w:ind w:right="60" w:firstLine="508"/>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400" w:firstLine="508"/>
        <w:spacing w:after="0" w:line="17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ind w:right="200" w:firstLine="508"/>
        <w:spacing w:after="0" w:line="297" w:lineRule="auto"/>
        <w:rPr>
          <w:sz w:val="20"/>
          <w:szCs w:val="20"/>
          <w:color w:val="auto"/>
        </w:rPr>
      </w:pPr>
      <w:r>
        <w:rPr>
          <w:rFonts w:ascii="Arial" w:cs="Arial" w:eastAsia="Arial" w:hAnsi="Arial"/>
          <w:sz w:val="13"/>
          <w:szCs w:val="13"/>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4"/>
          <w:szCs w:val="14"/>
          <w:color w:val="auto"/>
        </w:rPr>
        <w:t>“</w:t>
      </w:r>
      <w:r>
        <w:rPr>
          <w:rFonts w:ascii="Arial" w:cs="Arial" w:eastAsia="Arial" w:hAnsi="Arial"/>
          <w:sz w:val="13"/>
          <w:szCs w:val="13"/>
          <w:color w:val="auto"/>
        </w:rPr>
        <w:t>large accelerated filer,</w:t>
      </w:r>
      <w:r>
        <w:rPr>
          <w:rFonts w:ascii="Arial" w:cs="Arial" w:eastAsia="Arial" w:hAnsi="Arial"/>
          <w:sz w:val="14"/>
          <w:szCs w:val="14"/>
          <w:color w:val="auto"/>
        </w:rPr>
        <w:t>” “</w:t>
      </w:r>
      <w:r>
        <w:rPr>
          <w:rFonts w:ascii="Arial" w:cs="Arial" w:eastAsia="Arial" w:hAnsi="Arial"/>
          <w:sz w:val="13"/>
          <w:szCs w:val="13"/>
          <w:color w:val="auto"/>
        </w:rPr>
        <w:t>accelerated filer,</w:t>
      </w:r>
      <w:r>
        <w:rPr>
          <w:rFonts w:ascii="Arial" w:cs="Arial" w:eastAsia="Arial" w:hAnsi="Arial"/>
          <w:sz w:val="14"/>
          <w:szCs w:val="14"/>
          <w:color w:val="auto"/>
        </w:rPr>
        <w:t>” “</w:t>
      </w:r>
      <w:r>
        <w:rPr>
          <w:rFonts w:ascii="Arial" w:cs="Arial" w:eastAsia="Arial" w:hAnsi="Arial"/>
          <w:sz w:val="13"/>
          <w:szCs w:val="13"/>
          <w:color w:val="auto"/>
        </w:rPr>
        <w:t>smaller reporting company</w:t>
      </w:r>
      <w:r>
        <w:rPr>
          <w:rFonts w:ascii="Arial" w:cs="Arial" w:eastAsia="Arial" w:hAnsi="Arial"/>
          <w:sz w:val="14"/>
          <w:szCs w:val="14"/>
          <w:color w:val="auto"/>
        </w:rPr>
        <w:t>”</w:t>
      </w:r>
      <w:r>
        <w:rPr>
          <w:rFonts w:ascii="Arial" w:cs="Arial" w:eastAsia="Arial" w:hAnsi="Arial"/>
          <w:sz w:val="13"/>
          <w:szCs w:val="13"/>
          <w:color w:val="auto"/>
        </w:rPr>
        <w:t xml:space="preserve"> and </w:t>
      </w:r>
      <w:r>
        <w:rPr>
          <w:rFonts w:ascii="Arial" w:cs="Arial" w:eastAsia="Arial" w:hAnsi="Arial"/>
          <w:sz w:val="14"/>
          <w:szCs w:val="14"/>
          <w:color w:val="auto"/>
        </w:rPr>
        <w:t>“</w:t>
      </w:r>
      <w:r>
        <w:rPr>
          <w:rFonts w:ascii="Arial" w:cs="Arial" w:eastAsia="Arial" w:hAnsi="Arial"/>
          <w:sz w:val="13"/>
          <w:szCs w:val="13"/>
          <w:color w:val="auto"/>
        </w:rPr>
        <w:t>emerging growth company</w:t>
      </w:r>
      <w:r>
        <w:rPr>
          <w:rFonts w:ascii="Arial" w:cs="Arial" w:eastAsia="Arial" w:hAnsi="Arial"/>
          <w:sz w:val="14"/>
          <w:szCs w:val="14"/>
          <w:color w:val="auto"/>
        </w:rPr>
        <w:t>”</w:t>
      </w:r>
      <w:r>
        <w:rPr>
          <w:rFonts w:ascii="Arial" w:cs="Arial" w:eastAsia="Arial" w:hAnsi="Arial"/>
          <w:sz w:val="13"/>
          <w:szCs w:val="13"/>
          <w:color w:val="auto"/>
        </w:rPr>
        <w:t xml:space="preserve"> in Rule 12b-2 of the Exchange Act.</w:t>
      </w:r>
    </w:p>
    <w:p>
      <w:pPr>
        <w:spacing w:after="0" w:line="24" w:lineRule="exact"/>
        <w:rPr>
          <w:sz w:val="24"/>
          <w:szCs w:val="24"/>
          <w:color w:val="auto"/>
        </w:rPr>
      </w:pPr>
    </w:p>
    <w:tbl>
      <w:tblPr>
        <w:tblLayout w:type="fixed"/>
        <w:tblInd w:w="1480" w:type="dxa"/>
        <w:tblCellMar>
          <w:top w:w="0" w:type="dxa"/>
          <w:left w:w="0" w:type="dxa"/>
          <w:bottom w:w="0" w:type="dxa"/>
          <w:right w:w="0" w:type="dxa"/>
        </w:tblCellMar>
      </w:tblPr>
      <w:tr>
        <w:trPr>
          <w:trHeight w:val="190"/>
        </w:trPr>
        <w:tc>
          <w:tcPr>
            <w:tcW w:w="3100" w:type="dxa"/>
            <w:vAlign w:val="bottom"/>
          </w:tcPr>
          <w:p>
            <w:pPr>
              <w:jc w:val="center"/>
              <w:ind w:right="677"/>
              <w:spacing w:after="0"/>
              <w:rPr>
                <w:sz w:val="20"/>
                <w:szCs w:val="20"/>
                <w:color w:val="auto"/>
              </w:rPr>
            </w:pPr>
            <w:r>
              <w:rPr>
                <w:rFonts w:ascii="Arial" w:cs="Arial" w:eastAsia="Arial" w:hAnsi="Arial"/>
                <w:sz w:val="13"/>
                <w:szCs w:val="13"/>
                <w:color w:val="auto"/>
                <w:w w:val="89"/>
              </w:rPr>
              <w:t>Large Accelerated Filer</w:t>
            </w:r>
          </w:p>
        </w:tc>
        <w:tc>
          <w:tcPr>
            <w:tcW w:w="190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jc w:val="center"/>
              <w:ind w:left="17"/>
              <w:spacing w:after="0"/>
              <w:rPr>
                <w:sz w:val="20"/>
                <w:szCs w:val="20"/>
                <w:color w:val="auto"/>
              </w:rPr>
            </w:pPr>
            <w:r>
              <w:rPr>
                <w:rFonts w:ascii="Arial" w:cs="Arial" w:eastAsia="Arial" w:hAnsi="Arial"/>
                <w:sz w:val="13"/>
                <w:szCs w:val="13"/>
                <w:color w:val="auto"/>
                <w:w w:val="90"/>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0"/>
        </w:trPr>
        <w:tc>
          <w:tcPr>
            <w:tcW w:w="3100" w:type="dxa"/>
            <w:vAlign w:val="bottom"/>
          </w:tcPr>
          <w:p>
            <w:pPr>
              <w:jc w:val="center"/>
              <w:ind w:right="697"/>
              <w:spacing w:after="0"/>
              <w:rPr>
                <w:sz w:val="20"/>
                <w:szCs w:val="20"/>
                <w:color w:val="auto"/>
              </w:rPr>
            </w:pPr>
            <w:r>
              <w:rPr>
                <w:rFonts w:ascii="Arial" w:cs="Arial" w:eastAsia="Arial" w:hAnsi="Arial"/>
                <w:sz w:val="13"/>
                <w:szCs w:val="13"/>
                <w:color w:val="auto"/>
                <w:w w:val="88"/>
              </w:rPr>
              <w:t>Non-accelerated Filer</w:t>
            </w:r>
          </w:p>
        </w:tc>
        <w:tc>
          <w:tcPr>
            <w:tcW w:w="190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jc w:val="center"/>
              <w:ind w:left="17"/>
              <w:spacing w:after="0"/>
              <w:rPr>
                <w:sz w:val="20"/>
                <w:szCs w:val="20"/>
                <w:color w:val="auto"/>
              </w:rPr>
            </w:pPr>
            <w:r>
              <w:rPr>
                <w:rFonts w:ascii="Arial" w:cs="Arial" w:eastAsia="Arial" w:hAnsi="Arial"/>
                <w:sz w:val="13"/>
                <w:szCs w:val="13"/>
                <w:color w:val="auto"/>
                <w:w w:val="90"/>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100" w:type="dxa"/>
            <w:vAlign w:val="bottom"/>
          </w:tcPr>
          <w:p>
            <w:pPr>
              <w:jc w:val="center"/>
              <w:ind w:right="677"/>
              <w:spacing w:after="0"/>
              <w:rPr>
                <w:sz w:val="20"/>
                <w:szCs w:val="20"/>
                <w:color w:val="auto"/>
              </w:rPr>
            </w:pPr>
            <w:r>
              <w:rPr>
                <w:rFonts w:ascii="Arial" w:cs="Arial" w:eastAsia="Arial" w:hAnsi="Arial"/>
                <w:sz w:val="13"/>
                <w:szCs w:val="13"/>
                <w:color w:val="auto"/>
                <w:w w:val="89"/>
              </w:rPr>
              <w:t>(Do not check if a smaller reporting company)</w:t>
            </w:r>
          </w:p>
        </w:tc>
        <w:tc>
          <w:tcPr>
            <w:tcW w:w="1900" w:type="dxa"/>
            <w:vAlign w:val="bottom"/>
          </w:tcPr>
          <w:p>
            <w:pPr>
              <w:spacing w:after="0"/>
              <w:rPr>
                <w:sz w:val="19"/>
                <w:szCs w:val="19"/>
                <w:color w:val="auto"/>
              </w:rPr>
            </w:pPr>
          </w:p>
        </w:tc>
        <w:tc>
          <w:tcPr>
            <w:tcW w:w="3360" w:type="dxa"/>
            <w:vAlign w:val="bottom"/>
          </w:tcPr>
          <w:p>
            <w:pPr>
              <w:jc w:val="center"/>
              <w:ind w:left="37"/>
              <w:spacing w:after="0"/>
              <w:rPr>
                <w:sz w:val="20"/>
                <w:szCs w:val="20"/>
                <w:color w:val="auto"/>
              </w:rPr>
            </w:pPr>
            <w:r>
              <w:rPr>
                <w:rFonts w:ascii="Arial" w:cs="Arial" w:eastAsia="Arial" w:hAnsi="Arial"/>
                <w:sz w:val="13"/>
                <w:szCs w:val="13"/>
                <w:color w:val="auto"/>
                <w:w w:val="89"/>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2" w:lineRule="exact"/>
        <w:rPr>
          <w:sz w:val="24"/>
          <w:szCs w:val="24"/>
          <w:color w:val="auto"/>
        </w:rPr>
      </w:pPr>
    </w:p>
    <w:p>
      <w:pPr>
        <w:jc w:val="both"/>
        <w:ind w:right="380" w:firstLine="508"/>
        <w:spacing w:after="0" w:line="17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 w:lineRule="exact"/>
        <w:rPr>
          <w:sz w:val="24"/>
          <w:szCs w:val="24"/>
          <w:color w:val="auto"/>
        </w:rPr>
      </w:pPr>
    </w:p>
    <w:p>
      <w:pPr>
        <w:ind w:left="520"/>
        <w:spacing w:after="0" w:line="146" w:lineRule="exact"/>
        <w:tabs>
          <w:tab w:leader="none" w:pos="66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2"/>
          <w:szCs w:val="12"/>
          <w:color w:val="auto"/>
        </w:rPr>
        <w:t>No</w:t>
      </w:r>
      <w:r>
        <w:rPr>
          <w:rFonts w:ascii="MS PGothic" w:cs="MS PGothic" w:eastAsia="MS PGothic" w:hAnsi="MS PGothic"/>
          <w:sz w:val="14"/>
          <w:szCs w:val="14"/>
          <w:color w:val="auto"/>
        </w:rPr>
        <w:t xml:space="preserve">  ☑</w:t>
      </w:r>
    </w:p>
    <w:p>
      <w:pPr>
        <w:spacing w:after="0" w:line="116" w:lineRule="exact"/>
        <w:rPr>
          <w:sz w:val="24"/>
          <w:szCs w:val="24"/>
          <w:color w:val="auto"/>
        </w:rPr>
      </w:pPr>
    </w:p>
    <w:p>
      <w:pPr>
        <w:ind w:left="520"/>
        <w:spacing w:after="0"/>
        <w:rPr>
          <w:sz w:val="20"/>
          <w:szCs w:val="20"/>
          <w:color w:val="auto"/>
        </w:rPr>
      </w:pPr>
      <w:r>
        <w:rPr>
          <w:rFonts w:ascii="Arial" w:cs="Arial" w:eastAsia="Arial" w:hAnsi="Arial"/>
          <w:sz w:val="11"/>
          <w:szCs w:val="11"/>
          <w:color w:val="auto"/>
        </w:rPr>
        <w:t>As of May 31, 2021, the number of shares of the registrant’s Class A common stock outstanding was 199,244,096, and the number of shares of the registrant’s Class B common stock outstanding was 26,566,522.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690880</wp:posOffset>
            </wp:positionV>
            <wp:extent cx="71875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75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45085</wp:posOffset>
            </wp:positionV>
            <wp:extent cx="71621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64770</wp:posOffset>
            </wp:positionV>
            <wp:extent cx="71621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300"/>
          </w:cols>
          <w:pgMar w:left="300" w:top="29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0" w:type="dxa"/>
            <w:vAlign w:val="bottom"/>
            <w:gridSpan w:val="2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960" w:type="dxa"/>
            <w:vAlign w:val="bottom"/>
          </w:tcPr>
          <w:p>
            <w:pPr>
              <w:spacing w:after="0"/>
              <w:rPr>
                <w:sz w:val="14"/>
                <w:szCs w:val="14"/>
                <w:color w:val="auto"/>
              </w:rPr>
            </w:pPr>
          </w:p>
        </w:tc>
      </w:tr>
      <w:tr>
        <w:trPr>
          <w:trHeight w:val="64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gridSpan w:val="9"/>
          </w:tcPr>
          <w:p>
            <w:pPr>
              <w:jc w:val="center"/>
              <w:ind w:right="2560"/>
              <w:spacing w:after="0"/>
              <w:rPr>
                <w:sz w:val="20"/>
                <w:szCs w:val="20"/>
                <w:color w:val="auto"/>
              </w:rPr>
            </w:pPr>
            <w:r>
              <w:rPr>
                <w:rFonts w:ascii="Arial" w:cs="Arial" w:eastAsia="Arial" w:hAnsi="Arial"/>
                <w:sz w:val="14"/>
                <w:szCs w:val="14"/>
                <w:b w:val="1"/>
                <w:bCs w:val="1"/>
                <w:color w:val="auto"/>
              </w:rPr>
              <w:t>CROWDSTRIKE HOLDINGS, INC.</w:t>
            </w:r>
          </w:p>
        </w:tc>
        <w:tc>
          <w:tcPr>
            <w:tcW w:w="196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8"/>
          </w:tcPr>
          <w:p>
            <w:pPr>
              <w:jc w:val="center"/>
              <w:ind w:right="2680"/>
              <w:spacing w:after="0"/>
              <w:rPr>
                <w:sz w:val="20"/>
                <w:szCs w:val="20"/>
                <w:color w:val="auto"/>
              </w:rPr>
            </w:pPr>
            <w:r>
              <w:rPr>
                <w:rFonts w:ascii="Arial" w:cs="Arial" w:eastAsia="Arial" w:hAnsi="Arial"/>
                <w:sz w:val="14"/>
                <w:szCs w:val="14"/>
                <w:b w:val="1"/>
                <w:bCs w:val="1"/>
                <w:color w:val="auto"/>
              </w:rPr>
              <w:t>TABLE OF CONTENTS</w:t>
            </w:r>
          </w:p>
        </w:tc>
        <w:tc>
          <w:tcPr>
            <w:tcW w:w="196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ind w:left="1260"/>
              <w:spacing w:after="0"/>
              <w:rPr>
                <w:sz w:val="20"/>
                <w:szCs w:val="20"/>
                <w:color w:val="auto"/>
              </w:rPr>
            </w:pPr>
            <w:r>
              <w:rPr>
                <w:rFonts w:ascii="Arial" w:cs="Arial" w:eastAsia="Arial" w:hAnsi="Arial"/>
                <w:sz w:val="11"/>
                <w:szCs w:val="11"/>
                <w:color w:val="auto"/>
              </w:rPr>
              <w:t>Page No.</w:t>
            </w: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40" w:type="dxa"/>
            <w:vAlign w:val="bottom"/>
            <w:gridSpan w:val="10"/>
          </w:tcPr>
          <w:p>
            <w:pPr>
              <w:jc w:val="center"/>
              <w:ind w:right="2500"/>
              <w:spacing w:after="0" w:line="157" w:lineRule="exact"/>
              <w:rPr>
                <w:rFonts w:ascii="Arial" w:cs="Arial" w:eastAsia="Arial" w:hAnsi="Arial"/>
                <w:sz w:val="14"/>
                <w:szCs w:val="14"/>
                <w:color w:val="0000FF"/>
                <w:w w:val="99"/>
              </w:rPr>
            </w:pPr>
            <w:hyperlink w:anchor="page5">
              <w:r>
                <w:rPr>
                  <w:rFonts w:ascii="Arial" w:cs="Arial" w:eastAsia="Arial" w:hAnsi="Arial"/>
                  <w:sz w:val="14"/>
                  <w:szCs w:val="14"/>
                  <w:color w:val="0000FF"/>
                  <w:w w:val="99"/>
                </w:rPr>
                <w:t>PART I. FINANCIAL INFORMATION</w:t>
              </w:r>
            </w:hyperlink>
          </w:p>
        </w:tc>
        <w:tc>
          <w:tcPr>
            <w:tcW w:w="196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48"/>
        </w:trPr>
        <w:tc>
          <w:tcPr>
            <w:tcW w:w="760" w:type="dxa"/>
            <w:vAlign w:val="bottom"/>
            <w:gridSpan w:val="5"/>
            <w:shd w:val="clear" w:color="auto" w:fill="CCEEFF"/>
          </w:tcPr>
          <w:p>
            <w:pPr>
              <w:ind w:left="20"/>
              <w:spacing w:after="0" w:line="148" w:lineRule="exact"/>
              <w:rPr>
                <w:rFonts w:ascii="Arial" w:cs="Arial" w:eastAsia="Arial" w:hAnsi="Arial"/>
                <w:sz w:val="14"/>
                <w:szCs w:val="14"/>
                <w:color w:val="0000FF"/>
              </w:rPr>
            </w:pPr>
            <w:hyperlink w:anchor="page6">
              <w:r>
                <w:rPr>
                  <w:rFonts w:ascii="Arial" w:cs="Arial" w:eastAsia="Arial" w:hAnsi="Arial"/>
                  <w:sz w:val="14"/>
                  <w:szCs w:val="14"/>
                  <w:color w:val="0000FF"/>
                </w:rPr>
                <w:t>Item 1.</w:t>
              </w:r>
            </w:hyperlink>
          </w:p>
        </w:tc>
        <w:tc>
          <w:tcPr>
            <w:tcW w:w="8560" w:type="dxa"/>
            <w:vAlign w:val="bottom"/>
            <w:gridSpan w:val="22"/>
            <w:shd w:val="clear" w:color="auto" w:fill="CCEEFF"/>
          </w:tcPr>
          <w:p>
            <w:pPr>
              <w:ind w:left="240"/>
              <w:spacing w:after="0" w:line="148" w:lineRule="exact"/>
              <w:rPr>
                <w:rFonts w:ascii="Arial" w:cs="Arial" w:eastAsia="Arial" w:hAnsi="Arial"/>
                <w:sz w:val="14"/>
                <w:szCs w:val="14"/>
                <w:color w:val="0000FF"/>
              </w:rPr>
            </w:pPr>
            <w:hyperlink w:anchor="page6">
              <w:r>
                <w:rPr>
                  <w:rFonts w:ascii="Arial" w:cs="Arial" w:eastAsia="Arial" w:hAnsi="Arial"/>
                  <w:sz w:val="14"/>
                  <w:szCs w:val="14"/>
                  <w:color w:val="0000FF"/>
                </w:rPr>
                <w:t>Financial Statements (unaudited)</w:t>
              </w:r>
            </w:hyperlink>
          </w:p>
        </w:tc>
        <w:tc>
          <w:tcPr>
            <w:tcW w:w="1960" w:type="dxa"/>
            <w:vAlign w:val="bottom"/>
            <w:shd w:val="clear" w:color="auto" w:fill="CCEEFF"/>
          </w:tcPr>
          <w:p>
            <w:pPr>
              <w:spacing w:after="0"/>
              <w:rPr>
                <w:sz w:val="12"/>
                <w:szCs w:val="12"/>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320" w:type="dxa"/>
            <w:vAlign w:val="bottom"/>
            <w:gridSpan w:val="21"/>
          </w:tcPr>
          <w:p>
            <w:pPr>
              <w:spacing w:after="0" w:line="148" w:lineRule="exact"/>
              <w:rPr>
                <w:rFonts w:ascii="Arial" w:cs="Arial" w:eastAsia="Arial" w:hAnsi="Arial"/>
                <w:sz w:val="14"/>
                <w:szCs w:val="14"/>
                <w:color w:val="0000FF"/>
              </w:rPr>
            </w:pPr>
            <w:hyperlink w:anchor="page6">
              <w:r>
                <w:rPr>
                  <w:rFonts w:ascii="Arial" w:cs="Arial" w:eastAsia="Arial" w:hAnsi="Arial"/>
                  <w:sz w:val="14"/>
                  <w:szCs w:val="14"/>
                  <w:color w:val="0000FF"/>
                </w:rPr>
                <w:t>Condensed Consolidated Balance Sheets as of April 30, 2021 and January 31, 2021</w:t>
              </w:r>
            </w:hyperlink>
          </w:p>
        </w:tc>
        <w:tc>
          <w:tcPr>
            <w:tcW w:w="1960" w:type="dxa"/>
            <w:vAlign w:val="bottom"/>
          </w:tcPr>
          <w:p>
            <w:pPr>
              <w:jc w:val="center"/>
              <w:ind w:left="910"/>
              <w:spacing w:after="0" w:line="148" w:lineRule="exact"/>
              <w:rPr>
                <w:rFonts w:ascii="Arial" w:cs="Arial" w:eastAsia="Arial" w:hAnsi="Arial"/>
                <w:sz w:val="14"/>
                <w:szCs w:val="14"/>
                <w:color w:val="auto"/>
                <w:w w:val="76"/>
              </w:rPr>
            </w:pPr>
            <w:hyperlink w:anchor="page6">
              <w:r>
                <w:rPr>
                  <w:rFonts w:ascii="Arial" w:cs="Arial" w:eastAsia="Arial" w:hAnsi="Arial"/>
                  <w:sz w:val="14"/>
                  <w:szCs w:val="14"/>
                  <w:color w:val="auto"/>
                  <w:w w:val="76"/>
                </w:rPr>
                <w:t>6</w:t>
              </w:r>
            </w:hyperlink>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320" w:type="dxa"/>
            <w:vAlign w:val="bottom"/>
            <w:gridSpan w:val="21"/>
            <w:shd w:val="clear" w:color="auto" w:fill="CCEEFF"/>
          </w:tcPr>
          <w:p>
            <w:pPr>
              <w:spacing w:after="0" w:line="148" w:lineRule="exact"/>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Operations for the Three Months Ended April 30, 2021 and April 30, 2020</w:t>
              </w:r>
            </w:hyperlink>
          </w:p>
        </w:tc>
        <w:tc>
          <w:tcPr>
            <w:tcW w:w="1960" w:type="dxa"/>
            <w:vAlign w:val="bottom"/>
            <w:shd w:val="clear" w:color="auto" w:fill="CCEEFF"/>
          </w:tcPr>
          <w:p>
            <w:pPr>
              <w:jc w:val="center"/>
              <w:ind w:left="910"/>
              <w:spacing w:after="0" w:line="148" w:lineRule="exact"/>
              <w:rPr>
                <w:rFonts w:ascii="Arial" w:cs="Arial" w:eastAsia="Arial" w:hAnsi="Arial"/>
                <w:sz w:val="14"/>
                <w:szCs w:val="14"/>
                <w:color w:val="auto"/>
                <w:w w:val="76"/>
              </w:rPr>
            </w:pPr>
            <w:hyperlink w:anchor="page6">
              <w:r>
                <w:rPr>
                  <w:rFonts w:ascii="Arial" w:cs="Arial" w:eastAsia="Arial" w:hAnsi="Arial"/>
                  <w:sz w:val="14"/>
                  <w:szCs w:val="14"/>
                  <w:color w:val="auto"/>
                  <w:w w:val="76"/>
                </w:rPr>
                <w:t>7</w:t>
              </w:r>
            </w:hyperlink>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320" w:type="dxa"/>
            <w:vAlign w:val="bottom"/>
            <w:gridSpan w:val="21"/>
          </w:tcPr>
          <w:p>
            <w:pPr>
              <w:spacing w:after="0" w:line="148" w:lineRule="exact"/>
              <w:rPr>
                <w:rFonts w:ascii="Arial" w:cs="Arial" w:eastAsia="Arial" w:hAnsi="Arial"/>
                <w:sz w:val="14"/>
                <w:szCs w:val="14"/>
                <w:color w:val="0000FF"/>
              </w:rPr>
            </w:pPr>
            <w:hyperlink w:anchor="page7">
              <w:r>
                <w:rPr>
                  <w:rFonts w:ascii="Arial" w:cs="Arial" w:eastAsia="Arial" w:hAnsi="Arial"/>
                  <w:sz w:val="14"/>
                  <w:szCs w:val="14"/>
                  <w:color w:val="0000FF"/>
                </w:rPr>
                <w:t>Condensed Consolidated Statements of Comprehensive Loss for the Three Months Ended April 30, 2021 and April 30, 2020</w:t>
              </w:r>
            </w:hyperlink>
          </w:p>
        </w:tc>
        <w:tc>
          <w:tcPr>
            <w:tcW w:w="1960" w:type="dxa"/>
            <w:vAlign w:val="bottom"/>
          </w:tcPr>
          <w:p>
            <w:pPr>
              <w:jc w:val="center"/>
              <w:ind w:left="910"/>
              <w:spacing w:after="0" w:line="148" w:lineRule="exact"/>
              <w:rPr>
                <w:rFonts w:ascii="Arial" w:cs="Arial" w:eastAsia="Arial" w:hAnsi="Arial"/>
                <w:sz w:val="14"/>
                <w:szCs w:val="14"/>
                <w:color w:val="auto"/>
                <w:w w:val="76"/>
              </w:rPr>
            </w:pPr>
            <w:hyperlink w:anchor="page7">
              <w:r>
                <w:rPr>
                  <w:rFonts w:ascii="Arial" w:cs="Arial" w:eastAsia="Arial" w:hAnsi="Arial"/>
                  <w:sz w:val="14"/>
                  <w:szCs w:val="14"/>
                  <w:color w:val="auto"/>
                  <w:w w:val="76"/>
                </w:rPr>
                <w:t>8</w:t>
              </w:r>
            </w:hyperlink>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320" w:type="dxa"/>
            <w:vAlign w:val="bottom"/>
            <w:gridSpan w:val="21"/>
            <w:shd w:val="clear" w:color="auto" w:fill="CCEEFF"/>
          </w:tcPr>
          <w:p>
            <w:pPr>
              <w:spacing w:after="0" w:line="129" w:lineRule="exact"/>
              <w:rPr>
                <w:rFonts w:ascii="Arial" w:cs="Arial" w:eastAsia="Arial" w:hAnsi="Arial"/>
                <w:sz w:val="14"/>
                <w:szCs w:val="14"/>
                <w:color w:val="0000FF"/>
              </w:rPr>
            </w:pPr>
            <w:hyperlink w:anchor="page8">
              <w:r>
                <w:rPr>
                  <w:rFonts w:ascii="Arial" w:cs="Arial" w:eastAsia="Arial" w:hAnsi="Arial"/>
                  <w:sz w:val="14"/>
                  <w:szCs w:val="14"/>
                  <w:color w:val="0000FF"/>
                </w:rPr>
                <w:t>Condensed Consolidated Statements of Stockholders’ Equity for the Three Months Ended April 30, 2021 and April 30, 2020</w:t>
              </w:r>
            </w:hyperlink>
          </w:p>
        </w:tc>
        <w:tc>
          <w:tcPr>
            <w:tcW w:w="1960" w:type="dxa"/>
            <w:vAlign w:val="bottom"/>
            <w:shd w:val="clear" w:color="auto" w:fill="CCEEFF"/>
          </w:tcPr>
          <w:p>
            <w:pPr>
              <w:jc w:val="center"/>
              <w:ind w:left="910"/>
              <w:spacing w:after="0" w:line="129" w:lineRule="exact"/>
              <w:rPr>
                <w:rFonts w:ascii="Arial" w:cs="Arial" w:eastAsia="Arial" w:hAnsi="Arial"/>
                <w:sz w:val="14"/>
                <w:szCs w:val="14"/>
                <w:color w:val="auto"/>
                <w:w w:val="76"/>
              </w:rPr>
            </w:pPr>
            <w:hyperlink w:anchor="page8">
              <w:r>
                <w:rPr>
                  <w:rFonts w:ascii="Arial" w:cs="Arial" w:eastAsia="Arial" w:hAnsi="Arial"/>
                  <w:sz w:val="14"/>
                  <w:szCs w:val="14"/>
                  <w:color w:val="auto"/>
                  <w:w w:val="76"/>
                </w:rPr>
                <w:t>9</w:t>
              </w:r>
            </w:hyperlink>
          </w:p>
        </w:tc>
      </w:tr>
      <w:tr>
        <w:trPr>
          <w:trHeight w:val="148"/>
        </w:trPr>
        <w:tc>
          <w:tcPr>
            <w:tcW w:w="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040" w:type="dxa"/>
            <w:vAlign w:val="bottom"/>
            <w:tcBorders>
              <w:top w:val="single" w:sz="8" w:color="0000FF"/>
            </w:tcBorders>
            <w:gridSpan w:val="20"/>
          </w:tcPr>
          <w:p>
            <w:pPr>
              <w:spacing w:after="0" w:line="148" w:lineRule="exact"/>
              <w:rPr>
                <w:rFonts w:ascii="Arial" w:cs="Arial" w:eastAsia="Arial" w:hAnsi="Arial"/>
                <w:sz w:val="14"/>
                <w:szCs w:val="14"/>
                <w:color w:val="0000FF"/>
                <w:w w:val="98"/>
              </w:rPr>
            </w:pPr>
            <w:hyperlink w:anchor="page9">
              <w:r>
                <w:rPr>
                  <w:rFonts w:ascii="Arial" w:cs="Arial" w:eastAsia="Arial" w:hAnsi="Arial"/>
                  <w:sz w:val="14"/>
                  <w:szCs w:val="14"/>
                  <w:color w:val="0000FF"/>
                  <w:w w:val="98"/>
                </w:rPr>
                <w:t>Condensed Consolidated Statements of Cash Flows for the Three Months Ended April 30, 2021 and April 30, 2020</w:t>
              </w:r>
            </w:hyperlink>
          </w:p>
        </w:tc>
        <w:tc>
          <w:tcPr>
            <w:tcW w:w="128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jc w:val="center"/>
              <w:ind w:left="910"/>
              <w:spacing w:after="0" w:line="148" w:lineRule="exact"/>
              <w:rPr>
                <w:rFonts w:ascii="Arial" w:cs="Arial" w:eastAsia="Arial" w:hAnsi="Arial"/>
                <w:sz w:val="14"/>
                <w:szCs w:val="14"/>
                <w:color w:val="auto"/>
                <w:w w:val="89"/>
              </w:rPr>
            </w:pPr>
            <w:hyperlink w:anchor="page9">
              <w:r>
                <w:rPr>
                  <w:rFonts w:ascii="Arial" w:cs="Arial" w:eastAsia="Arial" w:hAnsi="Arial"/>
                  <w:sz w:val="14"/>
                  <w:szCs w:val="14"/>
                  <w:color w:val="auto"/>
                  <w:w w:val="89"/>
                </w:rPr>
                <w:t>10</w:t>
              </w:r>
            </w:hyperlink>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70"/>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140" w:type="dxa"/>
            <w:vAlign w:val="bottom"/>
            <w:tcBorders>
              <w:bottom w:val="single" w:sz="8" w:color="0000FF"/>
            </w:tcBorders>
            <w:gridSpan w:val="9"/>
            <w:shd w:val="clear" w:color="auto" w:fill="CCEEFF"/>
          </w:tcPr>
          <w:p>
            <w:pPr>
              <w:spacing w:after="0" w:line="148" w:lineRule="exact"/>
              <w:rPr>
                <w:rFonts w:ascii="Arial" w:cs="Arial" w:eastAsia="Arial" w:hAnsi="Arial"/>
                <w:sz w:val="14"/>
                <w:szCs w:val="14"/>
                <w:color w:val="0000FF"/>
                <w:w w:val="89"/>
              </w:rPr>
            </w:pPr>
            <w:hyperlink w:anchor="page10">
              <w:r>
                <w:rPr>
                  <w:rFonts w:ascii="Arial" w:cs="Arial" w:eastAsia="Arial" w:hAnsi="Arial"/>
                  <w:sz w:val="14"/>
                  <w:szCs w:val="14"/>
                  <w:color w:val="0000FF"/>
                  <w:w w:val="89"/>
                </w:rPr>
                <w:t>Notes to Condensed Consolidated Financial Statements</w:t>
              </w:r>
            </w:hyperlink>
          </w:p>
        </w:tc>
        <w:tc>
          <w:tcPr>
            <w:tcW w:w="5180" w:type="dxa"/>
            <w:vAlign w:val="bottom"/>
            <w:tcBorders>
              <w:bottom w:val="single" w:sz="8" w:color="CCEEFF"/>
            </w:tcBorders>
            <w:gridSpan w:val="12"/>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jc w:val="center"/>
              <w:ind w:left="910"/>
              <w:spacing w:after="0" w:line="148" w:lineRule="exact"/>
              <w:rPr>
                <w:rFonts w:ascii="Arial" w:cs="Arial" w:eastAsia="Arial" w:hAnsi="Arial"/>
                <w:sz w:val="14"/>
                <w:szCs w:val="14"/>
                <w:color w:val="auto"/>
                <w:w w:val="89"/>
              </w:rPr>
            </w:pPr>
            <w:hyperlink w:anchor="page10">
              <w:r>
                <w:rPr>
                  <w:rFonts w:ascii="Arial" w:cs="Arial" w:eastAsia="Arial" w:hAnsi="Arial"/>
                  <w:sz w:val="14"/>
                  <w:szCs w:val="14"/>
                  <w:color w:val="auto"/>
                  <w:w w:val="89"/>
                </w:rPr>
                <w:t>11</w:t>
              </w:r>
            </w:hyperlink>
          </w:p>
        </w:tc>
      </w:tr>
      <w:tr>
        <w:trPr>
          <w:trHeight w:val="148"/>
        </w:trPr>
        <w:tc>
          <w:tcPr>
            <w:tcW w:w="760" w:type="dxa"/>
            <w:vAlign w:val="bottom"/>
            <w:gridSpan w:val="5"/>
          </w:tcPr>
          <w:p>
            <w:pPr>
              <w:ind w:left="20"/>
              <w:spacing w:after="0" w:line="148" w:lineRule="exact"/>
              <w:rPr>
                <w:rFonts w:ascii="Arial" w:cs="Arial" w:eastAsia="Arial" w:hAnsi="Arial"/>
                <w:sz w:val="14"/>
                <w:szCs w:val="14"/>
                <w:color w:val="0000FF"/>
              </w:rPr>
            </w:pPr>
            <w:hyperlink w:anchor="page29">
              <w:r>
                <w:rPr>
                  <w:rFonts w:ascii="Arial" w:cs="Arial" w:eastAsia="Arial" w:hAnsi="Arial"/>
                  <w:sz w:val="14"/>
                  <w:szCs w:val="14"/>
                  <w:color w:val="0000FF"/>
                </w:rPr>
                <w:t>Item 2.</w:t>
              </w:r>
            </w:hyperlink>
          </w:p>
        </w:tc>
        <w:tc>
          <w:tcPr>
            <w:tcW w:w="8560" w:type="dxa"/>
            <w:vAlign w:val="bottom"/>
            <w:gridSpan w:val="22"/>
          </w:tcPr>
          <w:p>
            <w:pPr>
              <w:ind w:left="240"/>
              <w:spacing w:after="0" w:line="148" w:lineRule="exact"/>
              <w:rPr>
                <w:rFonts w:ascii="Arial" w:cs="Arial" w:eastAsia="Arial" w:hAnsi="Arial"/>
                <w:sz w:val="14"/>
                <w:szCs w:val="14"/>
                <w:color w:val="0000FF"/>
              </w:rPr>
            </w:pPr>
            <w:hyperlink w:anchor="page29">
              <w:r>
                <w:rPr>
                  <w:rFonts w:ascii="Arial" w:cs="Arial" w:eastAsia="Arial" w:hAnsi="Arial"/>
                  <w:sz w:val="14"/>
                  <w:szCs w:val="14"/>
                  <w:color w:val="0000FF"/>
                </w:rPr>
                <w:t>Management’s Discussion and Analysis of Financial Condition and Results of Operations</w:t>
              </w:r>
            </w:hyperlink>
          </w:p>
        </w:tc>
        <w:tc>
          <w:tcPr>
            <w:tcW w:w="1960" w:type="dxa"/>
            <w:vAlign w:val="bottom"/>
          </w:tcPr>
          <w:p>
            <w:pPr>
              <w:jc w:val="center"/>
              <w:ind w:left="910"/>
              <w:spacing w:after="0" w:line="148" w:lineRule="exact"/>
              <w:rPr>
                <w:rFonts w:ascii="Arial" w:cs="Arial" w:eastAsia="Arial" w:hAnsi="Arial"/>
                <w:sz w:val="14"/>
                <w:szCs w:val="14"/>
                <w:color w:val="auto"/>
                <w:w w:val="89"/>
              </w:rPr>
            </w:pPr>
            <w:hyperlink w:anchor="page29">
              <w:r>
                <w:rPr>
                  <w:rFonts w:ascii="Arial" w:cs="Arial" w:eastAsia="Arial" w:hAnsi="Arial"/>
                  <w:sz w:val="14"/>
                  <w:szCs w:val="14"/>
                  <w:color w:val="auto"/>
                  <w:w w:val="89"/>
                </w:rPr>
                <w:t>29</w:t>
              </w:r>
            </w:hyperlink>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8"/>
        </w:trPr>
        <w:tc>
          <w:tcPr>
            <w:tcW w:w="760" w:type="dxa"/>
            <w:vAlign w:val="bottom"/>
            <w:gridSpan w:val="5"/>
            <w:shd w:val="clear" w:color="auto" w:fill="CCEEFF"/>
          </w:tcPr>
          <w:p>
            <w:pPr>
              <w:ind w:left="20"/>
              <w:spacing w:after="0" w:line="148" w:lineRule="exact"/>
              <w:rPr>
                <w:rFonts w:ascii="Arial" w:cs="Arial" w:eastAsia="Arial" w:hAnsi="Arial"/>
                <w:sz w:val="14"/>
                <w:szCs w:val="14"/>
                <w:color w:val="0000FF"/>
              </w:rPr>
            </w:pPr>
            <w:hyperlink w:anchor="page47">
              <w:r>
                <w:rPr>
                  <w:rFonts w:ascii="Arial" w:cs="Arial" w:eastAsia="Arial" w:hAnsi="Arial"/>
                  <w:sz w:val="14"/>
                  <w:szCs w:val="14"/>
                  <w:color w:val="0000FF"/>
                </w:rPr>
                <w:t>Item 3.</w:t>
              </w:r>
            </w:hyperlink>
          </w:p>
        </w:tc>
        <w:tc>
          <w:tcPr>
            <w:tcW w:w="8560" w:type="dxa"/>
            <w:vAlign w:val="bottom"/>
            <w:gridSpan w:val="22"/>
            <w:shd w:val="clear" w:color="auto" w:fill="CCEEFF"/>
          </w:tcPr>
          <w:p>
            <w:pPr>
              <w:ind w:left="240"/>
              <w:spacing w:after="0" w:line="148" w:lineRule="exact"/>
              <w:rPr>
                <w:rFonts w:ascii="Arial" w:cs="Arial" w:eastAsia="Arial" w:hAnsi="Arial"/>
                <w:sz w:val="14"/>
                <w:szCs w:val="14"/>
                <w:color w:val="0000FF"/>
              </w:rPr>
            </w:pPr>
            <w:hyperlink w:anchor="page47">
              <w:r>
                <w:rPr>
                  <w:rFonts w:ascii="Arial" w:cs="Arial" w:eastAsia="Arial" w:hAnsi="Arial"/>
                  <w:sz w:val="14"/>
                  <w:szCs w:val="14"/>
                  <w:color w:val="0000FF"/>
                </w:rPr>
                <w:t>Quantitative and Qualitative Disclosures about Market Risk</w:t>
              </w:r>
            </w:hyperlink>
          </w:p>
        </w:tc>
        <w:tc>
          <w:tcPr>
            <w:tcW w:w="1960" w:type="dxa"/>
            <w:vAlign w:val="bottom"/>
            <w:shd w:val="clear" w:color="auto" w:fill="CCEEFF"/>
          </w:tcPr>
          <w:p>
            <w:pPr>
              <w:jc w:val="center"/>
              <w:ind w:left="910"/>
              <w:spacing w:after="0" w:line="148" w:lineRule="exact"/>
              <w:rPr>
                <w:rFonts w:ascii="Arial" w:cs="Arial" w:eastAsia="Arial" w:hAnsi="Arial"/>
                <w:sz w:val="14"/>
                <w:szCs w:val="14"/>
                <w:color w:val="auto"/>
                <w:w w:val="89"/>
              </w:rPr>
            </w:pPr>
            <w:hyperlink w:anchor="page47">
              <w:r>
                <w:rPr>
                  <w:rFonts w:ascii="Arial" w:cs="Arial" w:eastAsia="Arial" w:hAnsi="Arial"/>
                  <w:sz w:val="14"/>
                  <w:szCs w:val="14"/>
                  <w:color w:val="auto"/>
                  <w:w w:val="89"/>
                </w:rPr>
                <w:t>47</w:t>
              </w:r>
            </w:hyperlink>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48"/>
        </w:trPr>
        <w:tc>
          <w:tcPr>
            <w:tcW w:w="760" w:type="dxa"/>
            <w:vAlign w:val="bottom"/>
            <w:gridSpan w:val="5"/>
          </w:tcPr>
          <w:p>
            <w:pPr>
              <w:ind w:left="20"/>
              <w:spacing w:after="0" w:line="148" w:lineRule="exact"/>
              <w:rPr>
                <w:rFonts w:ascii="Arial" w:cs="Arial" w:eastAsia="Arial" w:hAnsi="Arial"/>
                <w:sz w:val="14"/>
                <w:szCs w:val="14"/>
                <w:color w:val="0000FF"/>
              </w:rPr>
            </w:pPr>
            <w:hyperlink w:anchor="page48">
              <w:r>
                <w:rPr>
                  <w:rFonts w:ascii="Arial" w:cs="Arial" w:eastAsia="Arial" w:hAnsi="Arial"/>
                  <w:sz w:val="14"/>
                  <w:szCs w:val="14"/>
                  <w:color w:val="0000FF"/>
                </w:rPr>
                <w:t>Item 4.</w:t>
              </w:r>
            </w:hyperlink>
          </w:p>
        </w:tc>
        <w:tc>
          <w:tcPr>
            <w:tcW w:w="8560" w:type="dxa"/>
            <w:vAlign w:val="bottom"/>
            <w:gridSpan w:val="22"/>
          </w:tcPr>
          <w:p>
            <w:pPr>
              <w:ind w:left="240"/>
              <w:spacing w:after="0" w:line="148" w:lineRule="exact"/>
              <w:rPr>
                <w:rFonts w:ascii="Arial" w:cs="Arial" w:eastAsia="Arial" w:hAnsi="Arial"/>
                <w:sz w:val="14"/>
                <w:szCs w:val="14"/>
                <w:color w:val="0000FF"/>
              </w:rPr>
            </w:pPr>
            <w:hyperlink w:anchor="page48">
              <w:r>
                <w:rPr>
                  <w:rFonts w:ascii="Arial" w:cs="Arial" w:eastAsia="Arial" w:hAnsi="Arial"/>
                  <w:sz w:val="14"/>
                  <w:szCs w:val="14"/>
                  <w:color w:val="0000FF"/>
                </w:rPr>
                <w:t>Controls and Procedures</w:t>
              </w:r>
            </w:hyperlink>
          </w:p>
        </w:tc>
        <w:tc>
          <w:tcPr>
            <w:tcW w:w="1960" w:type="dxa"/>
            <w:vAlign w:val="bottom"/>
          </w:tcPr>
          <w:p>
            <w:pPr>
              <w:jc w:val="center"/>
              <w:ind w:left="910"/>
              <w:spacing w:after="0" w:line="148" w:lineRule="exact"/>
              <w:rPr>
                <w:rFonts w:ascii="Arial" w:cs="Arial" w:eastAsia="Arial" w:hAnsi="Arial"/>
                <w:sz w:val="14"/>
                <w:szCs w:val="14"/>
                <w:color w:val="auto"/>
                <w:w w:val="89"/>
              </w:rPr>
            </w:pPr>
            <w:hyperlink w:anchor="page48">
              <w:r>
                <w:rPr>
                  <w:rFonts w:ascii="Arial" w:cs="Arial" w:eastAsia="Arial" w:hAnsi="Arial"/>
                  <w:sz w:val="14"/>
                  <w:szCs w:val="14"/>
                  <w:color w:val="auto"/>
                  <w:w w:val="89"/>
                </w:rPr>
                <w:t>48</w:t>
              </w:r>
            </w:hyperlink>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0" w:type="dxa"/>
            <w:vAlign w:val="bottom"/>
            <w:gridSpan w:val="9"/>
          </w:tcPr>
          <w:p>
            <w:pPr>
              <w:jc w:val="center"/>
              <w:ind w:right="2540"/>
              <w:spacing w:after="0" w:line="148" w:lineRule="exact"/>
              <w:rPr>
                <w:rFonts w:ascii="Arial" w:cs="Arial" w:eastAsia="Arial" w:hAnsi="Arial"/>
                <w:sz w:val="14"/>
                <w:szCs w:val="14"/>
                <w:color w:val="0000FF"/>
                <w:w w:val="97"/>
              </w:rPr>
            </w:pPr>
            <w:hyperlink w:anchor="page48">
              <w:r>
                <w:rPr>
                  <w:rFonts w:ascii="Arial" w:cs="Arial" w:eastAsia="Arial" w:hAnsi="Arial"/>
                  <w:sz w:val="14"/>
                  <w:szCs w:val="14"/>
                  <w:color w:val="0000FF"/>
                  <w:w w:val="97"/>
                </w:rPr>
                <w:t>PART II. OTHER INFORMATION</w:t>
              </w:r>
            </w:hyperlink>
          </w:p>
        </w:tc>
        <w:tc>
          <w:tcPr>
            <w:tcW w:w="196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148"/>
        </w:trPr>
        <w:tc>
          <w:tcPr>
            <w:tcW w:w="760" w:type="dxa"/>
            <w:vAlign w:val="bottom"/>
            <w:gridSpan w:val="5"/>
          </w:tcPr>
          <w:p>
            <w:pPr>
              <w:ind w:left="20"/>
              <w:spacing w:after="0" w:line="148" w:lineRule="exact"/>
              <w:rPr>
                <w:rFonts w:ascii="Arial" w:cs="Arial" w:eastAsia="Arial" w:hAnsi="Arial"/>
                <w:sz w:val="14"/>
                <w:szCs w:val="14"/>
                <w:color w:val="0000FF"/>
              </w:rPr>
            </w:pPr>
            <w:hyperlink w:anchor="page48">
              <w:r>
                <w:rPr>
                  <w:rFonts w:ascii="Arial" w:cs="Arial" w:eastAsia="Arial" w:hAnsi="Arial"/>
                  <w:sz w:val="14"/>
                  <w:szCs w:val="14"/>
                  <w:color w:val="0000FF"/>
                </w:rPr>
                <w:t>Item 1.</w:t>
              </w:r>
            </w:hyperlink>
          </w:p>
        </w:tc>
        <w:tc>
          <w:tcPr>
            <w:tcW w:w="8560" w:type="dxa"/>
            <w:vAlign w:val="bottom"/>
            <w:gridSpan w:val="22"/>
          </w:tcPr>
          <w:p>
            <w:pPr>
              <w:ind w:left="240"/>
              <w:spacing w:after="0" w:line="148" w:lineRule="exact"/>
              <w:rPr>
                <w:rFonts w:ascii="Arial" w:cs="Arial" w:eastAsia="Arial" w:hAnsi="Arial"/>
                <w:sz w:val="14"/>
                <w:szCs w:val="14"/>
                <w:color w:val="0000FF"/>
              </w:rPr>
            </w:pPr>
            <w:hyperlink w:anchor="page48">
              <w:r>
                <w:rPr>
                  <w:rFonts w:ascii="Arial" w:cs="Arial" w:eastAsia="Arial" w:hAnsi="Arial"/>
                  <w:sz w:val="14"/>
                  <w:szCs w:val="14"/>
                  <w:color w:val="0000FF"/>
                </w:rPr>
                <w:t>Legal Proceedings</w:t>
              </w:r>
            </w:hyperlink>
          </w:p>
        </w:tc>
        <w:tc>
          <w:tcPr>
            <w:tcW w:w="1960" w:type="dxa"/>
            <w:vAlign w:val="bottom"/>
          </w:tcPr>
          <w:p>
            <w:pPr>
              <w:jc w:val="center"/>
              <w:ind w:left="910"/>
              <w:spacing w:after="0" w:line="148" w:lineRule="exact"/>
              <w:rPr>
                <w:rFonts w:ascii="Arial" w:cs="Arial" w:eastAsia="Arial" w:hAnsi="Arial"/>
                <w:sz w:val="14"/>
                <w:szCs w:val="14"/>
                <w:color w:val="auto"/>
                <w:w w:val="89"/>
              </w:rPr>
            </w:pPr>
            <w:hyperlink w:anchor="page48">
              <w:r>
                <w:rPr>
                  <w:rFonts w:ascii="Arial" w:cs="Arial" w:eastAsia="Arial" w:hAnsi="Arial"/>
                  <w:sz w:val="14"/>
                  <w:szCs w:val="14"/>
                  <w:color w:val="auto"/>
                  <w:w w:val="89"/>
                </w:rPr>
                <w:t>48</w:t>
              </w:r>
            </w:hyperlink>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8"/>
        </w:trPr>
        <w:tc>
          <w:tcPr>
            <w:tcW w:w="760" w:type="dxa"/>
            <w:vAlign w:val="bottom"/>
            <w:gridSpan w:val="5"/>
            <w:shd w:val="clear" w:color="auto" w:fill="CCEEFF"/>
          </w:tcPr>
          <w:p>
            <w:pPr>
              <w:ind w:left="20"/>
              <w:spacing w:after="0" w:line="148" w:lineRule="exact"/>
              <w:rPr>
                <w:rFonts w:ascii="Arial" w:cs="Arial" w:eastAsia="Arial" w:hAnsi="Arial"/>
                <w:sz w:val="14"/>
                <w:szCs w:val="14"/>
                <w:color w:val="0000FF"/>
              </w:rPr>
            </w:pPr>
            <w:hyperlink w:anchor="page49">
              <w:r>
                <w:rPr>
                  <w:rFonts w:ascii="Arial" w:cs="Arial" w:eastAsia="Arial" w:hAnsi="Arial"/>
                  <w:sz w:val="14"/>
                  <w:szCs w:val="14"/>
                  <w:color w:val="0000FF"/>
                </w:rPr>
                <w:t>Item 1A.</w:t>
              </w:r>
            </w:hyperlink>
          </w:p>
        </w:tc>
        <w:tc>
          <w:tcPr>
            <w:tcW w:w="8560" w:type="dxa"/>
            <w:vAlign w:val="bottom"/>
            <w:gridSpan w:val="22"/>
            <w:shd w:val="clear" w:color="auto" w:fill="CCEEFF"/>
          </w:tcPr>
          <w:p>
            <w:pPr>
              <w:ind w:left="240"/>
              <w:spacing w:after="0" w:line="148" w:lineRule="exact"/>
              <w:rPr>
                <w:rFonts w:ascii="Arial" w:cs="Arial" w:eastAsia="Arial" w:hAnsi="Arial"/>
                <w:sz w:val="14"/>
                <w:szCs w:val="14"/>
                <w:color w:val="0000FF"/>
              </w:rPr>
            </w:pPr>
            <w:hyperlink w:anchor="page49">
              <w:r>
                <w:rPr>
                  <w:rFonts w:ascii="Arial" w:cs="Arial" w:eastAsia="Arial" w:hAnsi="Arial"/>
                  <w:sz w:val="14"/>
                  <w:szCs w:val="14"/>
                  <w:color w:val="0000FF"/>
                </w:rPr>
                <w:t>Risk Factors</w:t>
              </w:r>
            </w:hyperlink>
          </w:p>
        </w:tc>
        <w:tc>
          <w:tcPr>
            <w:tcW w:w="1960" w:type="dxa"/>
            <w:vAlign w:val="bottom"/>
            <w:shd w:val="clear" w:color="auto" w:fill="CCEEFF"/>
          </w:tcPr>
          <w:p>
            <w:pPr>
              <w:jc w:val="center"/>
              <w:ind w:left="910"/>
              <w:spacing w:after="0" w:line="148" w:lineRule="exact"/>
              <w:rPr>
                <w:rFonts w:ascii="Arial" w:cs="Arial" w:eastAsia="Arial" w:hAnsi="Arial"/>
                <w:sz w:val="14"/>
                <w:szCs w:val="14"/>
                <w:color w:val="auto"/>
                <w:w w:val="89"/>
              </w:rPr>
            </w:pPr>
            <w:hyperlink w:anchor="page49">
              <w:r>
                <w:rPr>
                  <w:rFonts w:ascii="Arial" w:cs="Arial" w:eastAsia="Arial" w:hAnsi="Arial"/>
                  <w:sz w:val="14"/>
                  <w:szCs w:val="14"/>
                  <w:color w:val="auto"/>
                  <w:w w:val="89"/>
                </w:rPr>
                <w:t>49</w:t>
              </w:r>
            </w:hyperlink>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48"/>
        </w:trPr>
        <w:tc>
          <w:tcPr>
            <w:tcW w:w="760" w:type="dxa"/>
            <w:vAlign w:val="bottom"/>
            <w:gridSpan w:val="5"/>
          </w:tcPr>
          <w:p>
            <w:pPr>
              <w:ind w:left="2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Item 2.</w:t>
              </w:r>
            </w:hyperlink>
          </w:p>
        </w:tc>
        <w:tc>
          <w:tcPr>
            <w:tcW w:w="8560" w:type="dxa"/>
            <w:vAlign w:val="bottom"/>
            <w:gridSpan w:val="22"/>
          </w:tcPr>
          <w:p>
            <w:pPr>
              <w:ind w:left="24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Unregistered Shares of Equity Securities and Use of Proceeds</w:t>
              </w:r>
            </w:hyperlink>
          </w:p>
        </w:tc>
        <w:tc>
          <w:tcPr>
            <w:tcW w:w="1960" w:type="dxa"/>
            <w:vAlign w:val="bottom"/>
          </w:tcPr>
          <w:p>
            <w:pPr>
              <w:jc w:val="center"/>
              <w:ind w:left="910"/>
              <w:spacing w:after="0" w:line="148" w:lineRule="exact"/>
              <w:rPr>
                <w:rFonts w:ascii="Arial" w:cs="Arial" w:eastAsia="Arial" w:hAnsi="Arial"/>
                <w:sz w:val="14"/>
                <w:szCs w:val="14"/>
                <w:color w:val="auto"/>
                <w:w w:val="89"/>
              </w:rPr>
            </w:pPr>
            <w:hyperlink w:anchor="page79">
              <w:r>
                <w:rPr>
                  <w:rFonts w:ascii="Arial" w:cs="Arial" w:eastAsia="Arial" w:hAnsi="Arial"/>
                  <w:sz w:val="14"/>
                  <w:szCs w:val="14"/>
                  <w:color w:val="auto"/>
                  <w:w w:val="89"/>
                </w:rPr>
                <w:t>79</w:t>
              </w:r>
            </w:hyperlink>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8"/>
        </w:trPr>
        <w:tc>
          <w:tcPr>
            <w:tcW w:w="760" w:type="dxa"/>
            <w:vAlign w:val="bottom"/>
            <w:gridSpan w:val="5"/>
            <w:shd w:val="clear" w:color="auto" w:fill="CCEEFF"/>
          </w:tcPr>
          <w:p>
            <w:pPr>
              <w:ind w:left="2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Item 3.</w:t>
              </w:r>
            </w:hyperlink>
          </w:p>
        </w:tc>
        <w:tc>
          <w:tcPr>
            <w:tcW w:w="8560" w:type="dxa"/>
            <w:vAlign w:val="bottom"/>
            <w:gridSpan w:val="22"/>
            <w:shd w:val="clear" w:color="auto" w:fill="CCEEFF"/>
          </w:tcPr>
          <w:p>
            <w:pPr>
              <w:ind w:left="24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Defaults Upon Senior Securities</w:t>
              </w:r>
            </w:hyperlink>
          </w:p>
        </w:tc>
        <w:tc>
          <w:tcPr>
            <w:tcW w:w="1960" w:type="dxa"/>
            <w:vAlign w:val="bottom"/>
            <w:shd w:val="clear" w:color="auto" w:fill="CCEEFF"/>
          </w:tcPr>
          <w:p>
            <w:pPr>
              <w:jc w:val="center"/>
              <w:ind w:left="910"/>
              <w:spacing w:after="0" w:line="148" w:lineRule="exact"/>
              <w:rPr>
                <w:rFonts w:ascii="Arial" w:cs="Arial" w:eastAsia="Arial" w:hAnsi="Arial"/>
                <w:sz w:val="14"/>
                <w:szCs w:val="14"/>
                <w:color w:val="auto"/>
                <w:w w:val="89"/>
              </w:rPr>
            </w:pPr>
            <w:hyperlink w:anchor="page79">
              <w:r>
                <w:rPr>
                  <w:rFonts w:ascii="Arial" w:cs="Arial" w:eastAsia="Arial" w:hAnsi="Arial"/>
                  <w:sz w:val="14"/>
                  <w:szCs w:val="14"/>
                  <w:color w:val="auto"/>
                  <w:w w:val="89"/>
                </w:rPr>
                <w:t>79</w:t>
              </w:r>
            </w:hyperlink>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48"/>
        </w:trPr>
        <w:tc>
          <w:tcPr>
            <w:tcW w:w="760" w:type="dxa"/>
            <w:vAlign w:val="bottom"/>
            <w:gridSpan w:val="5"/>
          </w:tcPr>
          <w:p>
            <w:pPr>
              <w:ind w:left="2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Item 4.</w:t>
              </w:r>
            </w:hyperlink>
          </w:p>
        </w:tc>
        <w:tc>
          <w:tcPr>
            <w:tcW w:w="8560" w:type="dxa"/>
            <w:vAlign w:val="bottom"/>
            <w:gridSpan w:val="22"/>
          </w:tcPr>
          <w:p>
            <w:pPr>
              <w:ind w:left="24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Mine Safety Disclosures</w:t>
              </w:r>
            </w:hyperlink>
          </w:p>
        </w:tc>
        <w:tc>
          <w:tcPr>
            <w:tcW w:w="1960" w:type="dxa"/>
            <w:vAlign w:val="bottom"/>
          </w:tcPr>
          <w:p>
            <w:pPr>
              <w:jc w:val="center"/>
              <w:ind w:left="910"/>
              <w:spacing w:after="0" w:line="148" w:lineRule="exact"/>
              <w:rPr>
                <w:rFonts w:ascii="Arial" w:cs="Arial" w:eastAsia="Arial" w:hAnsi="Arial"/>
                <w:sz w:val="14"/>
                <w:szCs w:val="14"/>
                <w:color w:val="auto"/>
                <w:w w:val="89"/>
              </w:rPr>
            </w:pPr>
            <w:hyperlink w:anchor="page79">
              <w:r>
                <w:rPr>
                  <w:rFonts w:ascii="Arial" w:cs="Arial" w:eastAsia="Arial" w:hAnsi="Arial"/>
                  <w:sz w:val="14"/>
                  <w:szCs w:val="14"/>
                  <w:color w:val="auto"/>
                  <w:w w:val="89"/>
                </w:rPr>
                <w:t>79</w:t>
              </w:r>
            </w:hyperlink>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8"/>
        </w:trPr>
        <w:tc>
          <w:tcPr>
            <w:tcW w:w="760" w:type="dxa"/>
            <w:vAlign w:val="bottom"/>
            <w:gridSpan w:val="5"/>
            <w:shd w:val="clear" w:color="auto" w:fill="CCEEFF"/>
          </w:tcPr>
          <w:p>
            <w:pPr>
              <w:ind w:left="2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Item 5.</w:t>
              </w:r>
            </w:hyperlink>
          </w:p>
        </w:tc>
        <w:tc>
          <w:tcPr>
            <w:tcW w:w="8560" w:type="dxa"/>
            <w:vAlign w:val="bottom"/>
            <w:gridSpan w:val="22"/>
            <w:shd w:val="clear" w:color="auto" w:fill="CCEEFF"/>
          </w:tcPr>
          <w:p>
            <w:pPr>
              <w:ind w:left="24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Other Information</w:t>
              </w:r>
            </w:hyperlink>
          </w:p>
        </w:tc>
        <w:tc>
          <w:tcPr>
            <w:tcW w:w="1960" w:type="dxa"/>
            <w:vAlign w:val="bottom"/>
            <w:shd w:val="clear" w:color="auto" w:fill="CCEEFF"/>
          </w:tcPr>
          <w:p>
            <w:pPr>
              <w:jc w:val="center"/>
              <w:ind w:left="910"/>
              <w:spacing w:after="0" w:line="148" w:lineRule="exact"/>
              <w:rPr>
                <w:rFonts w:ascii="Arial" w:cs="Arial" w:eastAsia="Arial" w:hAnsi="Arial"/>
                <w:sz w:val="14"/>
                <w:szCs w:val="14"/>
                <w:color w:val="auto"/>
                <w:w w:val="89"/>
              </w:rPr>
            </w:pPr>
            <w:hyperlink w:anchor="page79">
              <w:r>
                <w:rPr>
                  <w:rFonts w:ascii="Arial" w:cs="Arial" w:eastAsia="Arial" w:hAnsi="Arial"/>
                  <w:sz w:val="14"/>
                  <w:szCs w:val="14"/>
                  <w:color w:val="auto"/>
                  <w:w w:val="89"/>
                </w:rPr>
                <w:t>79</w:t>
              </w:r>
            </w:hyperlink>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48"/>
        </w:trPr>
        <w:tc>
          <w:tcPr>
            <w:tcW w:w="760" w:type="dxa"/>
            <w:vAlign w:val="bottom"/>
            <w:gridSpan w:val="5"/>
          </w:tcPr>
          <w:p>
            <w:pPr>
              <w:ind w:left="2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Item 6.</w:t>
              </w:r>
            </w:hyperlink>
          </w:p>
        </w:tc>
        <w:tc>
          <w:tcPr>
            <w:tcW w:w="8560" w:type="dxa"/>
            <w:vAlign w:val="bottom"/>
            <w:gridSpan w:val="22"/>
          </w:tcPr>
          <w:p>
            <w:pPr>
              <w:ind w:left="240"/>
              <w:spacing w:after="0" w:line="148" w:lineRule="exact"/>
              <w:rPr>
                <w:rFonts w:ascii="Arial" w:cs="Arial" w:eastAsia="Arial" w:hAnsi="Arial"/>
                <w:sz w:val="14"/>
                <w:szCs w:val="14"/>
                <w:color w:val="0000FF"/>
              </w:rPr>
            </w:pPr>
            <w:hyperlink w:anchor="page79">
              <w:r>
                <w:rPr>
                  <w:rFonts w:ascii="Arial" w:cs="Arial" w:eastAsia="Arial" w:hAnsi="Arial"/>
                  <w:sz w:val="14"/>
                  <w:szCs w:val="14"/>
                  <w:color w:val="0000FF"/>
                </w:rPr>
                <w:t>Exhibits</w:t>
              </w:r>
            </w:hyperlink>
          </w:p>
        </w:tc>
        <w:tc>
          <w:tcPr>
            <w:tcW w:w="1960" w:type="dxa"/>
            <w:vAlign w:val="bottom"/>
          </w:tcPr>
          <w:p>
            <w:pPr>
              <w:jc w:val="center"/>
              <w:ind w:left="910"/>
              <w:spacing w:after="0" w:line="148" w:lineRule="exact"/>
              <w:rPr>
                <w:rFonts w:ascii="Arial" w:cs="Arial" w:eastAsia="Arial" w:hAnsi="Arial"/>
                <w:sz w:val="14"/>
                <w:szCs w:val="14"/>
                <w:color w:val="auto"/>
                <w:w w:val="89"/>
              </w:rPr>
            </w:pPr>
            <w:hyperlink w:anchor="page79">
              <w:r>
                <w:rPr>
                  <w:rFonts w:ascii="Arial" w:cs="Arial" w:eastAsia="Arial" w:hAnsi="Arial"/>
                  <w:sz w:val="14"/>
                  <w:szCs w:val="14"/>
                  <w:color w:val="auto"/>
                  <w:w w:val="89"/>
                </w:rPr>
                <w:t>80</w:t>
              </w:r>
            </w:hyperlink>
          </w:p>
        </w:tc>
      </w:tr>
      <w:tr>
        <w:trPr>
          <w:trHeight w:val="22"/>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70"/>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0000FF"/>
            </w:tcBorders>
            <w:gridSpan w:val="3"/>
            <w:shd w:val="clear" w:color="auto" w:fill="CCEEFF"/>
          </w:tcPr>
          <w:p>
            <w:pPr>
              <w:spacing w:after="0" w:line="148" w:lineRule="exact"/>
              <w:rPr>
                <w:rFonts w:ascii="Arial" w:cs="Arial" w:eastAsia="Arial" w:hAnsi="Arial"/>
                <w:sz w:val="14"/>
                <w:szCs w:val="14"/>
                <w:color w:val="0000FF"/>
                <w:w w:val="86"/>
              </w:rPr>
            </w:pPr>
            <w:hyperlink w:anchor="page80">
              <w:r>
                <w:rPr>
                  <w:rFonts w:ascii="Arial" w:cs="Arial" w:eastAsia="Arial" w:hAnsi="Arial"/>
                  <w:sz w:val="14"/>
                  <w:szCs w:val="14"/>
                  <w:color w:val="0000FF"/>
                  <w:w w:val="86"/>
                </w:rPr>
                <w:t>Signatures</w:t>
              </w:r>
            </w:hyperlink>
          </w:p>
        </w:tc>
        <w:tc>
          <w:tcPr>
            <w:tcW w:w="7720" w:type="dxa"/>
            <w:vAlign w:val="bottom"/>
            <w:tcBorders>
              <w:bottom w:val="single" w:sz="8" w:color="CCEEFF"/>
            </w:tcBorders>
            <w:gridSpan w:val="18"/>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jc w:val="center"/>
              <w:ind w:left="910"/>
              <w:spacing w:after="0" w:line="148" w:lineRule="exact"/>
              <w:rPr>
                <w:rFonts w:ascii="Arial" w:cs="Arial" w:eastAsia="Arial" w:hAnsi="Arial"/>
                <w:sz w:val="14"/>
                <w:szCs w:val="14"/>
                <w:color w:val="auto"/>
                <w:w w:val="89"/>
              </w:rPr>
            </w:pPr>
            <w:hyperlink w:anchor="page80">
              <w:r>
                <w:rPr>
                  <w:rFonts w:ascii="Arial" w:cs="Arial" w:eastAsia="Arial" w:hAnsi="Arial"/>
                  <w:sz w:val="14"/>
                  <w:szCs w:val="14"/>
                  <w:color w:val="auto"/>
                  <w:w w:val="89"/>
                </w:rPr>
                <w:t>81</w:t>
              </w:r>
            </w:hyperlink>
          </w:p>
        </w:tc>
      </w:tr>
      <w:tr>
        <w:trPr>
          <w:trHeight w:val="91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15"/>
          </w:tcPr>
          <w:p>
            <w:pPr>
              <w:jc w:val="center"/>
              <w:ind w:left="4729"/>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2" w:name="page3"/>
    <w:bookmarkEnd w:id="2"/>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60" w:lineRule="exact"/>
        <w:rPr>
          <w:sz w:val="20"/>
          <w:szCs w:val="20"/>
          <w:color w:val="auto"/>
        </w:rPr>
      </w:pPr>
    </w:p>
    <w:p>
      <w:pPr>
        <w:ind w:firstLine="508"/>
        <w:spacing w:after="0" w:line="232" w:lineRule="auto"/>
        <w:rPr>
          <w:sz w:val="20"/>
          <w:szCs w:val="20"/>
          <w:color w:val="auto"/>
        </w:rPr>
      </w:pPr>
      <w:r>
        <w:rPr>
          <w:rFonts w:ascii="Arial" w:cs="Arial" w:eastAsia="Arial" w:hAnsi="Arial"/>
          <w:sz w:val="14"/>
          <w:szCs w:val="14"/>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These forward-looking statements include, but are not limited to, statements concerning the following:</w:t>
      </w:r>
    </w:p>
    <w:p>
      <w:pPr>
        <w:spacing w:after="0" w:line="167" w:lineRule="exact"/>
        <w:rPr>
          <w:sz w:val="20"/>
          <w:szCs w:val="20"/>
          <w:color w:val="auto"/>
        </w:rPr>
      </w:pPr>
    </w:p>
    <w:p>
      <w:pPr>
        <w:ind w:left="1020" w:right="20" w:hanging="254"/>
        <w:spacing w:after="0" w:line="280" w:lineRule="auto"/>
        <w:tabs>
          <w:tab w:leader="none" w:pos="10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32"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the COVID-19 pandemic on our operations, financial results, and liquidity and capital resources, including on customers, sales, expenses, and employees;</w:t>
      </w:r>
    </w:p>
    <w:p>
      <w:pPr>
        <w:spacing w:after="0" w:line="189" w:lineRule="exact"/>
        <w:rPr>
          <w:rFonts w:ascii="Arial" w:cs="Arial" w:eastAsia="Arial" w:hAnsi="Arial"/>
          <w:sz w:val="13"/>
          <w:szCs w:val="13"/>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acceptance of our cloud platform;</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increased competition in our markets and our ability to compete effectively;</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the security and availability of our cloud platform;</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and expand our customer base, including by attracting new customers;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new solutions, or enhancements to our existing solutions, and bring them to market in a timely manner;</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and in the markets in which we operate;</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plan and our ability to effectively manage our growth and associated investments;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beliefs and objectives for future operations;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relationships with third parties, including channel partners and technology alliance partners;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 rights;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defend litigation brought against us;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expand in our existing markets and into new markets;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sufficiency of cash and cash equivalents to meet cash needs for at least the next 12 months;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expand internationally;</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laws and regulations that currently apply or become applicable to our business both in the United States and internationally;</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maintain, and improve our internal control over financial reporting;</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instability in the global credit and financial markets;</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close and integrate acquisitions to contribute to our growth objectives; and</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attraction and retention of qualified employees and key personnel.</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298" w:right="359" w:bottom="1440" w:gutter="0" w:footer="0" w:header="0"/>
        </w:sectPr>
      </w:pPr>
    </w:p>
    <w:bookmarkStart w:id="3" w:name="page4"/>
    <w:bookmarkEnd w:id="3"/>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508"/>
        <w:spacing w:after="0" w:line="249" w:lineRule="auto"/>
        <w:rPr>
          <w:sz w:val="20"/>
          <w:szCs w:val="20"/>
          <w:color w:val="auto"/>
        </w:rPr>
      </w:pPr>
      <w:r>
        <w:rPr>
          <w:rFonts w:ascii="Arial" w:cs="Arial" w:eastAsia="Arial" w:hAnsi="Arial"/>
          <w:sz w:val="13"/>
          <w:szCs w:val="13"/>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34" w:lineRule="exact"/>
        <w:rPr>
          <w:sz w:val="20"/>
          <w:szCs w:val="20"/>
          <w:color w:val="auto"/>
        </w:rPr>
      </w:pPr>
    </w:p>
    <w:p>
      <w:pPr>
        <w:ind w:right="200" w:firstLine="508"/>
        <w:spacing w:after="0" w:line="249" w:lineRule="auto"/>
        <w:rPr>
          <w:sz w:val="20"/>
          <w:szCs w:val="20"/>
          <w:color w:val="auto"/>
        </w:rPr>
      </w:pPr>
      <w:r>
        <w:rPr>
          <w:rFonts w:ascii="Arial" w:cs="Arial" w:eastAsia="Arial" w:hAnsi="Arial"/>
          <w:sz w:val="13"/>
          <w:szCs w:val="13"/>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SUMMARY OF RISK FACTORS</w:t>
      </w:r>
    </w:p>
    <w:p>
      <w:pPr>
        <w:spacing w:after="0" w:line="203" w:lineRule="exact"/>
        <w:rPr>
          <w:sz w:val="20"/>
          <w:szCs w:val="20"/>
          <w:color w:val="auto"/>
        </w:rPr>
      </w:pPr>
    </w:p>
    <w:p>
      <w:pPr>
        <w:jc w:val="both"/>
        <w:ind w:firstLine="254"/>
        <w:spacing w:after="0" w:line="250" w:lineRule="auto"/>
        <w:rPr>
          <w:sz w:val="20"/>
          <w:szCs w:val="20"/>
          <w:color w:val="auto"/>
        </w:rPr>
      </w:pPr>
      <w:r>
        <w:rPr>
          <w:rFonts w:ascii="Arial" w:cs="Arial" w:eastAsia="Arial" w:hAnsi="Arial"/>
          <w:sz w:val="14"/>
          <w:szCs w:val="14"/>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42" w:lineRule="exact"/>
        <w:rPr>
          <w:sz w:val="20"/>
          <w:szCs w:val="20"/>
          <w:color w:val="auto"/>
        </w:rPr>
      </w:pPr>
    </w:p>
    <w:p>
      <w:pPr>
        <w:ind w:left="1020" w:hanging="254"/>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experienced rapid growth in recent periods, and if we do not manage our future growth, our business and results of operations will be adversely affected.</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a history of losses and may not be able to achieve or sustain profitability in the future.</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limited operating history makes it difficult to evaluate our current business and future prospects, and may increase the risk of your investment.</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COVID-19 pandemic could adversely affect global economic conditions and our business, operating results and future revenue.</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organizations do not adopt cloud-based SaaS-delivered endpoint security solutions, our ability to grow our business and results of operations may be adversely affected.</w:t>
      </w:r>
    </w:p>
    <w:p>
      <w:pPr>
        <w:spacing w:after="0" w:line="189" w:lineRule="exact"/>
        <w:rPr>
          <w:rFonts w:ascii="Arial" w:cs="Arial" w:eastAsia="Arial" w:hAnsi="Arial"/>
          <w:sz w:val="13"/>
          <w:szCs w:val="13"/>
          <w:color w:val="auto"/>
        </w:rPr>
      </w:pPr>
    </w:p>
    <w:p>
      <w:pPr>
        <w:ind w:left="1020" w:hanging="254"/>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are unable to attract new customers, our future results of operations could be harmed.</w:t>
      </w:r>
    </w:p>
    <w:p>
      <w:pPr>
        <w:spacing w:after="0" w:line="177" w:lineRule="exact"/>
        <w:rPr>
          <w:rFonts w:ascii="Arial" w:cs="Arial" w:eastAsia="Arial" w:hAnsi="Arial"/>
          <w:sz w:val="14"/>
          <w:szCs w:val="14"/>
          <w:color w:val="auto"/>
        </w:rPr>
      </w:pPr>
    </w:p>
    <w:p>
      <w:pPr>
        <w:ind w:left="1020" w:hanging="254"/>
        <w:spacing w:after="0"/>
        <w:tabs>
          <w:tab w:leader="none" w:pos="102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our customers do not renew their subscriptions for our products and add additional cloud modules to their subscriptions, our future results of operations could be harmed.</w:t>
      </w:r>
    </w:p>
    <w:p>
      <w:pPr>
        <w:spacing w:after="0" w:line="189" w:lineRule="exact"/>
        <w:rPr>
          <w:rFonts w:ascii="Arial" w:cs="Arial" w:eastAsia="Arial" w:hAnsi="Arial"/>
          <w:sz w:val="13"/>
          <w:szCs w:val="13"/>
          <w:color w:val="auto"/>
        </w:rPr>
      </w:pPr>
    </w:p>
    <w:p>
      <w:pPr>
        <w:ind w:left="1020" w:hanging="254"/>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intense competition and could lose market share to our competitors, which could adversely affect our business, financial condition, and results of operations.</w:t>
      </w:r>
    </w:p>
    <w:p>
      <w:pPr>
        <w:spacing w:after="0" w:line="177" w:lineRule="exact"/>
        <w:rPr>
          <w:rFonts w:ascii="Arial" w:cs="Arial" w:eastAsia="Arial" w:hAnsi="Arial"/>
          <w:sz w:val="14"/>
          <w:szCs w:val="14"/>
          <w:color w:val="auto"/>
        </w:rPr>
      </w:pPr>
    </w:p>
    <w:p>
      <w:pPr>
        <w:ind w:left="1020" w:right="480" w:hanging="254"/>
        <w:spacing w:after="0" w:line="280" w:lineRule="auto"/>
        <w:tabs>
          <w:tab w:leader="none" w:pos="10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32" w:lineRule="exact"/>
        <w:rPr>
          <w:rFonts w:ascii="Arial" w:cs="Arial" w:eastAsia="Arial" w:hAnsi="Arial"/>
          <w:sz w:val="14"/>
          <w:szCs w:val="14"/>
          <w:color w:val="auto"/>
        </w:rPr>
      </w:pPr>
    </w:p>
    <w:p>
      <w:pPr>
        <w:ind w:left="1020" w:right="560" w:hanging="254"/>
        <w:spacing w:after="0" w:line="280" w:lineRule="auto"/>
        <w:tabs>
          <w:tab w:leader="none" w:pos="10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32" w:lineRule="exact"/>
        <w:rPr>
          <w:rFonts w:ascii="Arial" w:cs="Arial" w:eastAsia="Arial" w:hAnsi="Arial"/>
          <w:sz w:val="14"/>
          <w:szCs w:val="14"/>
          <w:color w:val="auto"/>
        </w:rPr>
      </w:pPr>
    </w:p>
    <w:p>
      <w:pPr>
        <w:ind w:left="1020" w:hanging="254"/>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business is focused on cloud-based data analytics, and cybersecurity, privacy, and other regulations may affect how we collect and process certain types of data.</w:t>
      </w:r>
    </w:p>
    <w:p>
      <w:pPr>
        <w:spacing w:after="0" w:line="177" w:lineRule="exact"/>
        <w:rPr>
          <w:rFonts w:ascii="Arial" w:cs="Arial" w:eastAsia="Arial" w:hAnsi="Arial"/>
          <w:sz w:val="14"/>
          <w:szCs w:val="14"/>
          <w:color w:val="auto"/>
        </w:rPr>
      </w:pPr>
    </w:p>
    <w:p>
      <w:pPr>
        <w:ind w:left="1020" w:right="680" w:hanging="254"/>
        <w:spacing w:after="0" w:line="280" w:lineRule="auto"/>
        <w:tabs>
          <w:tab w:leader="none" w:pos="10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third-party data centers, such as Amazon Web Services, and our own colocation data centers, to host and operate our Falcon platform, and any disruption of or interference with our use of these facilities may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negatively affect our ability to maintain the performance and reliability of our Falcon platform, which could cause our business to suffer.</w:t>
      </w:r>
    </w:p>
    <w:p>
      <w:pPr>
        <w:spacing w:after="0" w:line="178" w:lineRule="exact"/>
        <w:rPr>
          <w:sz w:val="20"/>
          <w:szCs w:val="20"/>
          <w:color w:val="auto"/>
        </w:rPr>
      </w:pPr>
    </w:p>
    <w:p>
      <w:pPr>
        <w:ind w:left="500" w:right="260" w:hanging="254"/>
        <w:spacing w:after="0" w:line="280"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do not effectively expand and train our direct sales force, we may be unable to add new customers or increase sales to our existing customers, and our business will be adversely affected.</w:t>
      </w:r>
    </w:p>
    <w:p>
      <w:pPr>
        <w:spacing w:after="0" w:line="132" w:lineRule="exact"/>
        <w:rPr>
          <w:rFonts w:ascii="Arial" w:cs="Arial" w:eastAsia="Arial" w:hAnsi="Arial"/>
          <w:sz w:val="14"/>
          <w:szCs w:val="14"/>
          <w:color w:val="auto"/>
        </w:rPr>
      </w:pPr>
    </w:p>
    <w:p>
      <w:pPr>
        <w:ind w:left="500" w:hanging="254"/>
        <w:spacing w:after="0"/>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results of operations may fluctuate significantly, which could make our future results difficult to predict and could cause our results of operations to fall below expectations.</w:t>
      </w:r>
    </w:p>
    <w:p>
      <w:pPr>
        <w:spacing w:after="0" w:line="200" w:lineRule="exact"/>
        <w:rPr>
          <w:rFonts w:ascii="Arial" w:cs="Arial" w:eastAsia="Arial" w:hAnsi="Arial"/>
          <w:sz w:val="12"/>
          <w:szCs w:val="12"/>
          <w:color w:val="auto"/>
        </w:rPr>
      </w:pPr>
    </w:p>
    <w:p>
      <w:pPr>
        <w:ind w:left="500" w:right="60" w:hanging="254"/>
        <w:spacing w:after="0" w:line="280"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32" w:lineRule="exact"/>
        <w:rPr>
          <w:rFonts w:ascii="Arial" w:cs="Arial" w:eastAsia="Arial" w:hAnsi="Arial"/>
          <w:sz w:val="14"/>
          <w:szCs w:val="14"/>
          <w:color w:val="auto"/>
        </w:rPr>
      </w:pPr>
    </w:p>
    <w:p>
      <w:pPr>
        <w:ind w:left="500" w:right="220" w:hanging="254"/>
        <w:spacing w:after="0" w:line="280"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200" w:lineRule="exact"/>
        <w:rPr>
          <w:sz w:val="20"/>
          <w:szCs w:val="20"/>
          <w:color w:val="auto"/>
        </w:rPr>
      </w:pPr>
    </w:p>
    <w:p>
      <w:pPr>
        <w:spacing w:after="0" w:line="228"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53340</wp:posOffset>
            </wp:positionV>
            <wp:extent cx="71875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460"/>
          </w:cols>
          <w:pgMar w:left="820" w:top="298" w:right="619" w:bottom="1440" w:gutter="0" w:footer="0" w:header="0"/>
        </w:sectPr>
      </w:pPr>
    </w:p>
    <w:bookmarkStart w:id="5" w:name="page6"/>
    <w:bookmarkEnd w:id="5"/>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CrowdStrike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w:t>
      </w:r>
    </w:p>
    <w:p>
      <w:pPr>
        <w:jc w:val="center"/>
        <w:spacing w:after="0" w:line="237" w:lineRule="auto"/>
        <w:rPr>
          <w:sz w:val="20"/>
          <w:szCs w:val="20"/>
          <w:color w:val="auto"/>
        </w:rPr>
      </w:pPr>
      <w:r>
        <w:rPr>
          <w:rFonts w:ascii="Arial" w:cs="Arial" w:eastAsia="Arial" w:hAnsi="Arial"/>
          <w:sz w:val="13"/>
          <w:szCs w:val="13"/>
          <w:i w:val="1"/>
          <w:iCs w:val="1"/>
          <w:color w:val="auto"/>
        </w:rPr>
        <w:t>(in thousands, except per share data)</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1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April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29"/>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18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Cash and cash equivalents</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1,684,997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1,918,608</w:t>
            </w:r>
          </w:p>
        </w:tc>
        <w:tc>
          <w:tcPr>
            <w:tcW w:w="0" w:type="dxa"/>
            <w:vAlign w:val="bottom"/>
          </w:tcPr>
          <w:p>
            <w:pPr>
              <w:spacing w:after="0"/>
              <w:rPr>
                <w:sz w:val="1"/>
                <w:szCs w:val="1"/>
                <w:color w:val="auto"/>
              </w:rPr>
            </w:pPr>
          </w:p>
        </w:tc>
      </w:tr>
      <w:tr>
        <w:trPr>
          <w:trHeight w:val="146"/>
        </w:trPr>
        <w:tc>
          <w:tcPr>
            <w:tcW w:w="8180" w:type="dxa"/>
            <w:vAlign w:val="bottom"/>
          </w:tcPr>
          <w:p>
            <w:pPr>
              <w:ind w:left="120"/>
              <w:spacing w:after="0"/>
              <w:rPr>
                <w:sz w:val="20"/>
                <w:szCs w:val="20"/>
                <w:color w:val="auto"/>
              </w:rPr>
            </w:pPr>
            <w:r>
              <w:rPr>
                <w:rFonts w:ascii="Arial" w:cs="Arial" w:eastAsia="Arial" w:hAnsi="Arial"/>
                <w:sz w:val="11"/>
                <w:szCs w:val="11"/>
                <w:color w:val="auto"/>
              </w:rPr>
              <w:t>Accounts receivable, net of allowance for doubtful accounts of $1.5 million and $1.2 million as of April 30, 2021 and January 31, 2021, respectively</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211,233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239,199</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Deferred contract acquisition costs, current</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85,388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80,850</w:t>
            </w:r>
          </w:p>
        </w:tc>
        <w:tc>
          <w:tcPr>
            <w:tcW w:w="0" w:type="dxa"/>
            <w:vAlign w:val="bottom"/>
          </w:tcPr>
          <w:p>
            <w:pPr>
              <w:spacing w:after="0"/>
              <w:rPr>
                <w:sz w:val="1"/>
                <w:szCs w:val="1"/>
                <w:color w:val="auto"/>
              </w:rPr>
            </w:pPr>
          </w:p>
        </w:tc>
      </w:tr>
      <w:tr>
        <w:trPr>
          <w:trHeight w:val="146"/>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Prepaid expenses and other current assets</w:t>
            </w: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56,385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53,617</w:t>
            </w: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current assets</w:t>
            </w: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2,038,003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2,292,274</w:t>
            </w:r>
          </w:p>
        </w:tc>
        <w:tc>
          <w:tcPr>
            <w:tcW w:w="0" w:type="dxa"/>
            <w:vAlign w:val="bottom"/>
          </w:tcPr>
          <w:p>
            <w:pPr>
              <w:spacing w:after="0"/>
              <w:rPr>
                <w:sz w:val="1"/>
                <w:szCs w:val="1"/>
                <w:color w:val="auto"/>
              </w:rPr>
            </w:pPr>
          </w:p>
        </w:tc>
      </w:tr>
      <w:tr>
        <w:trPr>
          <w:trHeight w:val="146"/>
        </w:trPr>
        <w:tc>
          <w:tcPr>
            <w:tcW w:w="8180" w:type="dxa"/>
            <w:vAlign w:val="bottom"/>
          </w:tcPr>
          <w:p>
            <w:pPr>
              <w:ind w:left="20"/>
              <w:spacing w:after="0"/>
              <w:rPr>
                <w:sz w:val="20"/>
                <w:szCs w:val="20"/>
                <w:color w:val="auto"/>
              </w:rPr>
            </w:pPr>
            <w:r>
              <w:rPr>
                <w:rFonts w:ascii="Arial" w:cs="Arial" w:eastAsia="Arial" w:hAnsi="Arial"/>
                <w:sz w:val="11"/>
                <w:szCs w:val="11"/>
                <w:color w:val="auto"/>
              </w:rPr>
              <w:t>Strategic investments</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8,165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2,500</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and equipment, net</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191,310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167,014</w:t>
            </w:r>
          </w:p>
        </w:tc>
        <w:tc>
          <w:tcPr>
            <w:tcW w:w="0" w:type="dxa"/>
            <w:vAlign w:val="bottom"/>
          </w:tcPr>
          <w:p>
            <w:pPr>
              <w:spacing w:after="0"/>
              <w:rPr>
                <w:sz w:val="1"/>
                <w:szCs w:val="1"/>
                <w:color w:val="auto"/>
              </w:rPr>
            </w:pPr>
          </w:p>
        </w:tc>
      </w:tr>
      <w:tr>
        <w:trPr>
          <w:trHeight w:val="146"/>
        </w:trPr>
        <w:tc>
          <w:tcPr>
            <w:tcW w:w="8180" w:type="dxa"/>
            <w:vAlign w:val="bottom"/>
          </w:tcPr>
          <w:p>
            <w:pPr>
              <w:ind w:left="20"/>
              <w:spacing w:after="0"/>
              <w:rPr>
                <w:sz w:val="20"/>
                <w:szCs w:val="20"/>
                <w:color w:val="auto"/>
              </w:rPr>
            </w:pPr>
            <w:r>
              <w:rPr>
                <w:rFonts w:ascii="Arial" w:cs="Arial" w:eastAsia="Arial" w:hAnsi="Arial"/>
                <w:sz w:val="11"/>
                <w:szCs w:val="11"/>
                <w:color w:val="auto"/>
              </w:rPr>
              <w:t>Operating lease right-of-use assets</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36,683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36,484</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contract acquisition costs, noncurrent</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125,392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117,906</w:t>
            </w:r>
          </w:p>
        </w:tc>
        <w:tc>
          <w:tcPr>
            <w:tcW w:w="0" w:type="dxa"/>
            <w:vAlign w:val="bottom"/>
          </w:tcPr>
          <w:p>
            <w:pPr>
              <w:spacing w:after="0"/>
              <w:rPr>
                <w:sz w:val="1"/>
                <w:szCs w:val="1"/>
                <w:color w:val="auto"/>
              </w:rPr>
            </w:pPr>
          </w:p>
        </w:tc>
      </w:tr>
      <w:tr>
        <w:trPr>
          <w:trHeight w:val="146"/>
        </w:trPr>
        <w:tc>
          <w:tcPr>
            <w:tcW w:w="8180" w:type="dxa"/>
            <w:vAlign w:val="bottom"/>
          </w:tcPr>
          <w:p>
            <w:pPr>
              <w:ind w:left="20"/>
              <w:spacing w:after="0"/>
              <w:rPr>
                <w:sz w:val="20"/>
                <w:szCs w:val="20"/>
                <w:color w:val="auto"/>
              </w:rPr>
            </w:pPr>
            <w:r>
              <w:rPr>
                <w:rFonts w:ascii="Arial" w:cs="Arial" w:eastAsia="Arial" w:hAnsi="Arial"/>
                <w:sz w:val="11"/>
                <w:szCs w:val="11"/>
                <w:color w:val="auto"/>
              </w:rPr>
              <w:t>Goodwill</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374,581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83,566</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88,851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15,677</w:t>
            </w:r>
          </w:p>
        </w:tc>
        <w:tc>
          <w:tcPr>
            <w:tcW w:w="0" w:type="dxa"/>
            <w:vAlign w:val="bottom"/>
          </w:tcPr>
          <w:p>
            <w:pPr>
              <w:spacing w:after="0"/>
              <w:rPr>
                <w:sz w:val="1"/>
                <w:szCs w:val="1"/>
                <w:color w:val="auto"/>
              </w:rPr>
            </w:pPr>
          </w:p>
        </w:tc>
      </w:tr>
      <w:tr>
        <w:trPr>
          <w:trHeight w:val="14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long-term assets</w:t>
            </w: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18,186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17,112</w:t>
            </w:r>
          </w:p>
        </w:tc>
        <w:tc>
          <w:tcPr>
            <w:tcW w:w="0" w:type="dxa"/>
            <w:vAlign w:val="bottom"/>
          </w:tcPr>
          <w:p>
            <w:pPr>
              <w:spacing w:after="0"/>
              <w:rPr>
                <w:sz w:val="1"/>
                <w:szCs w:val="1"/>
                <w:color w:val="auto"/>
              </w:rPr>
            </w:pPr>
          </w:p>
        </w:tc>
      </w:tr>
      <w:tr>
        <w:trPr>
          <w:trHeight w:val="166"/>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assets</w:t>
            </w:r>
          </w:p>
        </w:tc>
        <w:tc>
          <w:tcPr>
            <w:tcW w:w="98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2,881,171</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2,732,533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81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180" w:type="dxa"/>
            <w:vAlign w:val="bottom"/>
          </w:tcPr>
          <w:p>
            <w:pPr>
              <w:ind w:left="120"/>
              <w:spacing w:after="0"/>
              <w:rPr>
                <w:sz w:val="20"/>
                <w:szCs w:val="20"/>
                <w:color w:val="auto"/>
              </w:rPr>
            </w:pPr>
            <w:r>
              <w:rPr>
                <w:rFonts w:ascii="Arial" w:cs="Arial" w:eastAsia="Arial" w:hAnsi="Arial"/>
                <w:sz w:val="11"/>
                <w:szCs w:val="11"/>
                <w:color w:val="auto"/>
              </w:rPr>
              <w:t>Accounts payable</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3,468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12,065</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Accrued expenses</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51,117</w:t>
            </w:r>
          </w:p>
        </w:tc>
        <w:tc>
          <w:tcPr>
            <w:tcW w:w="0" w:type="dxa"/>
            <w:vAlign w:val="bottom"/>
          </w:tcPr>
          <w:p>
            <w:pPr>
              <w:spacing w:after="0"/>
              <w:rPr>
                <w:sz w:val="1"/>
                <w:szCs w:val="1"/>
                <w:color w:val="auto"/>
              </w:rPr>
            </w:pPr>
          </w:p>
        </w:tc>
      </w:tr>
      <w:tr>
        <w:trPr>
          <w:trHeight w:val="146"/>
        </w:trPr>
        <w:tc>
          <w:tcPr>
            <w:tcW w:w="8180" w:type="dxa"/>
            <w:vAlign w:val="bottom"/>
          </w:tcPr>
          <w:p>
            <w:pPr>
              <w:ind w:left="120"/>
              <w:spacing w:after="0"/>
              <w:rPr>
                <w:sz w:val="20"/>
                <w:szCs w:val="20"/>
                <w:color w:val="auto"/>
              </w:rPr>
            </w:pPr>
            <w:r>
              <w:rPr>
                <w:rFonts w:ascii="Arial" w:cs="Arial" w:eastAsia="Arial" w:hAnsi="Arial"/>
                <w:sz w:val="11"/>
                <w:szCs w:val="11"/>
                <w:color w:val="auto"/>
              </w:rPr>
              <w:t>Accrued payroll and benefits</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79,099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71,907</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Operating lease liabilities, current</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9,333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8,977</w:t>
            </w:r>
          </w:p>
        </w:tc>
        <w:tc>
          <w:tcPr>
            <w:tcW w:w="0" w:type="dxa"/>
            <w:vAlign w:val="bottom"/>
          </w:tcPr>
          <w:p>
            <w:pPr>
              <w:spacing w:after="0"/>
              <w:rPr>
                <w:sz w:val="1"/>
                <w:szCs w:val="1"/>
                <w:color w:val="auto"/>
              </w:rPr>
            </w:pPr>
          </w:p>
        </w:tc>
      </w:tr>
      <w:tr>
        <w:trPr>
          <w:trHeight w:val="146"/>
        </w:trPr>
        <w:tc>
          <w:tcPr>
            <w:tcW w:w="8180" w:type="dxa"/>
            <w:vAlign w:val="bottom"/>
          </w:tcPr>
          <w:p>
            <w:pPr>
              <w:ind w:left="120"/>
              <w:spacing w:after="0"/>
              <w:rPr>
                <w:sz w:val="20"/>
                <w:szCs w:val="20"/>
                <w:color w:val="auto"/>
              </w:rPr>
            </w:pPr>
            <w:r>
              <w:rPr>
                <w:rFonts w:ascii="Arial" w:cs="Arial" w:eastAsia="Arial" w:hAnsi="Arial"/>
                <w:sz w:val="11"/>
                <w:szCs w:val="11"/>
                <w:color w:val="auto"/>
              </w:rPr>
              <w:t>Deferred revenue</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786,793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701,988</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current liabilities</w:t>
            </w: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54,445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17,499</w:t>
            </w:r>
          </w:p>
        </w:tc>
        <w:tc>
          <w:tcPr>
            <w:tcW w:w="0" w:type="dxa"/>
            <w:vAlign w:val="bottom"/>
          </w:tcPr>
          <w:p>
            <w:pPr>
              <w:spacing w:after="0"/>
              <w:rPr>
                <w:sz w:val="1"/>
                <w:szCs w:val="1"/>
                <w:color w:val="auto"/>
              </w:rPr>
            </w:pPr>
          </w:p>
        </w:tc>
      </w:tr>
      <w:tr>
        <w:trPr>
          <w:trHeight w:val="137"/>
        </w:trPr>
        <w:tc>
          <w:tcPr>
            <w:tcW w:w="8180" w:type="dxa"/>
            <w:vAlign w:val="bottom"/>
          </w:tcPr>
          <w:p>
            <w:pPr>
              <w:ind w:left="180"/>
              <w:spacing w:after="0"/>
              <w:rPr>
                <w:sz w:val="20"/>
                <w:szCs w:val="20"/>
                <w:color w:val="auto"/>
              </w:rPr>
            </w:pPr>
            <w:r>
              <w:rPr>
                <w:rFonts w:ascii="Arial" w:cs="Arial" w:eastAsia="Arial" w:hAnsi="Arial"/>
                <w:sz w:val="11"/>
                <w:szCs w:val="11"/>
                <w:color w:val="auto"/>
              </w:rPr>
              <w:t>Total current liabilities</w:t>
            </w:r>
          </w:p>
        </w:tc>
        <w:tc>
          <w:tcPr>
            <w:tcW w:w="9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982,765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863,553</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debt</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738,400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738,029</w:t>
            </w:r>
          </w:p>
        </w:tc>
        <w:tc>
          <w:tcPr>
            <w:tcW w:w="0" w:type="dxa"/>
            <w:vAlign w:val="bottom"/>
          </w:tcPr>
          <w:p>
            <w:pPr>
              <w:spacing w:after="0"/>
              <w:rPr>
                <w:sz w:val="1"/>
                <w:szCs w:val="1"/>
                <w:color w:val="auto"/>
              </w:rPr>
            </w:pPr>
          </w:p>
        </w:tc>
      </w:tr>
      <w:tr>
        <w:trPr>
          <w:trHeight w:val="146"/>
        </w:trPr>
        <w:tc>
          <w:tcPr>
            <w:tcW w:w="8180" w:type="dxa"/>
            <w:vAlign w:val="bottom"/>
          </w:tcPr>
          <w:p>
            <w:pPr>
              <w:ind w:left="20"/>
              <w:spacing w:after="0"/>
              <w:rPr>
                <w:sz w:val="20"/>
                <w:szCs w:val="20"/>
                <w:color w:val="auto"/>
              </w:rPr>
            </w:pPr>
            <w:r>
              <w:rPr>
                <w:rFonts w:ascii="Arial" w:cs="Arial" w:eastAsia="Arial" w:hAnsi="Arial"/>
                <w:sz w:val="11"/>
                <w:szCs w:val="11"/>
                <w:color w:val="auto"/>
              </w:rPr>
              <w:t>Deferred revenue, noncurrent</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235,198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209,907</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 noncurrent</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31,458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31,986</w:t>
            </w:r>
          </w:p>
        </w:tc>
        <w:tc>
          <w:tcPr>
            <w:tcW w:w="0" w:type="dxa"/>
            <w:vAlign w:val="bottom"/>
          </w:tcPr>
          <w:p>
            <w:pPr>
              <w:spacing w:after="0"/>
              <w:rPr>
                <w:sz w:val="1"/>
                <w:szCs w:val="1"/>
                <w:color w:val="auto"/>
              </w:rPr>
            </w:pPr>
          </w:p>
        </w:tc>
      </w:tr>
      <w:tr>
        <w:trPr>
          <w:trHeight w:val="14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 noncurrent</w:t>
            </w: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39,953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17,184</w:t>
            </w: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liabilities</w:t>
            </w:r>
          </w:p>
        </w:tc>
        <w:tc>
          <w:tcPr>
            <w:tcW w:w="9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3"/>
              </w:rPr>
              <w:t>2,027,774</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1,860,659</w:t>
            </w:r>
          </w:p>
        </w:tc>
        <w:tc>
          <w:tcPr>
            <w:tcW w:w="0" w:type="dxa"/>
            <w:vAlign w:val="bottom"/>
          </w:tcPr>
          <w:p>
            <w:pPr>
              <w:spacing w:after="0"/>
              <w:rPr>
                <w:sz w:val="1"/>
                <w:szCs w:val="1"/>
                <w:color w:val="auto"/>
              </w:rPr>
            </w:pPr>
          </w:p>
        </w:tc>
      </w:tr>
      <w:tr>
        <w:trPr>
          <w:trHeight w:val="126"/>
        </w:trPr>
        <w:tc>
          <w:tcPr>
            <w:tcW w:w="8180" w:type="dxa"/>
            <w:vAlign w:val="bottom"/>
          </w:tcPr>
          <w:p>
            <w:pPr>
              <w:ind w:left="20"/>
              <w:spacing w:after="0" w:line="125" w:lineRule="exact"/>
              <w:rPr>
                <w:sz w:val="20"/>
                <w:szCs w:val="20"/>
                <w:color w:val="auto"/>
              </w:rPr>
            </w:pPr>
            <w:r>
              <w:rPr>
                <w:rFonts w:ascii="Arial" w:cs="Arial" w:eastAsia="Arial" w:hAnsi="Arial"/>
                <w:sz w:val="11"/>
                <w:szCs w:val="11"/>
                <w:color w:val="auto"/>
              </w:rPr>
              <w:t>Commitments and contingencies (Note 10)</w:t>
            </w: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180" w:type="dxa"/>
            <w:vAlign w:val="bottom"/>
          </w:tcPr>
          <w:p>
            <w:pPr>
              <w:ind w:left="20"/>
              <w:spacing w:after="0" w:line="106" w:lineRule="exact"/>
              <w:rPr>
                <w:sz w:val="20"/>
                <w:szCs w:val="20"/>
                <w:color w:val="auto"/>
              </w:rPr>
            </w:pPr>
            <w:r>
              <w:rPr>
                <w:rFonts w:ascii="Arial" w:cs="Arial" w:eastAsia="Arial" w:hAnsi="Arial"/>
                <w:sz w:val="11"/>
                <w:szCs w:val="11"/>
                <w:color w:val="auto"/>
              </w:rPr>
              <w:t>Preferred stock, $0.0005 par value; 100,000 shares authorized as of April 30, 2021 and January 31, 2021; no shares issued and outstanding as of April 30, 2021 and</w:t>
            </w:r>
          </w:p>
        </w:tc>
        <w:tc>
          <w:tcPr>
            <w:tcW w:w="9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8180" w:type="dxa"/>
            <w:vAlign w:val="bottom"/>
          </w:tcPr>
          <w:p>
            <w:pPr>
              <w:ind w:left="20"/>
              <w:spacing w:after="0"/>
              <w:rPr>
                <w:sz w:val="20"/>
                <w:szCs w:val="20"/>
                <w:color w:val="auto"/>
              </w:rPr>
            </w:pPr>
            <w:r>
              <w:rPr>
                <w:rFonts w:ascii="Arial" w:cs="Arial" w:eastAsia="Arial" w:hAnsi="Arial"/>
                <w:sz w:val="11"/>
                <w:szCs w:val="11"/>
                <w:color w:val="auto"/>
              </w:rPr>
              <w:t>January 31, 2021</w:t>
            </w:r>
          </w:p>
        </w:tc>
        <w:tc>
          <w:tcPr>
            <w:tcW w:w="9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w w:val="92"/>
              </w:rPr>
              <w:t>Class A common stock, $0.0005 par value; 2,000,000 shares authorized as of April 30, 2021 and January 31, 2021; 199,142 shares and 195,039 shares issued and outstanding as of</w:t>
            </w:r>
          </w:p>
        </w:tc>
        <w:tc>
          <w:tcPr>
            <w:tcW w:w="9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180" w:type="dxa"/>
            <w:vAlign w:val="bottom"/>
            <w:shd w:val="clear" w:color="auto" w:fill="CCEEFF"/>
          </w:tcPr>
          <w:p>
            <w:pPr>
              <w:ind w:left="20"/>
              <w:spacing w:after="0" w:line="106" w:lineRule="exact"/>
              <w:rPr>
                <w:sz w:val="20"/>
                <w:szCs w:val="20"/>
                <w:color w:val="auto"/>
              </w:rPr>
            </w:pPr>
            <w:r>
              <w:rPr>
                <w:rFonts w:ascii="Arial" w:cs="Arial" w:eastAsia="Arial" w:hAnsi="Arial"/>
                <w:sz w:val="11"/>
                <w:szCs w:val="11"/>
                <w:color w:val="auto"/>
                <w:w w:val="93"/>
              </w:rPr>
              <w:t>April 30, 2021 and January 31, 2021, respectively; Class B common stock, $0.0005 par value; 300,000 shares authorized as of April 30, 2021 and January 31, 2021; 26,601 shares</w:t>
            </w:r>
          </w:p>
        </w:tc>
        <w:tc>
          <w:tcPr>
            <w:tcW w:w="9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113</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48"/>
        </w:trPr>
        <w:tc>
          <w:tcPr>
            <w:tcW w:w="8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and 28,685 shares issued and outstanding as of April 30, 2021 and January 31, 2021, respectively.</w:t>
            </w:r>
          </w:p>
        </w:tc>
        <w:tc>
          <w:tcPr>
            <w:tcW w:w="9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180" w:type="dxa"/>
            <w:vAlign w:val="bottom"/>
          </w:tcPr>
          <w:p>
            <w:pPr>
              <w:ind w:left="120"/>
              <w:spacing w:after="0"/>
              <w:rPr>
                <w:sz w:val="20"/>
                <w:szCs w:val="20"/>
                <w:color w:val="auto"/>
              </w:rPr>
            </w:pPr>
            <w:r>
              <w:rPr>
                <w:rFonts w:ascii="Arial" w:cs="Arial" w:eastAsia="Arial" w:hAnsi="Arial"/>
                <w:sz w:val="11"/>
                <w:szCs w:val="11"/>
                <w:color w:val="auto"/>
              </w:rPr>
              <w:t>Additional paid-in capital</w:t>
            </w:r>
          </w:p>
        </w:tc>
        <w:tc>
          <w:tcPr>
            <w:tcW w:w="9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1,662,199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1,598,259</w:t>
            </w:r>
          </w:p>
        </w:tc>
        <w:tc>
          <w:tcPr>
            <w:tcW w:w="0" w:type="dxa"/>
            <w:vAlign w:val="bottom"/>
          </w:tcPr>
          <w:p>
            <w:pPr>
              <w:spacing w:after="0"/>
              <w:rPr>
                <w:sz w:val="1"/>
                <w:szCs w:val="1"/>
                <w:color w:val="auto"/>
              </w:rPr>
            </w:pPr>
          </w:p>
        </w:tc>
      </w:tr>
      <w:tr>
        <w:trPr>
          <w:trHeight w:val="150"/>
        </w:trPr>
        <w:tc>
          <w:tcPr>
            <w:tcW w:w="81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Accumulated deficit</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(815,165)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(730,116)</w:t>
            </w:r>
          </w:p>
        </w:tc>
        <w:tc>
          <w:tcPr>
            <w:tcW w:w="0" w:type="dxa"/>
            <w:vAlign w:val="bottom"/>
          </w:tcPr>
          <w:p>
            <w:pPr>
              <w:spacing w:after="0"/>
              <w:rPr>
                <w:sz w:val="1"/>
                <w:szCs w:val="1"/>
                <w:color w:val="auto"/>
              </w:rPr>
            </w:pPr>
          </w:p>
        </w:tc>
      </w:tr>
      <w:tr>
        <w:trPr>
          <w:trHeight w:val="146"/>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Accumulated other comprehensive income</w:t>
            </w: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2,117</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2,319</w:t>
            </w: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CrowdStrike Holdings, Inc. stockholders’ equity</w:t>
            </w: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849,264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870,574</w:t>
            </w:r>
          </w:p>
        </w:tc>
        <w:tc>
          <w:tcPr>
            <w:tcW w:w="0" w:type="dxa"/>
            <w:vAlign w:val="bottom"/>
          </w:tcPr>
          <w:p>
            <w:pPr>
              <w:spacing w:after="0"/>
              <w:rPr>
                <w:sz w:val="1"/>
                <w:szCs w:val="1"/>
                <w:color w:val="auto"/>
              </w:rPr>
            </w:pPr>
          </w:p>
        </w:tc>
      </w:tr>
      <w:tr>
        <w:trPr>
          <w:trHeight w:val="146"/>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Non-controlling interest</w:t>
            </w: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1,300</w:t>
            </w:r>
          </w:p>
        </w:tc>
        <w:tc>
          <w:tcPr>
            <w:tcW w:w="0" w:type="dxa"/>
            <w:vAlign w:val="bottom"/>
          </w:tcPr>
          <w:p>
            <w:pPr>
              <w:spacing w:after="0"/>
              <w:rPr>
                <w:sz w:val="1"/>
                <w:szCs w:val="1"/>
                <w:color w:val="auto"/>
              </w:rPr>
            </w:pPr>
          </w:p>
        </w:tc>
      </w:tr>
      <w:tr>
        <w:trPr>
          <w:trHeight w:val="139"/>
        </w:trPr>
        <w:tc>
          <w:tcPr>
            <w:tcW w:w="8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stockholders’ equity</w:t>
            </w:r>
          </w:p>
        </w:tc>
        <w:tc>
          <w:tcPr>
            <w:tcW w:w="9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853,397</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871,874</w:t>
            </w:r>
          </w:p>
        </w:tc>
        <w:tc>
          <w:tcPr>
            <w:tcW w:w="0" w:type="dxa"/>
            <w:vAlign w:val="bottom"/>
          </w:tcPr>
          <w:p>
            <w:pPr>
              <w:spacing w:after="0"/>
              <w:rPr>
                <w:sz w:val="1"/>
                <w:szCs w:val="1"/>
                <w:color w:val="auto"/>
              </w:rPr>
            </w:pPr>
          </w:p>
        </w:tc>
      </w:tr>
      <w:tr>
        <w:trPr>
          <w:trHeight w:val="141"/>
        </w:trPr>
        <w:tc>
          <w:tcPr>
            <w:tcW w:w="8180" w:type="dxa"/>
            <w:vAlign w:val="bottom"/>
          </w:tcPr>
          <w:p>
            <w:pPr>
              <w:ind w:left="120"/>
              <w:spacing w:after="0"/>
              <w:rPr>
                <w:sz w:val="20"/>
                <w:szCs w:val="20"/>
                <w:color w:val="auto"/>
              </w:rPr>
            </w:pPr>
            <w:r>
              <w:rPr>
                <w:rFonts w:ascii="Arial" w:cs="Arial" w:eastAsia="Arial" w:hAnsi="Arial"/>
                <w:sz w:val="11"/>
                <w:szCs w:val="11"/>
                <w:b w:val="1"/>
                <w:bCs w:val="1"/>
                <w:color w:val="auto"/>
              </w:rPr>
              <w:t>Total liabilities and stockholders’ equity</w:t>
            </w:r>
          </w:p>
        </w:tc>
        <w:tc>
          <w:tcPr>
            <w:tcW w:w="980" w:type="dxa"/>
            <w:vAlign w:val="bottom"/>
            <w:tcBorders>
              <w:bottom w:val="single" w:sz="8" w:color="auto"/>
            </w:tcBorders>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2,881,171</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2,732,533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 w:name="page7"/>
    <w:bookmarkEnd w:id="6"/>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r>
      <w:tr>
        <w:trPr>
          <w:trHeight w:val="172"/>
        </w:trPr>
        <w:tc>
          <w:tcPr>
            <w:tcW w:w="8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r>
      <w:tr>
        <w:trPr>
          <w:trHeight w:val="160"/>
        </w:trPr>
        <w:tc>
          <w:tcPr>
            <w:tcW w:w="818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80"/>
        </w:trPr>
        <w:tc>
          <w:tcPr>
            <w:tcW w:w="8180" w:type="dxa"/>
            <w:vAlign w:val="bottom"/>
          </w:tcPr>
          <w:p>
            <w:pPr>
              <w:ind w:left="120"/>
              <w:spacing w:after="0"/>
              <w:rPr>
                <w:sz w:val="20"/>
                <w:szCs w:val="20"/>
                <w:color w:val="auto"/>
              </w:rPr>
            </w:pPr>
            <w:r>
              <w:rPr>
                <w:rFonts w:ascii="Arial" w:cs="Arial" w:eastAsia="Arial" w:hAnsi="Arial"/>
                <w:sz w:val="14"/>
                <w:szCs w:val="14"/>
                <w:color w:val="auto"/>
              </w:rPr>
              <w:t>Subscription</w:t>
            </w:r>
          </w:p>
        </w:tc>
        <w:tc>
          <w:tcPr>
            <w:tcW w:w="940" w:type="dxa"/>
            <w:vAlign w:val="bottom"/>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281,228</w:t>
            </w:r>
          </w:p>
        </w:tc>
        <w:tc>
          <w:tcPr>
            <w:tcW w:w="100" w:type="dxa"/>
            <w:vAlign w:val="bottom"/>
          </w:tcPr>
          <w:p>
            <w:pPr>
              <w:spacing w:after="0"/>
              <w:rPr>
                <w:sz w:val="15"/>
                <w:szCs w:val="15"/>
                <w:color w:val="auto"/>
              </w:rPr>
            </w:pPr>
          </w:p>
        </w:tc>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162,222</w:t>
            </w:r>
          </w:p>
        </w:tc>
      </w:tr>
      <w:tr>
        <w:trPr>
          <w:trHeight w:val="180"/>
        </w:trPr>
        <w:tc>
          <w:tcPr>
            <w:tcW w:w="8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Professional services</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21,615</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15,856</w:t>
            </w:r>
          </w:p>
        </w:tc>
      </w:tr>
      <w:tr>
        <w:trPr>
          <w:trHeight w:val="17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revenue</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302,843</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178,078</w:t>
            </w:r>
          </w:p>
        </w:tc>
      </w:tr>
      <w:tr>
        <w:trPr>
          <w:trHeight w:val="192"/>
        </w:trPr>
        <w:tc>
          <w:tcPr>
            <w:tcW w:w="8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8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Subscription</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64,903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37,244</w:t>
            </w:r>
          </w:p>
        </w:tc>
      </w:tr>
      <w:tr>
        <w:trPr>
          <w:trHeight w:val="180"/>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Professional services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13,602</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9,651</w:t>
            </w:r>
          </w:p>
        </w:tc>
      </w:tr>
      <w:tr>
        <w:trPr>
          <w:trHeight w:val="170"/>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cost of revenue</w:t>
            </w: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78,505</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46,895</w:t>
            </w:r>
          </w:p>
        </w:tc>
      </w:tr>
      <w:tr>
        <w:trPr>
          <w:trHeight w:val="192"/>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224,338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131,183</w:t>
            </w:r>
          </w:p>
        </w:tc>
      </w:tr>
      <w:tr>
        <w:trPr>
          <w:trHeight w:val="212"/>
        </w:trPr>
        <w:tc>
          <w:tcPr>
            <w:tcW w:w="8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80"/>
        </w:trPr>
        <w:tc>
          <w:tcPr>
            <w:tcW w:w="818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135,131</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88,138</w:t>
            </w:r>
          </w:p>
        </w:tc>
      </w:tr>
      <w:tr>
        <w:trPr>
          <w:trHeight w:val="180"/>
        </w:trPr>
        <w:tc>
          <w:tcPr>
            <w:tcW w:w="8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78,180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40,578</w:t>
            </w:r>
          </w:p>
        </w:tc>
      </w:tr>
      <w:tr>
        <w:trPr>
          <w:trHeight w:val="180"/>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42,374</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25,043</w:t>
            </w:r>
          </w:p>
        </w:tc>
      </w:tr>
      <w:tr>
        <w:trPr>
          <w:trHeight w:val="170"/>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255,685</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153,759</w:t>
            </w:r>
          </w:p>
        </w:tc>
      </w:tr>
      <w:tr>
        <w:trPr>
          <w:trHeight w:val="192"/>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(31,347)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(22,576)</w:t>
            </w:r>
          </w:p>
        </w:tc>
      </w:tr>
      <w:tr>
        <w:trPr>
          <w:trHeight w:val="180"/>
        </w:trPr>
        <w:tc>
          <w:tcPr>
            <w:tcW w:w="81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(6,230)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180"/>
        </w:trPr>
        <w:tc>
          <w:tcPr>
            <w:tcW w:w="8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4,768</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4,533</w:t>
            </w:r>
          </w:p>
        </w:tc>
      </w:tr>
      <w:tr>
        <w:trPr>
          <w:trHeight w:val="192"/>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(32,809)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(18,186)</w:t>
            </w:r>
          </w:p>
        </w:tc>
      </w:tr>
      <w:tr>
        <w:trPr>
          <w:trHeight w:val="212"/>
        </w:trPr>
        <w:tc>
          <w:tcPr>
            <w:tcW w:w="8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0"/>
        </w:trPr>
        <w:tc>
          <w:tcPr>
            <w:tcW w:w="8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income taxes</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50,062</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r>
      <w:tr>
        <w:trPr>
          <w:trHeight w:val="192"/>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(82,871)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(19,222)</w:t>
            </w:r>
          </w:p>
        </w:tc>
      </w:tr>
      <w:tr>
        <w:trPr>
          <w:trHeight w:val="18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CrowdStrike</w:t>
            </w:r>
          </w:p>
        </w:tc>
        <w:tc>
          <w:tcPr>
            <w:tcW w:w="9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(85,049)</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(19,222)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CrowdStrike common stockholders, basic and diluted</w:t>
            </w:r>
          </w:p>
        </w:tc>
        <w:tc>
          <w:tcPr>
            <w:tcW w:w="9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Weighted-average shares used in computing net loss per share attributable to CrowdStrike common stockholders, basic and diluted</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224,153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213,129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7" w:name="page8"/>
    <w:bookmarkEnd w:id="7"/>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r>
      <w:tr>
        <w:trPr>
          <w:trHeight w:val="172"/>
        </w:trPr>
        <w:tc>
          <w:tcPr>
            <w:tcW w:w="8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(82,871)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(19,222)</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8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r>
      <w:tr>
        <w:trPr>
          <w:trHeight w:val="180"/>
        </w:trPr>
        <w:tc>
          <w:tcPr>
            <w:tcW w:w="8180" w:type="dxa"/>
            <w:vAlign w:val="bottom"/>
          </w:tcPr>
          <w:p>
            <w:pPr>
              <w:ind w:left="120"/>
              <w:spacing w:after="0"/>
              <w:rPr>
                <w:sz w:val="20"/>
                <w:szCs w:val="20"/>
                <w:color w:val="auto"/>
              </w:rPr>
            </w:pPr>
            <w:r>
              <w:rPr>
                <w:rFonts w:ascii="Arial" w:cs="Arial" w:eastAsia="Arial" w:hAnsi="Arial"/>
                <w:sz w:val="14"/>
                <w:szCs w:val="14"/>
                <w:color w:val="auto"/>
              </w:rPr>
              <w:t>Reversal of unrealized gain upon sale of debt securities, net of tax</w:t>
            </w:r>
          </w:p>
        </w:tc>
        <w:tc>
          <w:tcPr>
            <w:tcW w:w="9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(1,320)</w:t>
            </w:r>
          </w:p>
        </w:tc>
      </w:tr>
      <w:tr>
        <w:trPr>
          <w:trHeight w:val="171"/>
        </w:trPr>
        <w:tc>
          <w:tcPr>
            <w:tcW w:w="81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(2,013)</w:t>
            </w:r>
          </w:p>
        </w:tc>
      </w:tr>
      <w:tr>
        <w:trPr>
          <w:trHeight w:val="17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Comprehensive income to noncontrolling interest</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 attributable to CrowdStrike</w:t>
            </w:r>
          </w:p>
        </w:tc>
        <w:tc>
          <w:tcPr>
            <w:tcW w:w="9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(85,251)</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(21,235)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 w:name="page9"/>
    <w:bookmarkEnd w:id="8"/>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CrowdStrike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Stockholders’ Equity</w:t>
      </w:r>
    </w:p>
    <w:p>
      <w:pPr>
        <w:jc w:val="center"/>
        <w:spacing w:after="0"/>
        <w:rPr>
          <w:sz w:val="20"/>
          <w:szCs w:val="20"/>
          <w:color w:val="auto"/>
        </w:rPr>
      </w:pPr>
      <w:r>
        <w:rPr>
          <w:rFonts w:ascii="Arial" w:cs="Arial" w:eastAsia="Arial" w:hAnsi="Arial"/>
          <w:sz w:val="11"/>
          <w:szCs w:val="11"/>
          <w:b w:val="1"/>
          <w:bCs w:val="1"/>
          <w:color w:val="auto"/>
        </w:rPr>
        <w:t>Three Months Ended April 30, 2021 and 2020</w:t>
      </w:r>
    </w:p>
    <w:p>
      <w:pPr>
        <w:jc w:val="center"/>
        <w:spacing w:after="0"/>
        <w:rPr>
          <w:sz w:val="20"/>
          <w:szCs w:val="20"/>
          <w:color w:val="auto"/>
        </w:rPr>
      </w:pPr>
      <w:r>
        <w:rPr>
          <w:rFonts w:ascii="Arial" w:cs="Arial" w:eastAsia="Arial" w:hAnsi="Arial"/>
          <w:sz w:val="11"/>
          <w:szCs w:val="11"/>
          <w:i w:val="1"/>
          <w:iCs w:val="1"/>
          <w:color w:val="auto"/>
        </w:rPr>
        <w:t>(in thousands)</w:t>
      </w:r>
    </w:p>
    <w:p>
      <w:pPr>
        <w:jc w:val="center"/>
        <w:spacing w:after="0"/>
        <w:rPr>
          <w:sz w:val="20"/>
          <w:szCs w:val="20"/>
          <w:color w:val="auto"/>
        </w:rPr>
      </w:pPr>
      <w:r>
        <w:rPr>
          <w:rFonts w:ascii="Arial" w:cs="Arial" w:eastAsia="Arial" w:hAnsi="Arial"/>
          <w:sz w:val="11"/>
          <w:szCs w:val="11"/>
          <w:i w:val="1"/>
          <w:i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Additional 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Accumulated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7"/>
              </w:rPr>
              <w:t>Non-controlling</w:t>
            </w:r>
          </w:p>
        </w:tc>
        <w:tc>
          <w:tcPr>
            <w:tcW w:w="80" w:type="dxa"/>
            <w:vAlign w:val="bottom"/>
          </w:tcPr>
          <w:p>
            <w:pPr>
              <w:spacing w:after="0"/>
              <w:rPr>
                <w:sz w:val="12"/>
                <w:szCs w:val="12"/>
                <w:color w:val="auto"/>
              </w:rPr>
            </w:pPr>
          </w:p>
        </w:tc>
        <w:tc>
          <w:tcPr>
            <w:tcW w:w="1000" w:type="dxa"/>
            <w:vAlign w:val="bottom"/>
          </w:tcPr>
          <w:p>
            <w:pPr>
              <w:jc w:val="center"/>
              <w:ind w:right="28"/>
              <w:spacing w:after="0"/>
              <w:rPr>
                <w:sz w:val="20"/>
                <w:szCs w:val="20"/>
                <w:color w:val="auto"/>
              </w:rPr>
            </w:pPr>
            <w:r>
              <w:rPr>
                <w:rFonts w:ascii="Arial" w:cs="Arial" w:eastAsia="Arial" w:hAnsi="Arial"/>
                <w:sz w:val="11"/>
                <w:szCs w:val="11"/>
                <w:b w:val="1"/>
                <w:bCs w:val="1"/>
                <w:color w:val="auto"/>
                <w:w w:val="86"/>
              </w:rPr>
              <w:t>Total Stockholders’</w:t>
            </w: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3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90"/>
              </w:rPr>
              <w:t>Accumulated 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Comprehensive Income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5"/>
              </w:rPr>
              <w:t>Interest</w:t>
            </w:r>
          </w:p>
        </w:tc>
        <w:tc>
          <w:tcPr>
            <w:tcW w:w="80" w:type="dxa"/>
            <w:vAlign w:val="bottom"/>
          </w:tcPr>
          <w:p>
            <w:pPr>
              <w:spacing w:after="0"/>
              <w:rPr>
                <w:sz w:val="13"/>
                <w:szCs w:val="13"/>
                <w:color w:val="auto"/>
              </w:rPr>
            </w:pPr>
          </w:p>
        </w:tc>
        <w:tc>
          <w:tcPr>
            <w:tcW w:w="1000" w:type="dxa"/>
            <w:vAlign w:val="bottom"/>
          </w:tcPr>
          <w:p>
            <w:pPr>
              <w:jc w:val="center"/>
              <w:ind w:right="8"/>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45"/>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Balances at January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223,724</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112</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1,598,259</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(730,116)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2,319</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1,300</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871,874</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rPr>
              <w:t>Issuance of common stock upon exercise of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769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3,754</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Issuance of common stock under RSU release</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rPr>
              <w:t>Issuance of common stock related to early exercised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Vesting of early exercised options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797</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rPr>
              <w:t>Stock-based compensation expense</w:t>
            </w:r>
          </w:p>
        </w:tc>
        <w:tc>
          <w:tcPr>
            <w:tcW w:w="9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53,646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53,646</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Capitalized stock-based compensation</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1,733</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w w:val="94"/>
              </w:rPr>
              <w:t>Fair value of replacement equity awards attributable to pre-acquisition service</w:t>
            </w:r>
          </w:p>
        </w:tc>
        <w:tc>
          <w:tcPr>
            <w:tcW w:w="9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4,011</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(85,049)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(82,871)</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rPr>
              <w:t>Non-controlling interest</w:t>
            </w:r>
          </w:p>
        </w:tc>
        <w:tc>
          <w:tcPr>
            <w:tcW w:w="9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655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655</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139"/>
        </w:trPr>
        <w:tc>
          <w:tcPr>
            <w:tcW w:w="3600" w:type="dxa"/>
            <w:vAlign w:val="bottom"/>
            <w:gridSpan w:val="2"/>
          </w:tcPr>
          <w:p>
            <w:pPr>
              <w:ind w:left="20"/>
              <w:spacing w:after="0"/>
              <w:rPr>
                <w:sz w:val="20"/>
                <w:szCs w:val="20"/>
                <w:color w:val="auto"/>
              </w:rPr>
            </w:pPr>
            <w:r>
              <w:rPr>
                <w:rFonts w:ascii="Arial" w:cs="Arial" w:eastAsia="Arial" w:hAnsi="Arial"/>
                <w:sz w:val="11"/>
                <w:szCs w:val="11"/>
                <w:b w:val="1"/>
                <w:bCs w:val="1"/>
                <w:color w:val="auto"/>
              </w:rPr>
              <w:t>Balances at April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225,743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113</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1,662,199</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(815,165)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2,117</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4,133</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853,397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vMerge w:val="restart"/>
          </w:tcPr>
          <w:p>
            <w:pPr>
              <w:jc w:val="right"/>
              <w:ind w:right="37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5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gridSpan w:val="5"/>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tcPr>
          <w:p>
            <w:pPr>
              <w:jc w:val="center"/>
              <w:ind w:right="40"/>
              <w:spacing w:after="0" w:line="79" w:lineRule="exact"/>
              <w:rPr>
                <w:sz w:val="20"/>
                <w:szCs w:val="20"/>
                <w:color w:val="auto"/>
              </w:rPr>
            </w:pPr>
            <w:r>
              <w:rPr>
                <w:rFonts w:ascii="Arial" w:cs="Arial" w:eastAsia="Arial" w:hAnsi="Arial"/>
                <w:sz w:val="8"/>
                <w:szCs w:val="8"/>
                <w:b w:val="1"/>
                <w:bCs w:val="1"/>
                <w:color w:val="auto"/>
              </w:rPr>
              <w:t>Additional Paid-in</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3"/>
          </w:tcPr>
          <w:p>
            <w:pPr>
              <w:jc w:val="center"/>
              <w:ind w:right="40"/>
              <w:spacing w:after="0" w:line="79" w:lineRule="exact"/>
              <w:rPr>
                <w:sz w:val="20"/>
                <w:szCs w:val="20"/>
                <w:color w:val="auto"/>
              </w:rPr>
            </w:pPr>
            <w:r>
              <w:rPr>
                <w:rFonts w:ascii="Arial" w:cs="Arial" w:eastAsia="Arial" w:hAnsi="Arial"/>
                <w:sz w:val="8"/>
                <w:szCs w:val="8"/>
                <w:b w:val="1"/>
                <w:bCs w:val="1"/>
                <w:color w:val="auto"/>
              </w:rPr>
              <w:t>Comprehensive Income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tcPr>
          <w:p>
            <w:pPr>
              <w:jc w:val="center"/>
              <w:ind w:right="180"/>
              <w:spacing w:after="0" w:line="79" w:lineRule="exact"/>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6"/>
                <w:szCs w:val="6"/>
                <w:color w:val="auto"/>
              </w:rPr>
            </w:pPr>
          </w:p>
        </w:tc>
        <w:tc>
          <w:tcPr>
            <w:tcW w:w="1000" w:type="dxa"/>
            <w:vAlign w:val="bottom"/>
          </w:tcPr>
          <w:p>
            <w:pPr>
              <w:jc w:val="center"/>
              <w:ind w:right="28"/>
              <w:spacing w:after="0" w:line="79" w:lineRule="exact"/>
              <w:rPr>
                <w:sz w:val="20"/>
                <w:szCs w:val="20"/>
                <w:color w:val="auto"/>
              </w:rPr>
            </w:pPr>
            <w:r>
              <w:rPr>
                <w:rFonts w:ascii="Arial" w:cs="Arial" w:eastAsia="Arial" w:hAnsi="Arial"/>
                <w:sz w:val="8"/>
                <w:szCs w:val="8"/>
                <w:b w:val="1"/>
                <w:bCs w:val="1"/>
                <w:color w:val="auto"/>
              </w:rPr>
              <w:t>Total Stockholders’</w:t>
            </w: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jc w:val="right"/>
              <w:ind w:right="1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8"/>
              </w:rPr>
              <w:t>Accumulated 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5"/>
              </w:rPr>
              <w:t>Interest</w:t>
            </w:r>
          </w:p>
        </w:tc>
        <w:tc>
          <w:tcPr>
            <w:tcW w:w="80" w:type="dxa"/>
            <w:vAlign w:val="bottom"/>
          </w:tcPr>
          <w:p>
            <w:pPr>
              <w:spacing w:after="0"/>
              <w:rPr>
                <w:sz w:val="13"/>
                <w:szCs w:val="13"/>
                <w:color w:val="auto"/>
              </w:rPr>
            </w:pPr>
          </w:p>
        </w:tc>
        <w:tc>
          <w:tcPr>
            <w:tcW w:w="1000" w:type="dxa"/>
            <w:vAlign w:val="bottom"/>
          </w:tcPr>
          <w:p>
            <w:pPr>
              <w:jc w:val="center"/>
              <w:ind w:right="8"/>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45"/>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at January 31, 2020</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212,948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61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86"/>
              </w:rPr>
              <w:t>106</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1,378,479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(637,487)</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1,009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500</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742,607</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rPr>
              <w:t>Issuance of common stock upon exercise of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2,056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6,391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6,393</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Issuance of common stock under RSU release</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rPr>
              <w:t>Vesting of early exercised options</w:t>
            </w:r>
          </w:p>
        </w:tc>
        <w:tc>
          <w:tcPr>
            <w:tcW w:w="9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873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873</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23,638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23,638</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rPr>
              <w:t>Capitalized stock-based compensation</w:t>
            </w:r>
          </w:p>
        </w:tc>
        <w:tc>
          <w:tcPr>
            <w:tcW w:w="9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377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377</w:t>
            </w:r>
          </w:p>
        </w:tc>
        <w:tc>
          <w:tcPr>
            <w:tcW w:w="0" w:type="dxa"/>
            <w:vAlign w:val="bottom"/>
          </w:tcPr>
          <w:p>
            <w:pPr>
              <w:spacing w:after="0"/>
              <w:rPr>
                <w:sz w:val="1"/>
                <w:szCs w:val="1"/>
                <w:color w:val="auto"/>
              </w:rPr>
            </w:pPr>
          </w:p>
        </w:tc>
      </w:tr>
      <w:tr>
        <w:trPr>
          <w:trHeight w:val="154"/>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(19,222)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(19,222)</w:t>
            </w:r>
          </w:p>
        </w:tc>
        <w:tc>
          <w:tcPr>
            <w:tcW w:w="0" w:type="dxa"/>
            <w:vAlign w:val="bottom"/>
          </w:tcPr>
          <w:p>
            <w:pPr>
              <w:spacing w:after="0"/>
              <w:rPr>
                <w:sz w:val="1"/>
                <w:szCs w:val="1"/>
                <w:color w:val="auto"/>
              </w:rPr>
            </w:pPr>
          </w:p>
        </w:tc>
      </w:tr>
      <w:tr>
        <w:trPr>
          <w:trHeight w:val="142"/>
        </w:trPr>
        <w:tc>
          <w:tcPr>
            <w:tcW w:w="3600" w:type="dxa"/>
            <w:vAlign w:val="bottom"/>
            <w:gridSpan w:val="2"/>
          </w:tcPr>
          <w:p>
            <w:pPr>
              <w:ind w:left="20"/>
              <w:spacing w:after="0"/>
              <w:rPr>
                <w:sz w:val="20"/>
                <w:szCs w:val="20"/>
                <w:color w:val="auto"/>
              </w:rPr>
            </w:pPr>
            <w:r>
              <w:rPr>
                <w:rFonts w:ascii="Arial" w:cs="Arial" w:eastAsia="Arial" w:hAnsi="Arial"/>
                <w:sz w:val="11"/>
                <w:szCs w:val="11"/>
                <w:color w:val="auto"/>
              </w:rPr>
              <w:t>Non-controlling interest</w:t>
            </w:r>
          </w:p>
        </w:tc>
        <w:tc>
          <w:tcPr>
            <w:tcW w:w="9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500</w:t>
            </w:r>
          </w:p>
        </w:tc>
        <w:tc>
          <w:tcPr>
            <w:tcW w:w="0" w:type="dxa"/>
            <w:vAlign w:val="bottom"/>
          </w:tcPr>
          <w:p>
            <w:pPr>
              <w:spacing w:after="0"/>
              <w:rPr>
                <w:sz w:val="1"/>
                <w:szCs w:val="1"/>
                <w:color w:val="auto"/>
              </w:rPr>
            </w:pPr>
          </w:p>
        </w:tc>
      </w:tr>
      <w:tr>
        <w:trPr>
          <w:trHeight w:val="154"/>
        </w:trPr>
        <w:tc>
          <w:tcPr>
            <w:tcW w:w="3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(2,013)</w:t>
            </w:r>
          </w:p>
        </w:tc>
        <w:tc>
          <w:tcPr>
            <w:tcW w:w="0" w:type="dxa"/>
            <w:vAlign w:val="bottom"/>
          </w:tcPr>
          <w:p>
            <w:pPr>
              <w:spacing w:after="0"/>
              <w:rPr>
                <w:sz w:val="1"/>
                <w:szCs w:val="1"/>
                <w:color w:val="auto"/>
              </w:rPr>
            </w:pPr>
          </w:p>
        </w:tc>
      </w:tr>
      <w:tr>
        <w:trPr>
          <w:trHeight w:val="139"/>
        </w:trPr>
        <w:tc>
          <w:tcPr>
            <w:tcW w:w="3600" w:type="dxa"/>
            <w:vAlign w:val="bottom"/>
            <w:gridSpan w:val="2"/>
          </w:tcPr>
          <w:p>
            <w:pPr>
              <w:ind w:left="20"/>
              <w:spacing w:after="0"/>
              <w:rPr>
                <w:sz w:val="20"/>
                <w:szCs w:val="20"/>
                <w:color w:val="auto"/>
              </w:rPr>
            </w:pPr>
            <w:r>
              <w:rPr>
                <w:rFonts w:ascii="Arial" w:cs="Arial" w:eastAsia="Arial" w:hAnsi="Arial"/>
                <w:sz w:val="11"/>
                <w:szCs w:val="11"/>
                <w:b w:val="1"/>
                <w:bCs w:val="1"/>
                <w:color w:val="auto"/>
              </w:rPr>
              <w:t>Balances at April 30, 2020</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215,505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1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auto"/>
                <w:w w:val="86"/>
              </w:rPr>
              <w:t>108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1"/>
                <w:szCs w:val="11"/>
                <w:b w:val="1"/>
                <w:bCs w:val="1"/>
                <w:color w:val="auto"/>
                <w:w w:val="97"/>
              </w:rPr>
              <w:t>$</w:t>
            </w:r>
          </w:p>
        </w:tc>
        <w:tc>
          <w:tcPr>
            <w:tcW w:w="760" w:type="dxa"/>
            <w:vAlign w:val="bottom"/>
          </w:tcPr>
          <w:p>
            <w:pPr>
              <w:jc w:val="right"/>
              <w:ind w:right="7"/>
              <w:spacing w:after="0"/>
              <w:rPr>
                <w:sz w:val="20"/>
                <w:szCs w:val="20"/>
                <w:color w:val="auto"/>
              </w:rPr>
            </w:pPr>
            <w:r>
              <w:rPr>
                <w:rFonts w:ascii="Arial" w:cs="Arial" w:eastAsia="Arial" w:hAnsi="Arial"/>
                <w:sz w:val="11"/>
                <w:szCs w:val="11"/>
                <w:b w:val="1"/>
                <w:bCs w:val="1"/>
                <w:color w:val="auto"/>
              </w:rPr>
              <w:t>1,409,758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(656,709)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(1,004)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753,153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9" w:name="page10"/>
    <w:bookmarkEnd w:id="9"/>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CrowdStrike Holdings, Inc.</w:t>
      </w:r>
    </w:p>
    <w:p>
      <w:pPr>
        <w:jc w:val="center"/>
        <w:spacing w:after="0" w:line="200" w:lineRule="auto"/>
        <w:rPr>
          <w:sz w:val="20"/>
          <w:szCs w:val="20"/>
          <w:color w:val="auto"/>
        </w:rPr>
      </w:pPr>
      <w:r>
        <w:rPr>
          <w:rFonts w:ascii="Arial" w:cs="Arial" w:eastAsia="Arial" w:hAnsi="Arial"/>
          <w:sz w:val="11"/>
          <w:szCs w:val="11"/>
          <w:b w:val="1"/>
          <w:bCs w:val="1"/>
          <w:color w:val="auto"/>
        </w:rPr>
        <w:t>Condensed Consolidated Statements of Cash Flows</w:t>
      </w:r>
    </w:p>
    <w:p>
      <w:pPr>
        <w:jc w:val="center"/>
        <w:spacing w:after="0" w:line="201" w:lineRule="auto"/>
        <w:rPr>
          <w:sz w:val="20"/>
          <w:szCs w:val="20"/>
          <w:color w:val="auto"/>
        </w:rPr>
      </w:pPr>
      <w:r>
        <w:rPr>
          <w:rFonts w:ascii="Arial" w:cs="Arial" w:eastAsia="Arial" w:hAnsi="Arial"/>
          <w:sz w:val="11"/>
          <w:szCs w:val="11"/>
          <w:i w:val="1"/>
          <w:iCs w:val="1"/>
          <w:color w:val="auto"/>
        </w:rPr>
        <w:t>(in thousands)</w:t>
      </w:r>
    </w:p>
    <w:p>
      <w:pPr>
        <w:jc w:val="center"/>
        <w:spacing w:after="0"/>
        <w:rPr>
          <w:sz w:val="20"/>
          <w:szCs w:val="20"/>
          <w:color w:val="auto"/>
        </w:rPr>
      </w:pPr>
      <w:r>
        <w:rPr>
          <w:rFonts w:ascii="Arial" w:cs="Arial" w:eastAsia="Arial" w:hAnsi="Arial"/>
          <w:sz w:val="11"/>
          <w:szCs w:val="11"/>
          <w:i w:val="1"/>
          <w:i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1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2"/>
              </w:rPr>
              <w:t>Three Months Ended April 30,</w:t>
            </w:r>
          </w:p>
        </w:tc>
        <w:tc>
          <w:tcPr>
            <w:tcW w:w="880" w:type="dxa"/>
            <w:vAlign w:val="bottom"/>
            <w:tcBorders>
              <w:bottom w:val="single" w:sz="8" w:color="auto"/>
            </w:tcBorders>
          </w:tcPr>
          <w:p>
            <w:pPr>
              <w:spacing w:after="0"/>
              <w:rPr>
                <w:sz w:val="11"/>
                <w:szCs w:val="11"/>
                <w:color w:val="auto"/>
              </w:rPr>
            </w:pPr>
          </w:p>
        </w:tc>
      </w:tr>
      <w:tr>
        <w:trPr>
          <w:trHeight w:val="129"/>
        </w:trPr>
        <w:tc>
          <w:tcPr>
            <w:tcW w:w="81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b w:val="1"/>
                <w:bCs w:val="1"/>
                <w:color w:val="auto"/>
                <w:w w:val="98"/>
              </w:rPr>
              <w:t>2020</w:t>
            </w:r>
          </w:p>
        </w:tc>
      </w:tr>
      <w:tr>
        <w:trPr>
          <w:trHeight w:val="123"/>
        </w:trPr>
        <w:tc>
          <w:tcPr>
            <w:tcW w:w="8180" w:type="dxa"/>
            <w:vAlign w:val="bottom"/>
            <w:shd w:val="clear" w:color="auto" w:fill="CCEEFF"/>
          </w:tcPr>
          <w:p>
            <w:pPr>
              <w:ind w:left="20"/>
              <w:spacing w:after="0" w:line="112" w:lineRule="exact"/>
              <w:rPr>
                <w:sz w:val="20"/>
                <w:szCs w:val="20"/>
                <w:color w:val="auto"/>
              </w:rPr>
            </w:pPr>
            <w:r>
              <w:rPr>
                <w:rFonts w:ascii="Arial" w:cs="Arial" w:eastAsia="Arial" w:hAnsi="Arial"/>
                <w:sz w:val="10"/>
                <w:szCs w:val="10"/>
                <w:b w:val="1"/>
                <w:bCs w:val="1"/>
                <w:color w:val="auto"/>
              </w:rPr>
              <w:t>Operating activities</w:t>
            </w:r>
          </w:p>
        </w:tc>
        <w:tc>
          <w:tcPr>
            <w:tcW w:w="8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31"/>
        </w:trPr>
        <w:tc>
          <w:tcPr>
            <w:tcW w:w="8180" w:type="dxa"/>
            <w:vAlign w:val="bottom"/>
          </w:tcPr>
          <w:p>
            <w:pPr>
              <w:ind w:left="20"/>
              <w:spacing w:after="0"/>
              <w:rPr>
                <w:sz w:val="20"/>
                <w:szCs w:val="20"/>
                <w:color w:val="auto"/>
              </w:rPr>
            </w:pPr>
            <w:r>
              <w:rPr>
                <w:rFonts w:ascii="Arial" w:cs="Arial" w:eastAsia="Arial" w:hAnsi="Arial"/>
                <w:sz w:val="10"/>
                <w:szCs w:val="10"/>
                <w:color w:val="auto"/>
              </w:rPr>
              <w:t>Net loss</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(82,871)</w:t>
            </w:r>
          </w:p>
        </w:tc>
        <w:tc>
          <w:tcPr>
            <w:tcW w:w="100" w:type="dxa"/>
            <w:vAlign w:val="bottom"/>
          </w:tcPr>
          <w:p>
            <w:pPr>
              <w:spacing w:after="0"/>
              <w:rPr>
                <w:sz w:val="11"/>
                <w:szCs w:val="11"/>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(19,222)</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Adjustments to reconcile net loss to net cash provided by (used in) operating activities: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1"/>
        </w:trPr>
        <w:tc>
          <w:tcPr>
            <w:tcW w:w="818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11,955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8,202</w:t>
            </w:r>
          </w:p>
        </w:tc>
      </w:tr>
      <w:tr>
        <w:trPr>
          <w:trHeight w:val="144"/>
        </w:trPr>
        <w:tc>
          <w:tcPr>
            <w:tcW w:w="81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Loss on disposal of fixed assets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1"/>
        </w:trPr>
        <w:tc>
          <w:tcPr>
            <w:tcW w:w="8180" w:type="dxa"/>
            <w:vAlign w:val="bottom"/>
          </w:tcPr>
          <w:p>
            <w:pPr>
              <w:ind w:left="120"/>
              <w:spacing w:after="0"/>
              <w:rPr>
                <w:sz w:val="20"/>
                <w:szCs w:val="20"/>
                <w:color w:val="auto"/>
              </w:rPr>
            </w:pPr>
            <w:r>
              <w:rPr>
                <w:rFonts w:ascii="Arial" w:cs="Arial" w:eastAsia="Arial" w:hAnsi="Arial"/>
                <w:sz w:val="10"/>
                <w:szCs w:val="10"/>
                <w:color w:val="auto"/>
              </w:rPr>
              <w:t>Amortization of intangible assets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2,417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103</w:t>
            </w:r>
          </w:p>
        </w:tc>
      </w:tr>
      <w:tr>
        <w:trPr>
          <w:trHeight w:val="144"/>
        </w:trPr>
        <w:tc>
          <w:tcPr>
            <w:tcW w:w="81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Amortization of deferred contract acquisition costs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24,376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13,451</w:t>
            </w:r>
          </w:p>
        </w:tc>
      </w:tr>
      <w:tr>
        <w:trPr>
          <w:trHeight w:val="131"/>
        </w:trPr>
        <w:tc>
          <w:tcPr>
            <w:tcW w:w="8180" w:type="dxa"/>
            <w:vAlign w:val="bottom"/>
          </w:tcPr>
          <w:p>
            <w:pPr>
              <w:ind w:left="120"/>
              <w:spacing w:after="0"/>
              <w:rPr>
                <w:sz w:val="20"/>
                <w:szCs w:val="20"/>
                <w:color w:val="auto"/>
              </w:rPr>
            </w:pPr>
            <w:r>
              <w:rPr>
                <w:rFonts w:ascii="Arial" w:cs="Arial" w:eastAsia="Arial" w:hAnsi="Arial"/>
                <w:sz w:val="10"/>
                <w:szCs w:val="10"/>
                <w:color w:val="auto"/>
              </w:rPr>
              <w:t>Non-cash operating lease cost</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2,283</w:t>
            </w:r>
          </w:p>
        </w:tc>
      </w:tr>
      <w:tr>
        <w:trPr>
          <w:trHeight w:val="144"/>
        </w:trPr>
        <w:tc>
          <w:tcPr>
            <w:tcW w:w="81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Provision for bad debts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w:t>
            </w:r>
          </w:p>
        </w:tc>
      </w:tr>
      <w:tr>
        <w:trPr>
          <w:trHeight w:val="131"/>
        </w:trPr>
        <w:tc>
          <w:tcPr>
            <w:tcW w:w="8180" w:type="dxa"/>
            <w:vAlign w:val="bottom"/>
          </w:tcPr>
          <w:p>
            <w:pPr>
              <w:ind w:left="120"/>
              <w:spacing w:after="0"/>
              <w:rPr>
                <w:sz w:val="20"/>
                <w:szCs w:val="20"/>
                <w:color w:val="auto"/>
              </w:rPr>
            </w:pPr>
            <w:r>
              <w:rPr>
                <w:rFonts w:ascii="Arial" w:cs="Arial" w:eastAsia="Arial" w:hAnsi="Arial"/>
                <w:sz w:val="10"/>
                <w:szCs w:val="10"/>
                <w:color w:val="auto"/>
              </w:rPr>
              <w:t>Stock-based compensation expense</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54,362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23,638</w:t>
            </w:r>
          </w:p>
        </w:tc>
      </w:tr>
      <w:tr>
        <w:trPr>
          <w:trHeight w:val="144"/>
        </w:trPr>
        <w:tc>
          <w:tcPr>
            <w:tcW w:w="81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Gain on sale of debt securities, net</w:t>
            </w:r>
          </w:p>
        </w:tc>
        <w:tc>
          <w:tcPr>
            <w:tcW w:w="8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(1,347)</w:t>
            </w:r>
          </w:p>
        </w:tc>
      </w:tr>
      <w:tr>
        <w:trPr>
          <w:trHeight w:val="131"/>
        </w:trPr>
        <w:tc>
          <w:tcPr>
            <w:tcW w:w="8180" w:type="dxa"/>
            <w:vAlign w:val="bottom"/>
          </w:tcPr>
          <w:p>
            <w:pPr>
              <w:ind w:left="120"/>
              <w:spacing w:after="0"/>
              <w:rPr>
                <w:sz w:val="20"/>
                <w:szCs w:val="20"/>
                <w:color w:val="auto"/>
              </w:rPr>
            </w:pPr>
            <w:r>
              <w:rPr>
                <w:rFonts w:ascii="Arial" w:cs="Arial" w:eastAsia="Arial" w:hAnsi="Arial"/>
                <w:sz w:val="10"/>
                <w:szCs w:val="10"/>
                <w:color w:val="auto"/>
              </w:rPr>
              <w:t>Accretion of marketable securities purchased at a premium</w:t>
            </w:r>
          </w:p>
        </w:tc>
        <w:tc>
          <w:tcPr>
            <w:tcW w:w="88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578</w:t>
            </w:r>
          </w:p>
        </w:tc>
      </w:tr>
      <w:tr>
        <w:trPr>
          <w:trHeight w:val="144"/>
        </w:trPr>
        <w:tc>
          <w:tcPr>
            <w:tcW w:w="81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Non-cash interest expense</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w:t>
            </w:r>
          </w:p>
        </w:tc>
      </w:tr>
      <w:tr>
        <w:trPr>
          <w:trHeight w:val="131"/>
        </w:trPr>
        <w:tc>
          <w:tcPr>
            <w:tcW w:w="8180" w:type="dxa"/>
            <w:vAlign w:val="bottom"/>
          </w:tcPr>
          <w:p>
            <w:pPr>
              <w:ind w:left="120"/>
              <w:spacing w:after="0"/>
              <w:rPr>
                <w:sz w:val="20"/>
                <w:szCs w:val="20"/>
                <w:color w:val="auto"/>
              </w:rPr>
            </w:pPr>
            <w:r>
              <w:rPr>
                <w:rFonts w:ascii="Arial" w:cs="Arial" w:eastAsia="Arial" w:hAnsi="Arial"/>
                <w:sz w:val="10"/>
                <w:szCs w:val="10"/>
                <w:color w:val="auto"/>
              </w:rPr>
              <w:t>Change in fair value of strategic investments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(4,356)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81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Changes in operating assets and liabilities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1"/>
        </w:trPr>
        <w:tc>
          <w:tcPr>
            <w:tcW w:w="8180" w:type="dxa"/>
            <w:vAlign w:val="bottom"/>
          </w:tcPr>
          <w:p>
            <w:pPr>
              <w:ind w:left="180"/>
              <w:spacing w:after="0"/>
              <w:rPr>
                <w:sz w:val="20"/>
                <w:szCs w:val="20"/>
                <w:color w:val="auto"/>
              </w:rPr>
            </w:pPr>
            <w:r>
              <w:rPr>
                <w:rFonts w:ascii="Arial" w:cs="Arial" w:eastAsia="Arial" w:hAnsi="Arial"/>
                <w:sz w:val="10"/>
                <w:szCs w:val="10"/>
                <w:color w:val="auto"/>
              </w:rPr>
              <w:t>Accounts receivable</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31,466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20,651</w:t>
            </w:r>
          </w:p>
        </w:tc>
      </w:tr>
      <w:tr>
        <w:trPr>
          <w:trHeight w:val="144"/>
        </w:trPr>
        <w:tc>
          <w:tcPr>
            <w:tcW w:w="81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Deferred contract acquisition costs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(36,400)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(22,563)</w:t>
            </w:r>
          </w:p>
        </w:tc>
      </w:tr>
      <w:tr>
        <w:trPr>
          <w:trHeight w:val="131"/>
        </w:trPr>
        <w:tc>
          <w:tcPr>
            <w:tcW w:w="8180" w:type="dxa"/>
            <w:vAlign w:val="bottom"/>
          </w:tcPr>
          <w:p>
            <w:pPr>
              <w:ind w:left="180"/>
              <w:spacing w:after="0"/>
              <w:rPr>
                <w:sz w:val="20"/>
                <w:szCs w:val="20"/>
                <w:color w:val="auto"/>
              </w:rPr>
            </w:pPr>
            <w:r>
              <w:rPr>
                <w:rFonts w:ascii="Arial" w:cs="Arial" w:eastAsia="Arial" w:hAnsi="Arial"/>
                <w:sz w:val="10"/>
                <w:szCs w:val="10"/>
                <w:color w:val="auto"/>
              </w:rPr>
              <w:t>Prepaid expenses and other assets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(769)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5,332</w:t>
            </w:r>
          </w:p>
        </w:tc>
      </w:tr>
      <w:tr>
        <w:trPr>
          <w:trHeight w:val="144"/>
        </w:trPr>
        <w:tc>
          <w:tcPr>
            <w:tcW w:w="81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Accounts payable</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(10,562)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4,736</w:t>
            </w:r>
          </w:p>
        </w:tc>
      </w:tr>
      <w:tr>
        <w:trPr>
          <w:trHeight w:val="131"/>
        </w:trPr>
        <w:tc>
          <w:tcPr>
            <w:tcW w:w="8180" w:type="dxa"/>
            <w:vAlign w:val="bottom"/>
          </w:tcPr>
          <w:p>
            <w:pPr>
              <w:ind w:left="180"/>
              <w:spacing w:after="0"/>
              <w:rPr>
                <w:sz w:val="20"/>
                <w:szCs w:val="20"/>
                <w:color w:val="auto"/>
              </w:rPr>
            </w:pPr>
            <w:r>
              <w:rPr>
                <w:rFonts w:ascii="Arial" w:cs="Arial" w:eastAsia="Arial" w:hAnsi="Arial"/>
                <w:sz w:val="10"/>
                <w:szCs w:val="10"/>
                <w:color w:val="auto"/>
              </w:rPr>
              <w:t>Accrued expenses and other current liabilities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29,229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(1,095)</w:t>
            </w:r>
          </w:p>
        </w:tc>
      </w:tr>
      <w:tr>
        <w:trPr>
          <w:trHeight w:val="144"/>
        </w:trPr>
        <w:tc>
          <w:tcPr>
            <w:tcW w:w="81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Accrued payroll and benefits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648</w:t>
            </w:r>
          </w:p>
        </w:tc>
      </w:tr>
      <w:tr>
        <w:trPr>
          <w:trHeight w:val="131"/>
        </w:trPr>
        <w:tc>
          <w:tcPr>
            <w:tcW w:w="8180" w:type="dxa"/>
            <w:vAlign w:val="bottom"/>
          </w:tcPr>
          <w:p>
            <w:pPr>
              <w:ind w:left="180"/>
              <w:spacing w:after="0"/>
              <w:rPr>
                <w:sz w:val="20"/>
                <w:szCs w:val="20"/>
                <w:color w:val="auto"/>
              </w:rPr>
            </w:pPr>
            <w:r>
              <w:rPr>
                <w:rFonts w:ascii="Arial" w:cs="Arial" w:eastAsia="Arial" w:hAnsi="Arial"/>
                <w:sz w:val="10"/>
                <w:szCs w:val="10"/>
                <w:color w:val="auto"/>
              </w:rPr>
              <w:t>Operating lease liabilities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(2,555)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(2,975)</w:t>
            </w:r>
          </w:p>
        </w:tc>
      </w:tr>
      <w:tr>
        <w:trPr>
          <w:trHeight w:val="144"/>
        </w:trPr>
        <w:tc>
          <w:tcPr>
            <w:tcW w:w="81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Deferred revenue</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109,376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64,805</w:t>
            </w:r>
          </w:p>
        </w:tc>
      </w:tr>
      <w:tr>
        <w:trPr>
          <w:trHeight w:val="131"/>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Other liabilities</w:t>
            </w:r>
          </w:p>
        </w:tc>
        <w:tc>
          <w:tcPr>
            <w:tcW w:w="8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12,828</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1,052</w:t>
            </w:r>
          </w:p>
        </w:tc>
      </w:tr>
      <w:tr>
        <w:trPr>
          <w:trHeight w:val="135"/>
        </w:trPr>
        <w:tc>
          <w:tcPr>
            <w:tcW w:w="8180" w:type="dxa"/>
            <w:vAlign w:val="bottom"/>
            <w:shd w:val="clear" w:color="auto" w:fill="CCEEFF"/>
          </w:tcPr>
          <w:p>
            <w:pPr>
              <w:ind w:left="280"/>
              <w:spacing w:after="0" w:line="111" w:lineRule="exact"/>
              <w:rPr>
                <w:sz w:val="20"/>
                <w:szCs w:val="20"/>
                <w:color w:val="auto"/>
              </w:rPr>
            </w:pPr>
            <w:r>
              <w:rPr>
                <w:rFonts w:ascii="Arial" w:cs="Arial" w:eastAsia="Arial" w:hAnsi="Arial"/>
                <w:sz w:val="10"/>
                <w:szCs w:val="10"/>
                <w:color w:val="auto"/>
              </w:rPr>
              <w:t>Net cash provided by operating activities</w:t>
            </w:r>
          </w:p>
        </w:tc>
        <w:tc>
          <w:tcPr>
            <w:tcW w:w="8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147,533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98,577</w:t>
            </w:r>
          </w:p>
        </w:tc>
      </w:tr>
      <w:tr>
        <w:trPr>
          <w:trHeight w:val="132"/>
        </w:trPr>
        <w:tc>
          <w:tcPr>
            <w:tcW w:w="8180" w:type="dxa"/>
            <w:vAlign w:val="bottom"/>
          </w:tcPr>
          <w:p>
            <w:pPr>
              <w:ind w:left="20"/>
              <w:spacing w:after="0"/>
              <w:rPr>
                <w:sz w:val="20"/>
                <w:szCs w:val="20"/>
                <w:color w:val="auto"/>
              </w:rPr>
            </w:pPr>
            <w:r>
              <w:rPr>
                <w:rFonts w:ascii="Arial" w:cs="Arial" w:eastAsia="Arial" w:hAnsi="Arial"/>
                <w:sz w:val="10"/>
                <w:szCs w:val="10"/>
                <w:b w:val="1"/>
                <w:bCs w:val="1"/>
                <w:color w:val="auto"/>
              </w:rPr>
              <w:t>Investing activities</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3"/>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Purchases of property and equipment</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(25,796)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(9,694)</w:t>
            </w:r>
          </w:p>
        </w:tc>
      </w:tr>
      <w:tr>
        <w:trPr>
          <w:trHeight w:val="131"/>
        </w:trPr>
        <w:tc>
          <w:tcPr>
            <w:tcW w:w="8180" w:type="dxa"/>
            <w:vAlign w:val="bottom"/>
          </w:tcPr>
          <w:p>
            <w:pPr>
              <w:ind w:left="20"/>
              <w:spacing w:after="0"/>
              <w:rPr>
                <w:sz w:val="20"/>
                <w:szCs w:val="20"/>
                <w:color w:val="auto"/>
              </w:rPr>
            </w:pPr>
            <w:r>
              <w:rPr>
                <w:rFonts w:ascii="Arial" w:cs="Arial" w:eastAsia="Arial" w:hAnsi="Arial"/>
                <w:sz w:val="10"/>
                <w:szCs w:val="10"/>
                <w:color w:val="auto"/>
              </w:rPr>
              <w:t>Capitalized internal-use software and website development</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(4,434)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(1,882)</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 of strategic investments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1"/>
        </w:trPr>
        <w:tc>
          <w:tcPr>
            <w:tcW w:w="8180" w:type="dxa"/>
            <w:vAlign w:val="bottom"/>
          </w:tcPr>
          <w:p>
            <w:pPr>
              <w:ind w:left="20"/>
              <w:spacing w:after="0"/>
              <w:rPr>
                <w:sz w:val="20"/>
                <w:szCs w:val="20"/>
                <w:color w:val="auto"/>
              </w:rPr>
            </w:pPr>
            <w:r>
              <w:rPr>
                <w:rFonts w:ascii="Arial" w:cs="Arial" w:eastAsia="Arial" w:hAnsi="Arial"/>
                <w:sz w:val="10"/>
                <w:szCs w:val="10"/>
                <w:color w:val="auto"/>
              </w:rPr>
              <w:t>Business acquisition, net of cash acquired</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(353,407)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Purchases of marketable securities</w:t>
            </w:r>
          </w:p>
        </w:tc>
        <w:tc>
          <w:tcPr>
            <w:tcW w:w="8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(84,904)</w:t>
            </w:r>
          </w:p>
        </w:tc>
      </w:tr>
      <w:tr>
        <w:trPr>
          <w:trHeight w:val="131"/>
        </w:trPr>
        <w:tc>
          <w:tcPr>
            <w:tcW w:w="8180" w:type="dxa"/>
            <w:vAlign w:val="bottom"/>
          </w:tcPr>
          <w:p>
            <w:pPr>
              <w:ind w:left="20"/>
              <w:spacing w:after="0"/>
              <w:rPr>
                <w:sz w:val="20"/>
                <w:szCs w:val="20"/>
                <w:color w:val="auto"/>
              </w:rPr>
            </w:pPr>
            <w:r>
              <w:rPr>
                <w:rFonts w:ascii="Arial" w:cs="Arial" w:eastAsia="Arial" w:hAnsi="Arial"/>
                <w:sz w:val="10"/>
                <w:szCs w:val="10"/>
                <w:color w:val="auto"/>
              </w:rPr>
              <w:t>Proceeds from sales of marketable securities</w:t>
            </w:r>
          </w:p>
        </w:tc>
        <w:tc>
          <w:tcPr>
            <w:tcW w:w="88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639,586</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Maturities of marketable securities</w:t>
            </w:r>
          </w:p>
        </w:tc>
        <w:tc>
          <w:tcPr>
            <w:tcW w:w="8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91,605</w:t>
            </w:r>
          </w:p>
        </w:tc>
      </w:tr>
      <w:tr>
        <w:trPr>
          <w:trHeight w:val="121"/>
        </w:trPr>
        <w:tc>
          <w:tcPr>
            <w:tcW w:w="8180" w:type="dxa"/>
            <w:vAlign w:val="bottom"/>
          </w:tcPr>
          <w:p>
            <w:pPr>
              <w:ind w:left="280"/>
              <w:spacing w:after="0" w:line="104" w:lineRule="exact"/>
              <w:rPr>
                <w:sz w:val="20"/>
                <w:szCs w:val="20"/>
                <w:color w:val="auto"/>
              </w:rPr>
            </w:pPr>
            <w:r>
              <w:rPr>
                <w:rFonts w:ascii="Arial" w:cs="Arial" w:eastAsia="Arial" w:hAnsi="Arial"/>
                <w:sz w:val="10"/>
                <w:szCs w:val="10"/>
                <w:color w:val="auto"/>
              </w:rPr>
              <w:t>Net cash (used in) provided by investing activities</w:t>
            </w:r>
          </w:p>
        </w:tc>
        <w:tc>
          <w:tcPr>
            <w:tcW w:w="8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(384,946)</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634,711</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Financing activities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31"/>
        </w:trPr>
        <w:tc>
          <w:tcPr>
            <w:tcW w:w="8180" w:type="dxa"/>
            <w:vAlign w:val="bottom"/>
          </w:tcPr>
          <w:p>
            <w:pPr>
              <w:ind w:left="20"/>
              <w:spacing w:after="0"/>
              <w:rPr>
                <w:sz w:val="20"/>
                <w:szCs w:val="20"/>
                <w:color w:val="auto"/>
              </w:rPr>
            </w:pPr>
            <w:r>
              <w:rPr>
                <w:rFonts w:ascii="Arial" w:cs="Arial" w:eastAsia="Arial" w:hAnsi="Arial"/>
                <w:sz w:val="10"/>
                <w:szCs w:val="10"/>
                <w:color w:val="auto"/>
              </w:rPr>
              <w:t>Payment of debt issuance costs related to revolving line of credit</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Payment of debt issuance costs related to Senior Notes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1"/>
        </w:trPr>
        <w:tc>
          <w:tcPr>
            <w:tcW w:w="8180" w:type="dxa"/>
            <w:vAlign w:val="bottom"/>
          </w:tcPr>
          <w:p>
            <w:pPr>
              <w:ind w:left="20"/>
              <w:spacing w:after="0"/>
              <w:rPr>
                <w:sz w:val="20"/>
                <w:szCs w:val="20"/>
                <w:color w:val="auto"/>
              </w:rPr>
            </w:pPr>
            <w:r>
              <w:rPr>
                <w:rFonts w:ascii="Arial" w:cs="Arial" w:eastAsia="Arial" w:hAnsi="Arial"/>
                <w:sz w:val="10"/>
                <w:szCs w:val="10"/>
                <w:color w:val="auto"/>
              </w:rPr>
              <w:t>Proceeds from issuance of common stock upon exercise of stock options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3,754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6,393</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Capital contributions from non-controlling interest holders</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655</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500</w:t>
            </w:r>
          </w:p>
        </w:tc>
      </w:tr>
      <w:tr>
        <w:trPr>
          <w:trHeight w:val="121"/>
        </w:trPr>
        <w:tc>
          <w:tcPr>
            <w:tcW w:w="8180" w:type="dxa"/>
            <w:vAlign w:val="bottom"/>
          </w:tcPr>
          <w:p>
            <w:pPr>
              <w:ind w:left="280"/>
              <w:spacing w:after="0" w:line="104" w:lineRule="exact"/>
              <w:rPr>
                <w:sz w:val="20"/>
                <w:szCs w:val="20"/>
                <w:color w:val="auto"/>
              </w:rPr>
            </w:pPr>
            <w:r>
              <w:rPr>
                <w:rFonts w:ascii="Arial" w:cs="Arial" w:eastAsia="Arial" w:hAnsi="Arial"/>
                <w:sz w:val="10"/>
                <w:szCs w:val="10"/>
                <w:color w:val="auto"/>
              </w:rPr>
              <w:t>Net cash provided by financing activities</w:t>
            </w:r>
          </w:p>
        </w:tc>
        <w:tc>
          <w:tcPr>
            <w:tcW w:w="8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2,609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6,893</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Effect of foreign exchange rates on cash and cash equivalents</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1,193</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w:t>
            </w:r>
          </w:p>
        </w:tc>
      </w:tr>
      <w:tr>
        <w:trPr>
          <w:trHeight w:val="121"/>
        </w:trPr>
        <w:tc>
          <w:tcPr>
            <w:tcW w:w="8180" w:type="dxa"/>
            <w:vAlign w:val="bottom"/>
          </w:tcPr>
          <w:p>
            <w:pPr>
              <w:ind w:left="280"/>
              <w:spacing w:after="0" w:line="104" w:lineRule="exact"/>
              <w:rPr>
                <w:sz w:val="20"/>
                <w:szCs w:val="20"/>
                <w:color w:val="auto"/>
              </w:rPr>
            </w:pPr>
            <w:r>
              <w:rPr>
                <w:rFonts w:ascii="Arial" w:cs="Arial" w:eastAsia="Arial" w:hAnsi="Arial"/>
                <w:sz w:val="10"/>
                <w:szCs w:val="10"/>
                <w:color w:val="auto"/>
              </w:rPr>
              <w:t>Net (decrease) increase in cash and cash equivalents</w:t>
            </w:r>
          </w:p>
        </w:tc>
        <w:tc>
          <w:tcPr>
            <w:tcW w:w="8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(233,611)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740,193</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and cash equivalents,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1,918,608</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264,798</w:t>
            </w:r>
          </w:p>
        </w:tc>
      </w:tr>
      <w:tr>
        <w:trPr>
          <w:trHeight w:val="121"/>
        </w:trPr>
        <w:tc>
          <w:tcPr>
            <w:tcW w:w="8180" w:type="dxa"/>
            <w:vAlign w:val="bottom"/>
          </w:tcPr>
          <w:p>
            <w:pPr>
              <w:ind w:left="20"/>
              <w:spacing w:after="0" w:line="114" w:lineRule="exact"/>
              <w:rPr>
                <w:sz w:val="20"/>
                <w:szCs w:val="20"/>
                <w:color w:val="auto"/>
              </w:rPr>
            </w:pPr>
            <w:r>
              <w:rPr>
                <w:rFonts w:ascii="Arial" w:cs="Arial" w:eastAsia="Arial" w:hAnsi="Arial"/>
                <w:sz w:val="10"/>
                <w:szCs w:val="10"/>
                <w:color w:val="auto"/>
              </w:rPr>
              <w:t>Cash and cash equivalents, end of period</w:t>
            </w: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1,684,997</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1,004,991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06"/>
        </w:trPr>
        <w:tc>
          <w:tcPr>
            <w:tcW w:w="8180" w:type="dxa"/>
            <w:vAlign w:val="bottom"/>
            <w:shd w:val="clear" w:color="auto" w:fill="CCEEFF"/>
          </w:tcPr>
          <w:p>
            <w:pPr>
              <w:ind w:left="20"/>
              <w:spacing w:after="0" w:line="106" w:lineRule="exact"/>
              <w:rPr>
                <w:sz w:val="20"/>
                <w:szCs w:val="20"/>
                <w:color w:val="auto"/>
              </w:rPr>
            </w:pPr>
            <w:r>
              <w:rPr>
                <w:rFonts w:ascii="Arial" w:cs="Arial" w:eastAsia="Arial" w:hAnsi="Arial"/>
                <w:sz w:val="10"/>
                <w:szCs w:val="10"/>
                <w:b w:val="1"/>
                <w:bCs w:val="1"/>
                <w:color w:val="auto"/>
              </w:rPr>
              <w:t>Supplemental disclosure of cash flow information:</w:t>
            </w:r>
          </w:p>
        </w:tc>
        <w:tc>
          <w:tcPr>
            <w:tcW w:w="8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131"/>
        </w:trPr>
        <w:tc>
          <w:tcPr>
            <w:tcW w:w="8180" w:type="dxa"/>
            <w:vAlign w:val="bottom"/>
          </w:tcPr>
          <w:p>
            <w:pPr>
              <w:ind w:left="20"/>
              <w:spacing w:after="0"/>
              <w:rPr>
                <w:sz w:val="20"/>
                <w:szCs w:val="20"/>
                <w:color w:val="auto"/>
              </w:rPr>
            </w:pPr>
            <w:r>
              <w:rPr>
                <w:rFonts w:ascii="Arial" w:cs="Arial" w:eastAsia="Arial" w:hAnsi="Arial"/>
                <w:sz w:val="10"/>
                <w:szCs w:val="10"/>
                <w:color w:val="auto"/>
              </w:rPr>
              <w:t>Interest paid</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taxes paid, net of refunds received</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w:t>
            </w:r>
          </w:p>
        </w:tc>
      </w:tr>
      <w:tr>
        <w:trPr>
          <w:trHeight w:val="132"/>
        </w:trPr>
        <w:tc>
          <w:tcPr>
            <w:tcW w:w="8180" w:type="dxa"/>
            <w:vAlign w:val="bottom"/>
          </w:tcPr>
          <w:p>
            <w:pPr>
              <w:ind w:left="20"/>
              <w:spacing w:after="0"/>
              <w:rPr>
                <w:sz w:val="20"/>
                <w:szCs w:val="20"/>
                <w:color w:val="auto"/>
              </w:rPr>
            </w:pPr>
            <w:r>
              <w:rPr>
                <w:rFonts w:ascii="Arial" w:cs="Arial" w:eastAsia="Arial" w:hAnsi="Arial"/>
                <w:sz w:val="10"/>
                <w:szCs w:val="10"/>
                <w:b w:val="1"/>
                <w:bCs w:val="1"/>
                <w:color w:val="auto"/>
              </w:rPr>
              <w:t>Supplemental disclosure of non-cash investing and financing activities:</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3"/>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increase (decrease) in property and equipment included in accounts payable and accrued expenses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(723)</w:t>
            </w:r>
          </w:p>
        </w:tc>
      </w:tr>
      <w:tr>
        <w:trPr>
          <w:trHeight w:val="131"/>
        </w:trPr>
        <w:tc>
          <w:tcPr>
            <w:tcW w:w="8180" w:type="dxa"/>
            <w:vAlign w:val="bottom"/>
          </w:tcPr>
          <w:p>
            <w:pPr>
              <w:ind w:left="20"/>
              <w:spacing w:after="0"/>
              <w:rPr>
                <w:sz w:val="20"/>
                <w:szCs w:val="20"/>
                <w:color w:val="auto"/>
              </w:rPr>
            </w:pPr>
            <w:r>
              <w:rPr>
                <w:rFonts w:ascii="Arial" w:cs="Arial" w:eastAsia="Arial" w:hAnsi="Arial"/>
                <w:sz w:val="10"/>
                <w:szCs w:val="10"/>
                <w:color w:val="auto"/>
              </w:rPr>
              <w:t>Vesting of early exercised stock options</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797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873</w:t>
            </w:r>
          </w:p>
        </w:tc>
      </w:tr>
      <w:tr>
        <w:trPr>
          <w:trHeight w:val="144"/>
        </w:trPr>
        <w:tc>
          <w:tcPr>
            <w:tcW w:w="8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consideration for acquisitions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4,011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8180" w:type="dxa"/>
            <w:vAlign w:val="bottom"/>
          </w:tcPr>
          <w:p>
            <w:pPr>
              <w:ind w:left="20"/>
              <w:spacing w:after="0"/>
              <w:rPr>
                <w:sz w:val="20"/>
                <w:szCs w:val="20"/>
                <w:color w:val="auto"/>
              </w:rPr>
            </w:pPr>
            <w:r>
              <w:rPr>
                <w:rFonts w:ascii="Arial" w:cs="Arial" w:eastAsia="Arial" w:hAnsi="Arial"/>
                <w:sz w:val="10"/>
                <w:szCs w:val="10"/>
                <w:color w:val="auto"/>
              </w:rPr>
              <w:t>Operating lease liabilities arising from obtaining operating right of-use assets</w:t>
            </w:r>
          </w:p>
        </w:tc>
        <w:tc>
          <w:tcPr>
            <w:tcW w:w="8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2,591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w:t>
            </w: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condensed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0" w:name="page11"/>
    <w:bookmarkEnd w:id="1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167" w:lineRule="exact"/>
        <w:rPr>
          <w:sz w:val="20"/>
          <w:szCs w:val="20"/>
          <w:color w:val="auto"/>
        </w:rPr>
      </w:pPr>
    </w:p>
    <w:p>
      <w:pPr>
        <w:ind w:left="520" w:right="8120" w:hanging="515"/>
        <w:spacing w:after="0" w:line="504" w:lineRule="auto"/>
        <w:tabs>
          <w:tab w:leader="none" w:pos="259"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Description of Business and Basis of Presentation Business</w:t>
      </w:r>
    </w:p>
    <w:p>
      <w:pPr>
        <w:spacing w:after="0" w:line="1" w:lineRule="exact"/>
        <w:rPr>
          <w:sz w:val="20"/>
          <w:szCs w:val="20"/>
          <w:color w:val="auto"/>
        </w:rPr>
      </w:pPr>
    </w:p>
    <w:p>
      <w:pPr>
        <w:ind w:right="80" w:firstLine="508"/>
        <w:spacing w:after="0" w:line="259" w:lineRule="auto"/>
        <w:rPr>
          <w:sz w:val="20"/>
          <w:szCs w:val="20"/>
          <w:color w:val="auto"/>
        </w:rPr>
      </w:pPr>
      <w:r>
        <w:rPr>
          <w:rFonts w:ascii="Arial" w:cs="Arial" w:eastAsia="Arial" w:hAnsi="Arial"/>
          <w:sz w:val="14"/>
          <w:szCs w:val="14"/>
          <w:color w:val="auto"/>
        </w:rPr>
        <w:t>CrowdStrike Holdings, Inc. (the “Company”) was formed on November 7, 2011. The Company provides a leading cloud-delivered solution for next-generation endpoint and cloud workload protection that offers 19 cloud modules and its Falcon platform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 is headquartered in Sunnyvale, California. The Company conducts its business in the United States, as well as locations internationally, including in Australia, Germany, India, Israel, Romania, and the United Kingdom.</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78" w:lineRule="exact"/>
        <w:rPr>
          <w:sz w:val="20"/>
          <w:szCs w:val="20"/>
          <w:color w:val="auto"/>
        </w:rPr>
      </w:pPr>
    </w:p>
    <w:p>
      <w:pPr>
        <w:ind w:right="40" w:firstLine="508"/>
        <w:spacing w:after="0" w:line="279" w:lineRule="auto"/>
        <w:rPr>
          <w:sz w:val="20"/>
          <w:szCs w:val="20"/>
          <w:color w:val="auto"/>
        </w:rPr>
      </w:pPr>
      <w:r>
        <w:rPr>
          <w:rFonts w:ascii="Arial" w:cs="Arial" w:eastAsia="Arial" w:hAnsi="Arial"/>
          <w:sz w:val="13"/>
          <w:szCs w:val="13"/>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2021,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months ended April 30, 2021 are not necessarily indicative of the results to be expected for the year ending January 31, 2022 or for any other interim period or for any other future year.</w:t>
      </w:r>
    </w:p>
    <w:p>
      <w:pPr>
        <w:spacing w:after="0" w:line="138" w:lineRule="exact"/>
        <w:rPr>
          <w:sz w:val="20"/>
          <w:szCs w:val="20"/>
          <w:color w:val="auto"/>
        </w:rPr>
      </w:pPr>
    </w:p>
    <w:p>
      <w:pPr>
        <w:ind w:left="520" w:right="8440" w:hanging="515"/>
        <w:spacing w:after="0" w:line="543" w:lineRule="auto"/>
        <w:tabs>
          <w:tab w:leader="none" w:pos="259" w:val="left"/>
        </w:tabs>
        <w:numPr>
          <w:ilvl w:val="0"/>
          <w:numId w:val="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Summary of Significant Accounting Policies Principles of Consolidation</w:t>
      </w:r>
    </w:p>
    <w:p>
      <w:pPr>
        <w:spacing w:after="0" w:line="1" w:lineRule="exact"/>
        <w:rPr>
          <w:sz w:val="20"/>
          <w:szCs w:val="20"/>
          <w:color w:val="auto"/>
        </w:rPr>
      </w:pPr>
    </w:p>
    <w:p>
      <w:pPr>
        <w:ind w:right="20" w:firstLine="508"/>
        <w:spacing w:after="0" w:line="280" w:lineRule="auto"/>
        <w:rPr>
          <w:sz w:val="20"/>
          <w:szCs w:val="20"/>
          <w:color w:val="auto"/>
        </w:rPr>
      </w:pPr>
      <w:r>
        <w:rPr>
          <w:rFonts w:ascii="Arial" w:cs="Arial" w:eastAsia="Arial" w:hAnsi="Arial"/>
          <w:sz w:val="14"/>
          <w:szCs w:val="14"/>
          <w:color w:val="auto"/>
        </w:rPr>
        <w:t>The condensed consolidated financial statements include the accounts of the Company and its wholly owned subsidiaries. All intercompany balances and transactions have been eliminated in consolidation.</w:t>
      </w:r>
    </w:p>
    <w:p>
      <w:pPr>
        <w:spacing w:after="0" w:line="132" w:lineRule="exact"/>
        <w:rPr>
          <w:sz w:val="20"/>
          <w:szCs w:val="20"/>
          <w:color w:val="auto"/>
        </w:rPr>
      </w:pPr>
    </w:p>
    <w:p>
      <w:pPr>
        <w:ind w:right="200" w:firstLine="508"/>
        <w:spacing w:after="0" w:line="261" w:lineRule="auto"/>
        <w:rPr>
          <w:sz w:val="20"/>
          <w:szCs w:val="20"/>
          <w:color w:val="auto"/>
        </w:rPr>
      </w:pPr>
      <w:r>
        <w:rPr>
          <w:rFonts w:ascii="Arial" w:cs="Arial" w:eastAsia="Arial" w:hAnsi="Arial"/>
          <w:sz w:val="14"/>
          <w:szCs w:val="14"/>
          <w:color w:val="auto"/>
        </w:rPr>
        <w:t>Certain information and footnote disclosures normally included in the financial statements prepared in accordance with U.S. GAAP have been condensed or omitted pursuant to the applicable required disclosures and regulations of the SEC. Therefore, 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2021, filed with the SEC on March 18, 2021.</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78" w:lineRule="exact"/>
        <w:rPr>
          <w:sz w:val="20"/>
          <w:szCs w:val="20"/>
          <w:color w:val="auto"/>
        </w:rPr>
      </w:pPr>
    </w:p>
    <w:p>
      <w:pPr>
        <w:ind w:firstLine="508"/>
        <w:spacing w:after="0" w:line="261"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67" w:lineRule="exact"/>
        <w:rPr>
          <w:sz w:val="20"/>
          <w:szCs w:val="20"/>
          <w:color w:val="auto"/>
        </w:rPr>
      </w:pPr>
    </w:p>
    <w:p>
      <w:pPr>
        <w:ind w:right="40" w:firstLine="508"/>
        <w:spacing w:after="0" w:line="245" w:lineRule="auto"/>
        <w:rPr>
          <w:sz w:val="20"/>
          <w:szCs w:val="20"/>
          <w:color w:val="auto"/>
        </w:rPr>
      </w:pPr>
      <w:r>
        <w:rPr>
          <w:rFonts w:ascii="Arial" w:cs="Arial" w:eastAsia="Arial" w:hAnsi="Arial"/>
          <w:sz w:val="14"/>
          <w:szCs w:val="14"/>
          <w:color w:val="auto"/>
        </w:rPr>
        <w:t>Estimates and assumptions used by management include, but are not limited to, revenue recognition, the allowance for doubtful accounts, the carrying value and the useful lives of long-lived assets, the fair values of financial instruments and strategic investments, the period of benefit for deferred contract acquisition costs, the discount rate used for operating leases, the recognition and disclosure of contingent liabilities, income taxes, stock-based compensation, the fair value of assets acquired and liabilities assumed for business combinations, and the accounting for the Senior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1" w:name="page12"/>
    <w:bookmarkEnd w:id="11"/>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ind w:firstLine="508"/>
        <w:spacing w:after="0" w:line="270" w:lineRule="auto"/>
        <w:rPr>
          <w:sz w:val="20"/>
          <w:szCs w:val="20"/>
          <w:color w:val="auto"/>
        </w:rPr>
      </w:pPr>
      <w:r>
        <w:rPr>
          <w:rFonts w:ascii="Arial" w:cs="Arial" w:eastAsia="Arial" w:hAnsi="Arial"/>
          <w:sz w:val="13"/>
          <w:szCs w:val="13"/>
          <w:color w:val="auto"/>
        </w:rPr>
        <w:t>Due to the Coronavirus (“COVID-19”) pandemic, there has been uncertainty and disruption in the global economy and financial markets. The Company is not aware of any specific event or circumstance that would require a material update to its estimates or judgments or an adjustment of the carrying value of its assets or liabilities as of April 30, 2021. While there was not a material impact to the Company’s condensed consolidated financial statements as of and for the three months ended April 30, 2021, these estimates may change, as new events occur and additional information is obtained, as well as other factors related to COVID-19 that could result in material impacts to the Company’s condensed consolidated financial statements in future reporting periods.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Concentration of Credit Risk and Geographic Information</w:t>
      </w:r>
    </w:p>
    <w:p>
      <w:pPr>
        <w:spacing w:after="0" w:line="178" w:lineRule="exact"/>
        <w:rPr>
          <w:sz w:val="20"/>
          <w:szCs w:val="20"/>
          <w:color w:val="auto"/>
        </w:rPr>
      </w:pPr>
    </w:p>
    <w:p>
      <w:pPr>
        <w:ind w:right="200" w:firstLine="508"/>
        <w:spacing w:after="0" w:line="280" w:lineRule="auto"/>
        <w:rPr>
          <w:sz w:val="20"/>
          <w:szCs w:val="20"/>
          <w:color w:val="auto"/>
        </w:rPr>
      </w:pPr>
      <w:r>
        <w:rPr>
          <w:rFonts w:ascii="Arial" w:cs="Arial" w:eastAsia="Arial" w:hAnsi="Arial"/>
          <w:sz w:val="14"/>
          <w:szCs w:val="14"/>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32" w:lineRule="exact"/>
        <w:rPr>
          <w:sz w:val="20"/>
          <w:szCs w:val="20"/>
          <w:color w:val="auto"/>
        </w:rPr>
      </w:pPr>
    </w:p>
    <w:p>
      <w:pPr>
        <w:ind w:right="40" w:firstLine="508"/>
        <w:spacing w:after="0" w:line="259"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of cash, cash equivalents, marketable securities, accounts receivable, and strategic investments.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marketable securities, and strategic investments. The Company performs periodic credit evaluations of its customers and generally does not require collateral. As of April 30, 2021, the Company did not have any marketable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160" w:type="dxa"/>
            <w:vAlign w:val="bottom"/>
            <w:gridSpan w:val="2"/>
          </w:tcPr>
          <w:p>
            <w:pPr>
              <w:ind w:left="520"/>
              <w:spacing w:after="0"/>
              <w:rPr>
                <w:sz w:val="20"/>
                <w:szCs w:val="20"/>
                <w:color w:val="auto"/>
              </w:rPr>
            </w:pPr>
            <w:r>
              <w:rPr>
                <w:rFonts w:ascii="Arial" w:cs="Arial" w:eastAsia="Arial" w:hAnsi="Arial"/>
                <w:sz w:val="14"/>
                <w:szCs w:val="14"/>
                <w:color w:val="auto"/>
              </w:rPr>
              <w:t>Channel partners or direct customers who represented 10% or more of the Company’s accounts receivable were as follows: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4"/>
        </w:trPr>
        <w:tc>
          <w:tcPr>
            <w:tcW w:w="8000" w:type="dxa"/>
            <w:vAlign w:val="bottom"/>
          </w:tcPr>
          <w:p>
            <w:pPr>
              <w:spacing w:after="0"/>
              <w:rPr>
                <w:sz w:val="21"/>
                <w:szCs w:val="21"/>
                <w:color w:val="auto"/>
              </w:rPr>
            </w:pPr>
          </w:p>
        </w:tc>
        <w:tc>
          <w:tcPr>
            <w:tcW w:w="116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b w:val="1"/>
                <w:bCs w:val="1"/>
                <w:color w:val="auto"/>
                <w:w w:val="97"/>
              </w:rPr>
              <w:t>April 30,</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80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2021</w:t>
            </w:r>
          </w:p>
        </w:tc>
      </w:tr>
      <w:tr>
        <w:trPr>
          <w:trHeight w:val="170"/>
        </w:trPr>
        <w:tc>
          <w:tcPr>
            <w:tcW w:w="8000" w:type="dxa"/>
            <w:vAlign w:val="bottom"/>
            <w:shd w:val="clear" w:color="auto" w:fill="CCEEFF"/>
          </w:tcPr>
          <w:p>
            <w:pPr>
              <w:ind w:left="20"/>
              <w:spacing w:after="0" w:line="170" w:lineRule="exact"/>
              <w:rPr>
                <w:sz w:val="20"/>
                <w:szCs w:val="20"/>
                <w:color w:val="auto"/>
              </w:rPr>
            </w:pPr>
            <w:r>
              <w:rPr>
                <w:rFonts w:ascii="Arial" w:cs="Arial" w:eastAsia="Arial" w:hAnsi="Arial"/>
                <w:sz w:val="14"/>
                <w:szCs w:val="14"/>
                <w:color w:val="auto"/>
              </w:rPr>
              <w:t>Channel partner A</w:t>
            </w:r>
            <w:r>
              <w:rPr>
                <w:rFonts w:ascii="Arial" w:cs="Arial" w:eastAsia="Arial" w:hAnsi="Arial"/>
                <w:sz w:val="18"/>
                <w:szCs w:val="18"/>
                <w:color w:val="auto"/>
                <w:vertAlign w:val="superscript"/>
              </w:rPr>
              <w:t>(1)</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65"/>
        </w:trPr>
        <w:tc>
          <w:tcPr>
            <w:tcW w:w="9160" w:type="dxa"/>
            <w:vAlign w:val="bottom"/>
            <w:gridSpan w:val="2"/>
          </w:tcPr>
          <w:p>
            <w:pPr>
              <w:ind w:left="20"/>
              <w:spacing w:after="0" w:line="165" w:lineRule="exact"/>
              <w:rPr>
                <w:sz w:val="20"/>
                <w:szCs w:val="20"/>
                <w:color w:val="auto"/>
              </w:rPr>
            </w:pPr>
            <w:r>
              <w:rPr>
                <w:rFonts w:ascii="Arial" w:cs="Arial" w:eastAsia="Arial" w:hAnsi="Arial"/>
                <w:sz w:val="14"/>
                <w:szCs w:val="14"/>
                <w:color w:val="auto"/>
              </w:rPr>
              <w:t>Customer A</w:t>
            </w:r>
            <w:r>
              <w:rPr>
                <w:rFonts w:ascii="Arial" w:cs="Arial" w:eastAsia="Arial" w:hAnsi="Arial"/>
                <w:sz w:val="18"/>
                <w:szCs w:val="18"/>
                <w:color w:val="auto"/>
                <w:vertAlign w:val="superscript"/>
              </w:rPr>
              <w:t>(1)</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60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184"/>
        </w:trPr>
        <w:tc>
          <w:tcPr>
            <w:tcW w:w="8000" w:type="dxa"/>
            <w:vAlign w:val="bottom"/>
          </w:tcPr>
          <w:p>
            <w:pPr>
              <w:spacing w:after="0"/>
              <w:rPr>
                <w:sz w:val="20"/>
                <w:szCs w:val="20"/>
                <w:color w:val="auto"/>
              </w:rPr>
            </w:pPr>
            <w:r>
              <w:rPr>
                <w:rFonts w:ascii="Arial" w:cs="Arial" w:eastAsia="Arial" w:hAnsi="Arial"/>
                <w:sz w:val="14"/>
                <w:szCs w:val="14"/>
                <w:b w:val="1"/>
                <w:bCs w:val="1"/>
                <w:color w:val="auto"/>
              </w:rPr>
              <w:t>__________________________________</w:t>
            </w: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159" w:lineRule="exact"/>
        <w:rPr>
          <w:sz w:val="20"/>
          <w:szCs w:val="20"/>
          <w:color w:val="auto"/>
        </w:rPr>
      </w:pPr>
    </w:p>
    <w:p>
      <w:pPr>
        <w:ind w:left="500" w:hanging="495"/>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Channel Partner A and Customer A are controlled by the same company.</w:t>
      </w:r>
    </w:p>
    <w:p>
      <w:pPr>
        <w:spacing w:after="0" w:line="177"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3"/>
          <w:szCs w:val="13"/>
          <w:color w:val="auto"/>
        </w:rPr>
        <w:t>There were no channel partners or direct customers who represented 10% or more of the Company’s total revenue during the three months ended April 30, 2021 and April 30, 2020.</w:t>
      </w:r>
    </w:p>
    <w:p>
      <w:pPr>
        <w:spacing w:after="0" w:line="189"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b w:val="1"/>
          <w:bCs w:val="1"/>
          <w:i w:val="1"/>
          <w:iCs w:val="1"/>
          <w:color w:val="auto"/>
        </w:rPr>
        <w:t>Significant Accounting Policies</w:t>
      </w:r>
    </w:p>
    <w:p>
      <w:pPr>
        <w:spacing w:after="0" w:line="178" w:lineRule="exact"/>
        <w:rPr>
          <w:sz w:val="20"/>
          <w:szCs w:val="20"/>
          <w:color w:val="auto"/>
        </w:rPr>
      </w:pPr>
    </w:p>
    <w:p>
      <w:pPr>
        <w:ind w:right="80" w:firstLine="508"/>
        <w:spacing w:after="0" w:line="320" w:lineRule="auto"/>
        <w:rPr>
          <w:sz w:val="20"/>
          <w:szCs w:val="20"/>
          <w:color w:val="auto"/>
        </w:rPr>
      </w:pPr>
      <w:r>
        <w:rPr>
          <w:rFonts w:ascii="Arial" w:cs="Arial" w:eastAsia="Arial" w:hAnsi="Arial"/>
          <w:sz w:val="13"/>
          <w:szCs w:val="13"/>
          <w:color w:val="auto"/>
        </w:rPr>
        <w:t>The Company’s significant accounting policies are described in the Company’s Annual Report on Form 10-K for the year ended January 31, 2021. There have been no significant changes to these policies that have had a material impact on the Company’s condensed consolidated financial statements and related notes for the three months ended April 30, 2021.</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67" w:lineRule="exact"/>
        <w:rPr>
          <w:sz w:val="20"/>
          <w:szCs w:val="20"/>
          <w:color w:val="auto"/>
        </w:rPr>
      </w:pPr>
    </w:p>
    <w:p>
      <w:pPr>
        <w:ind w:right="40" w:firstLine="508"/>
        <w:spacing w:after="0" w:line="261" w:lineRule="auto"/>
        <w:rPr>
          <w:sz w:val="20"/>
          <w:szCs w:val="20"/>
          <w:color w:val="auto"/>
        </w:rPr>
      </w:pPr>
      <w:r>
        <w:rPr>
          <w:rFonts w:ascii="Arial" w:cs="Arial" w:eastAsia="Arial" w:hAnsi="Arial"/>
          <w:sz w:val="14"/>
          <w:szCs w:val="14"/>
          <w:color w:val="auto"/>
        </w:rPr>
        <w:t>In December 2019, the Financial Accounting Standards Board (the “FASB”) issued ASU 2019-12, Income Taxes (Topic 740): Simplifying the Accounting for Income Taxes,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Company adopted this guidance on February 1, 2021, which did not have a material effect on its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2" w:name="page13"/>
    <w:bookmarkEnd w:id="12"/>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i w:val="1"/>
          <w:iCs w:val="1"/>
          <w:color w:val="auto"/>
        </w:rPr>
        <w:t>3.</w:t>
      </w:r>
      <w:r>
        <w:rPr>
          <w:sz w:val="20"/>
          <w:szCs w:val="20"/>
          <w:color w:val="auto"/>
        </w:rPr>
        <w:tab/>
      </w:r>
      <w:r>
        <w:rPr>
          <w:rFonts w:ascii="Arial" w:cs="Arial" w:eastAsia="Arial" w:hAnsi="Arial"/>
          <w:sz w:val="12"/>
          <w:szCs w:val="12"/>
          <w:b w:val="1"/>
          <w:bCs w:val="1"/>
          <w:i w:val="1"/>
          <w:iCs w:val="1"/>
          <w:color w:val="auto"/>
        </w:rPr>
        <w:t>Fair Value Measurements and Marketable Securities</w:t>
      </w:r>
    </w:p>
    <w:p>
      <w:pPr>
        <w:spacing w:after="0" w:line="178" w:lineRule="exact"/>
        <w:rPr>
          <w:sz w:val="20"/>
          <w:szCs w:val="20"/>
          <w:color w:val="auto"/>
        </w:rPr>
      </w:pPr>
    </w:p>
    <w:p>
      <w:pPr>
        <w:ind w:right="80" w:firstLine="508"/>
        <w:spacing w:after="0" w:line="257" w:lineRule="auto"/>
        <w:rPr>
          <w:sz w:val="20"/>
          <w:szCs w:val="20"/>
          <w:color w:val="auto"/>
        </w:rPr>
      </w:pPr>
      <w:r>
        <w:rPr>
          <w:rFonts w:ascii="Arial" w:cs="Arial" w:eastAsia="Arial" w:hAnsi="Arial"/>
          <w:sz w:val="14"/>
          <w:szCs w:val="14"/>
          <w:color w:val="auto"/>
        </w:rPr>
        <w:t>The Company follows ASC 820</w:t>
      </w:r>
      <w:r>
        <w:rPr>
          <w:rFonts w:ascii="Arial" w:cs="Arial" w:eastAsia="Arial" w:hAnsi="Arial"/>
          <w:sz w:val="14"/>
          <w:szCs w:val="14"/>
          <w:i w:val="1"/>
          <w:iCs w:val="1"/>
          <w:color w:val="auto"/>
        </w:rPr>
        <w:t>, Fair Value Measurements</w:t>
      </w:r>
      <w:r>
        <w:rPr>
          <w:rFonts w:ascii="Arial" w:cs="Arial" w:eastAsia="Arial" w:hAnsi="Arial"/>
          <w:sz w:val="14"/>
          <w:szCs w:val="14"/>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hierarchy is broken down into three levels as follows:</w:t>
      </w:r>
    </w:p>
    <w:p>
      <w:pPr>
        <w:spacing w:after="0" w:line="178"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Assets and liabilities whose values are based on unadjusted quoted market prices for identical assets and liabilities in active markets</w:t>
      </w:r>
    </w:p>
    <w:p>
      <w:pPr>
        <w:spacing w:after="0" w:line="19" w:lineRule="exact"/>
        <w:rPr>
          <w:sz w:val="20"/>
          <w:szCs w:val="20"/>
          <w:color w:val="auto"/>
        </w:rPr>
      </w:pPr>
    </w:p>
    <w:p>
      <w:pPr>
        <w:ind w:left="520" w:right="200"/>
        <w:spacing w:after="0" w:line="348" w:lineRule="auto"/>
        <w:rPr>
          <w:sz w:val="20"/>
          <w:szCs w:val="20"/>
          <w:color w:val="auto"/>
        </w:rPr>
      </w:pPr>
      <w:r>
        <w:rPr>
          <w:rFonts w:ascii="Arial" w:cs="Arial" w:eastAsia="Arial" w:hAnsi="Arial"/>
          <w:sz w:val="12"/>
          <w:szCs w:val="12"/>
          <w:color w:val="auto"/>
        </w:rPr>
        <w:t>Level 2 Assets and liabilities whose values are based on quoted prices in markets that are not active or inputs that are observable for substantially the full term of the asset or liability Level 3 Assets and liabilities whose values are based on prices or valuation techniques that require inputs that are both unobservable and significant to the overall fair value measurement</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Categorization within the valuation hierarchy is based upon the lowest level of input that is significant to the fair value measurement.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fair value hierarchy for its financial assets and liabilities that are measured at fair value on a recurring basis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April 30, 2021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w w:val="88"/>
              </w:rPr>
              <w:t>January 31, 2021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0"/>
        </w:trPr>
        <w:tc>
          <w:tcPr>
            <w:tcW w:w="3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Total</w:t>
            </w:r>
          </w:p>
        </w:tc>
      </w:tr>
      <w:tr>
        <w:trPr>
          <w:trHeight w:val="192"/>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ind w:left="46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1"/>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9"/>
        </w:trPr>
        <w:tc>
          <w:tcPr>
            <w:tcW w:w="3060" w:type="dxa"/>
            <w:vAlign w:val="bottom"/>
          </w:tcPr>
          <w:p>
            <w:pPr>
              <w:ind w:left="20"/>
              <w:spacing w:after="0" w:line="169" w:lineRule="exact"/>
              <w:rPr>
                <w:sz w:val="20"/>
                <w:szCs w:val="20"/>
                <w:color w:val="auto"/>
              </w:rPr>
            </w:pPr>
            <w:r>
              <w:rPr>
                <w:rFonts w:ascii="Arial" w:cs="Arial" w:eastAsia="Arial" w:hAnsi="Arial"/>
                <w:sz w:val="13"/>
                <w:szCs w:val="13"/>
                <w:color w:val="auto"/>
              </w:rPr>
              <w:t xml:space="preserve">Cash equivalents </w:t>
            </w:r>
            <w:r>
              <w:rPr>
                <w:rFonts w:ascii="Arial" w:cs="Arial" w:eastAsia="Arial" w:hAnsi="Arial"/>
                <w:sz w:val="16"/>
                <w:szCs w:val="16"/>
                <w:color w:val="auto"/>
                <w:vertAlign w:val="superscript"/>
              </w:rPr>
              <w:t>(1)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7"/>
        </w:trPr>
        <w:tc>
          <w:tcPr>
            <w:tcW w:w="3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Money market funds</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429,502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429,502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r>
      <w:tr>
        <w:trPr>
          <w:trHeight w:val="162"/>
        </w:trPr>
        <w:tc>
          <w:tcPr>
            <w:tcW w:w="306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429,502</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429,502</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r>
      <w:tr>
        <w:trPr>
          <w:trHeight w:val="20"/>
        </w:trPr>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ectPr>
          <w:pgSz w:w="11900" w:h="16838" w:orient="portrait"/>
          <w:cols w:equalWidth="0" w:num="1">
            <w:col w:w="11280"/>
          </w:cols>
          <w:pgMar w:left="300" w:top="298" w:right="319" w:bottom="1440" w:gutter="0" w:footer="0" w:header="0"/>
        </w:sectPr>
      </w:pPr>
    </w:p>
    <w:p>
      <w:pPr>
        <w:spacing w:after="0"/>
        <w:rPr>
          <w:sz w:val="20"/>
          <w:szCs w:val="20"/>
          <w:color w:val="auto"/>
        </w:rPr>
      </w:pPr>
      <w:r>
        <w:rPr>
          <w:rFonts w:ascii="Arial" w:cs="Arial" w:eastAsia="Arial" w:hAnsi="Arial"/>
          <w:sz w:val="14"/>
          <w:szCs w:val="14"/>
          <w:b w:val="1"/>
          <w:bCs w:val="1"/>
          <w:color w:val="auto"/>
        </w:rPr>
        <w:t>__________________________________</w:t>
      </w:r>
    </w:p>
    <w:p>
      <w:pPr>
        <w:spacing w:after="0" w:line="182" w:lineRule="exact"/>
        <w:rPr>
          <w:sz w:val="20"/>
          <w:szCs w:val="20"/>
          <w:color w:val="auto"/>
        </w:rPr>
      </w:pPr>
    </w:p>
    <w:p>
      <w:pPr>
        <w:ind w:left="500" w:hanging="49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“Cash and cash equivalents” on the condensed consolidated balance sheets.</w:t>
      </w:r>
    </w:p>
    <w:p>
      <w:pPr>
        <w:spacing w:after="0" w:line="177" w:lineRule="exact"/>
        <w:rPr>
          <w:rFonts w:ascii="Arial" w:cs="Arial" w:eastAsia="Arial" w:hAnsi="Arial"/>
          <w:sz w:val="14"/>
          <w:szCs w:val="14"/>
          <w:color w:val="auto"/>
        </w:rPr>
      </w:pPr>
    </w:p>
    <w:p>
      <w:pPr>
        <w:ind w:left="520" w:right="1200"/>
        <w:spacing w:after="0" w:line="518" w:lineRule="auto"/>
        <w:rPr>
          <w:rFonts w:ascii="Arial" w:cs="Arial" w:eastAsia="Arial" w:hAnsi="Arial"/>
          <w:sz w:val="14"/>
          <w:szCs w:val="14"/>
          <w:color w:val="auto"/>
        </w:rPr>
      </w:pPr>
      <w:r>
        <w:rPr>
          <w:rFonts w:ascii="Arial" w:cs="Arial" w:eastAsia="Arial" w:hAnsi="Arial"/>
          <w:sz w:val="14"/>
          <w:szCs w:val="14"/>
          <w:color w:val="auto"/>
        </w:rPr>
        <w:t>There were no transfers between the levels of the fair value hierarchy during the periods presented. As of April 30, 2021 and January 31, 2021, there were no marketable securities held by the Company. The following summarizes the changes in strategic investments:</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initial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2165"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Unrealized gain due to 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2165"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134620"/>
                    </a:xfrm>
                    <a:prstGeom prst="rect">
                      <a:avLst/>
                    </a:prstGeom>
                    <a:noFill/>
                  </pic:spPr>
                </pic:pic>
              </a:graphicData>
            </a:graphic>
          </wp:anchor>
        </w:drawing>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Carrying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30,</w:t>
            </w:r>
          </w:p>
        </w:tc>
        <w:tc>
          <w:tcPr>
            <w:tcW w:w="380" w:type="dxa"/>
            <w:vAlign w:val="bottom"/>
          </w:tcPr>
          <w:p>
            <w:pPr>
              <w:spacing w:after="0"/>
              <w:rPr>
                <w:sz w:val="15"/>
                <w:szCs w:val="15"/>
                <w:color w:val="auto"/>
              </w:rPr>
            </w:pPr>
          </w:p>
        </w:tc>
        <w:tc>
          <w:tcPr>
            <w:tcW w:w="1120" w:type="dxa"/>
            <w:vAlign w:val="bottom"/>
          </w:tcPr>
          <w:p>
            <w:pPr>
              <w:jc w:val="right"/>
              <w:ind w:right="329"/>
              <w:spacing w:after="0"/>
              <w:rPr>
                <w:sz w:val="20"/>
                <w:szCs w:val="20"/>
                <w:color w:val="auto"/>
              </w:rPr>
            </w:pPr>
            <w:r>
              <w:rPr>
                <w:rFonts w:ascii="Arial" w:cs="Arial" w:eastAsia="Arial" w:hAnsi="Arial"/>
                <w:sz w:val="14"/>
                <w:szCs w:val="14"/>
                <w:b w:val="1"/>
                <w:bCs w:val="1"/>
                <w:color w:val="auto"/>
                <w:w w:val="90"/>
              </w:rPr>
              <w:t>January 31,</w:t>
            </w:r>
          </w:p>
        </w:tc>
      </w:tr>
      <w:tr>
        <w:trPr>
          <w:trHeight w:val="171"/>
        </w:trPr>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r>
      <w:tr>
        <w:trPr>
          <w:trHeight w:val="202"/>
        </w:trPr>
        <w:tc>
          <w:tcPr>
            <w:tcW w:w="280" w:type="dxa"/>
            <w:vAlign w:val="bottom"/>
          </w:tcPr>
          <w:p>
            <w:pPr>
              <w:spacing w:after="0"/>
              <w:rPr>
                <w:sz w:val="17"/>
                <w:szCs w:val="17"/>
                <w:color w:val="auto"/>
              </w:rPr>
            </w:pPr>
          </w:p>
        </w:tc>
        <w:tc>
          <w:tcPr>
            <w:tcW w:w="1700" w:type="dxa"/>
            <w:vAlign w:val="bottom"/>
            <w:gridSpan w:val="3"/>
          </w:tcPr>
          <w:p>
            <w:pPr>
              <w:ind w:left="840"/>
              <w:spacing w:after="0"/>
              <w:rPr>
                <w:sz w:val="20"/>
                <w:szCs w:val="20"/>
                <w:color w:val="auto"/>
              </w:rPr>
            </w:pPr>
            <w:r>
              <w:rPr>
                <w:rFonts w:ascii="Arial" w:cs="Arial" w:eastAsia="Arial" w:hAnsi="Arial"/>
                <w:sz w:val="14"/>
                <w:szCs w:val="14"/>
                <w:b w:val="1"/>
                <w:bCs w:val="1"/>
                <w:color w:val="auto"/>
                <w:w w:val="87"/>
              </w:rPr>
              <w:t>(in thousands)</w:t>
            </w:r>
          </w:p>
        </w:tc>
        <w:tc>
          <w:tcPr>
            <w:tcW w:w="1120" w:type="dxa"/>
            <w:vAlign w:val="bottom"/>
          </w:tcPr>
          <w:p>
            <w:pPr>
              <w:spacing w:after="0"/>
              <w:rPr>
                <w:sz w:val="17"/>
                <w:szCs w:val="17"/>
                <w:color w:val="auto"/>
              </w:rPr>
            </w:pPr>
          </w:p>
        </w:tc>
      </w:tr>
      <w:tr>
        <w:trPr>
          <w:trHeight w:val="180"/>
        </w:trPr>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20" w:type="dxa"/>
            <w:vAlign w:val="bottom"/>
          </w:tcPr>
          <w:p>
            <w:pPr>
              <w:ind w:left="860"/>
              <w:spacing w:after="0"/>
              <w:rPr>
                <w:sz w:val="20"/>
                <w:szCs w:val="20"/>
                <w:color w:val="auto"/>
              </w:rPr>
            </w:pPr>
            <w:r>
              <w:rPr>
                <w:rFonts w:ascii="Arial" w:cs="Arial" w:eastAsia="Arial" w:hAnsi="Arial"/>
                <w:sz w:val="14"/>
                <w:szCs w:val="14"/>
                <w:color w:val="auto"/>
                <w:w w:val="96"/>
              </w:rPr>
              <w:t>3,809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2,500</w:t>
            </w:r>
          </w:p>
        </w:tc>
      </w:tr>
      <w:tr>
        <w:trPr>
          <w:trHeight w:val="180"/>
        </w:trPr>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96"/>
              </w:rPr>
              <w:t>4,356</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96"/>
              </w:rPr>
              <w:t>8,165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100"/>
          </w:cols>
          <w:pgMar w:left="300" w:top="29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1">
              <w:r>
                <w:rPr>
                  <w:rFonts w:ascii="Arial" w:cs="Arial" w:eastAsia="Arial" w:hAnsi="Arial"/>
                  <w:sz w:val="14"/>
                  <w:szCs w:val="14"/>
                  <w:color w:val="0000FF"/>
                  <w:w w:val="88"/>
                </w:rPr>
                <w:t>Table of Contents</w:t>
              </w:r>
            </w:hyperlink>
          </w:p>
        </w:tc>
        <w:tc>
          <w:tcPr>
            <w:tcW w:w="6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6"/>
        </w:trPr>
        <w:tc>
          <w:tcPr>
            <w:tcW w:w="81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4.  Balance Sheet Components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2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Prepaid Expenses and Other Current Assets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2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Prepaid expenses and other current assets consisted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3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gridSpan w:val="3"/>
          </w:tcPr>
          <w:p>
            <w:pPr>
              <w:ind w:left="20"/>
              <w:spacing w:after="0"/>
              <w:rPr>
                <w:sz w:val="20"/>
                <w:szCs w:val="20"/>
                <w:color w:val="auto"/>
              </w:rPr>
            </w:pPr>
            <w:r>
              <w:rPr>
                <w:rFonts w:ascii="Arial" w:cs="Arial" w:eastAsia="Arial" w:hAnsi="Arial"/>
                <w:sz w:val="14"/>
                <w:szCs w:val="14"/>
                <w:color w:val="auto"/>
              </w:rPr>
              <w:t>Prepaid software licenses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Prepaid hosting services</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5,303</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56,385</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i w:val="1"/>
                <w:iCs w:val="1"/>
                <w:color w:val="auto"/>
              </w:rPr>
              <w:t>Property and Equipment, Net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76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2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Property and equipment, net consisted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Data center and other computer equipment</w:t>
            </w:r>
          </w:p>
        </w:tc>
        <w:tc>
          <w:tcPr>
            <w:tcW w:w="3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165,251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gridSpan w:val="3"/>
          </w:tcPr>
          <w:p>
            <w:pPr>
              <w:ind w:left="20"/>
              <w:spacing w:after="0"/>
              <w:rPr>
                <w:sz w:val="20"/>
                <w:szCs w:val="20"/>
                <w:color w:val="auto"/>
              </w:rPr>
            </w:pPr>
            <w:r>
              <w:rPr>
                <w:rFonts w:ascii="Arial" w:cs="Arial" w:eastAsia="Arial" w:hAnsi="Arial"/>
                <w:sz w:val="14"/>
                <w:szCs w:val="14"/>
                <w:color w:val="auto"/>
              </w:rPr>
              <w:t>Capitalized internal-use software and website development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46,269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44,358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gridSpan w:val="3"/>
          </w:tcPr>
          <w:p>
            <w:pPr>
              <w:ind w:left="20"/>
              <w:spacing w:after="0"/>
              <w:rPr>
                <w:sz w:val="20"/>
                <w:szCs w:val="20"/>
                <w:color w:val="auto"/>
              </w:rPr>
            </w:pPr>
            <w:r>
              <w:rPr>
                <w:rFonts w:ascii="Arial" w:cs="Arial" w:eastAsia="Arial" w:hAnsi="Arial"/>
                <w:sz w:val="14"/>
                <w:szCs w:val="14"/>
                <w:color w:val="auto"/>
              </w:rPr>
              <w:t>Purchased software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Construction in process</w:t>
            </w: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50,837</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35,528</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291,858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255,548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(100,548)</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(88,534)</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191,310</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167,014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508"/>
        <w:spacing w:after="0" w:line="280" w:lineRule="auto"/>
        <w:rPr>
          <w:sz w:val="20"/>
          <w:szCs w:val="20"/>
          <w:color w:val="auto"/>
        </w:rPr>
      </w:pPr>
      <w:r>
        <w:rPr>
          <w:rFonts w:ascii="Arial" w:cs="Arial" w:eastAsia="Arial" w:hAnsi="Arial"/>
          <w:sz w:val="14"/>
          <w:szCs w:val="14"/>
          <w:color w:val="auto"/>
        </w:rPr>
        <w:t>Construction in process mainly includes data center equipment purchased that has not yet been placed in service. As of April 30, 2021, $41.6 million of data center equipment was purchased but not yet been placed into service.</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Depreciation and amortization expense of property and equipment was $12.0 million and $8.2 million during the three months ended April 30, 2021 and April 30, 2020, respectively.</w:t>
      </w:r>
    </w:p>
    <w:p>
      <w:pPr>
        <w:spacing w:after="0" w:line="189" w:lineRule="exact"/>
        <w:rPr>
          <w:sz w:val="20"/>
          <w:szCs w:val="20"/>
          <w:color w:val="auto"/>
        </w:rPr>
      </w:pPr>
    </w:p>
    <w:p>
      <w:pPr>
        <w:ind w:right="20" w:firstLine="508"/>
        <w:spacing w:after="0" w:line="261" w:lineRule="auto"/>
        <w:rPr>
          <w:sz w:val="20"/>
          <w:szCs w:val="20"/>
          <w:color w:val="auto"/>
        </w:rPr>
      </w:pPr>
      <w:r>
        <w:rPr>
          <w:rFonts w:ascii="Arial" w:cs="Arial" w:eastAsia="Arial" w:hAnsi="Arial"/>
          <w:sz w:val="14"/>
          <w:szCs w:val="14"/>
          <w:color w:val="auto"/>
        </w:rPr>
        <w:t>There was no impairment of website and internal-use software during the three months ended April 30, 2021 and April 30, 2020. The Company capitalized $6.2 million and $2.3 million in website and internal-use software during the three months ended April 30, 2021 and April 30, 2020. Amortization expense associated with website and internal-use software totaled $2.5 million and $1.9 million during the three months ended April 30, 2021 and April 30, 2020, respectively. The net book value of capitalized website and internal-use software was $23.7 million and $20.1 million as of April 30, 2021 and January 31, 2021, respectively.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14" w:name="page15"/>
    <w:bookmarkEnd w:id="14"/>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intangible assets,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April 30, 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Weighted-Average</w:t>
            </w:r>
          </w:p>
        </w:tc>
        <w:tc>
          <w:tcPr>
            <w:tcW w:w="0" w:type="dxa"/>
            <w:vAlign w:val="bottom"/>
          </w:tcPr>
          <w:p>
            <w:pPr>
              <w:spacing w:after="0"/>
              <w:rPr>
                <w:sz w:val="1"/>
                <w:szCs w:val="1"/>
                <w:color w:val="auto"/>
              </w:rPr>
            </w:pPr>
          </w:p>
        </w:tc>
      </w:tr>
      <w:tr>
        <w:trPr>
          <w:trHeight w:val="82"/>
        </w:trPr>
        <w:tc>
          <w:tcPr>
            <w:tcW w:w="4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jc w:val="center"/>
              <w:ind w:right="20"/>
              <w:spacing w:after="0" w:line="127" w:lineRule="exact"/>
              <w:rPr>
                <w:sz w:val="20"/>
                <w:szCs w:val="20"/>
                <w:color w:val="auto"/>
              </w:rPr>
            </w:pPr>
            <w:r>
              <w:rPr>
                <w:rFonts w:ascii="Arial" w:cs="Arial" w:eastAsia="Arial" w:hAnsi="Arial"/>
                <w:sz w:val="13"/>
                <w:szCs w:val="13"/>
                <w:b w:val="1"/>
                <w:bCs w:val="1"/>
                <w:color w:val="auto"/>
                <w:w w:val="90"/>
              </w:rPr>
              <w:t>Remaining</w:t>
            </w: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4"/>
              </w:rPr>
              <w:t>Gross Carrying Amount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Net Amount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85"/>
              </w:rPr>
              <w:t>Useful</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Life</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(in months)</w:t>
            </w:r>
          </w:p>
        </w:tc>
        <w:tc>
          <w:tcPr>
            <w:tcW w:w="0" w:type="dxa"/>
            <w:vAlign w:val="bottom"/>
          </w:tcPr>
          <w:p>
            <w:pPr>
              <w:spacing w:after="0"/>
              <w:rPr>
                <w:sz w:val="1"/>
                <w:szCs w:val="1"/>
                <w:color w:val="auto"/>
              </w:rPr>
            </w:pPr>
          </w:p>
        </w:tc>
      </w:tr>
      <w:tr>
        <w:trPr>
          <w:trHeight w:val="18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82,431</w:t>
            </w:r>
          </w:p>
        </w:tc>
        <w:tc>
          <w:tcPr>
            <w:tcW w:w="4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3,309</w:t>
            </w: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79,122</w:t>
            </w:r>
          </w:p>
        </w:tc>
        <w:tc>
          <w:tcPr>
            <w:tcW w:w="2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9,097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8,226</w:t>
            </w:r>
          </w:p>
        </w:tc>
        <w:tc>
          <w:tcPr>
            <w:tcW w:w="20" w:type="dxa"/>
            <w:vAlign w:val="bottom"/>
          </w:tcPr>
          <w:p>
            <w:pPr>
              <w:spacing w:after="0"/>
              <w:rPr>
                <w:sz w:val="15"/>
                <w:szCs w:val="15"/>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acquired intangible assets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20" w:type="dxa"/>
            <w:vAlign w:val="bottom"/>
            <w:tcBorders>
              <w:bottom w:val="single" w:sz="8" w:color="auto"/>
            </w:tcBorders>
            <w:shd w:val="clear" w:color="auto" w:fill="CCEEFF"/>
          </w:tcPr>
          <w:p>
            <w:pPr>
              <w:spacing w:after="0"/>
              <w:rPr>
                <w:sz w:val="15"/>
                <w:szCs w:val="15"/>
                <w:color w:val="auto"/>
              </w:rPr>
            </w:pPr>
          </w:p>
        </w:tc>
        <w:tc>
          <w:tcPr>
            <w:tcW w:w="16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0"/>
        </w:trPr>
        <w:tc>
          <w:tcPr>
            <w:tcW w:w="4960" w:type="dxa"/>
            <w:vAlign w:val="bottom"/>
          </w:tcPr>
          <w:p>
            <w:pPr>
              <w:ind w:left="12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93,255</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88,851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87"/>
              </w:rPr>
              <w:t>Weighted-Average</w:t>
            </w:r>
          </w:p>
        </w:tc>
        <w:tc>
          <w:tcPr>
            <w:tcW w:w="0" w:type="dxa"/>
            <w:vAlign w:val="bottom"/>
          </w:tcPr>
          <w:p>
            <w:pPr>
              <w:spacing w:after="0" w:line="20" w:lineRule="exact"/>
              <w:rPr>
                <w:sz w:val="1"/>
                <w:szCs w:val="1"/>
                <w:color w:val="auto"/>
              </w:rPr>
            </w:pPr>
          </w:p>
        </w:tc>
      </w:tr>
      <w:tr>
        <w:trPr>
          <w:trHeight w:val="818"/>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January 31, 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9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jc w:val="right"/>
              <w:ind w:right="480"/>
              <w:spacing w:after="0" w:line="127"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3"/>
                <w:szCs w:val="13"/>
                <w:b w:val="1"/>
                <w:bCs w:val="1"/>
                <w:color w:val="auto"/>
                <w:w w:val="93"/>
              </w:rPr>
              <w:t>Gross Carrying Amount</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ind w:right="351"/>
              <w:spacing w:after="0"/>
              <w:rPr>
                <w:sz w:val="20"/>
                <w:szCs w:val="20"/>
                <w:color w:val="auto"/>
              </w:rPr>
            </w:pPr>
            <w:r>
              <w:rPr>
                <w:rFonts w:ascii="Arial" w:cs="Arial" w:eastAsia="Arial" w:hAnsi="Arial"/>
                <w:sz w:val="13"/>
                <w:szCs w:val="13"/>
                <w:b w:val="1"/>
                <w:bCs w:val="1"/>
                <w:color w:val="auto"/>
              </w:rPr>
              <w:t>Net Amount</w:t>
            </w:r>
          </w:p>
        </w:tc>
        <w:tc>
          <w:tcPr>
            <w:tcW w:w="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2"/>
          </w:tcPr>
          <w:p>
            <w:pPr>
              <w:jc w:val="center"/>
              <w:ind w:right="40"/>
              <w:spacing w:after="0" w:line="127" w:lineRule="exact"/>
              <w:rPr>
                <w:sz w:val="20"/>
                <w:szCs w:val="20"/>
                <w:color w:val="auto"/>
              </w:rPr>
            </w:pPr>
            <w:r>
              <w:rPr>
                <w:rFonts w:ascii="Arial" w:cs="Arial" w:eastAsia="Arial" w:hAnsi="Arial"/>
                <w:sz w:val="13"/>
                <w:szCs w:val="13"/>
                <w:b w:val="1"/>
                <w:bCs w:val="1"/>
                <w:color w:val="auto"/>
                <w:w w:val="85"/>
              </w:rPr>
              <w:t>Useful</w:t>
            </w: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(in months)</w:t>
            </w:r>
          </w:p>
        </w:tc>
        <w:tc>
          <w:tcPr>
            <w:tcW w:w="0" w:type="dxa"/>
            <w:vAlign w:val="bottom"/>
          </w:tcPr>
          <w:p>
            <w:pPr>
              <w:spacing w:after="0"/>
              <w:rPr>
                <w:sz w:val="1"/>
                <w:szCs w:val="1"/>
                <w:color w:val="auto"/>
              </w:rPr>
            </w:pPr>
          </w:p>
        </w:tc>
      </w:tr>
      <w:tr>
        <w:trPr>
          <w:trHeight w:val="18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14,513</w:t>
            </w:r>
          </w:p>
        </w:tc>
        <w:tc>
          <w:tcPr>
            <w:tcW w:w="40" w:type="dxa"/>
            <w:vAlign w:val="bottom"/>
            <w:shd w:val="clear" w:color="auto" w:fill="CCEEFF"/>
          </w:tcPr>
          <w:p>
            <w:pPr>
              <w:spacing w:after="0"/>
              <w:rPr>
                <w:sz w:val="15"/>
                <w:szCs w:val="15"/>
                <w:color w:val="auto"/>
              </w:rPr>
            </w:pPr>
          </w:p>
        </w:tc>
        <w:tc>
          <w:tcPr>
            <w:tcW w:w="26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w:t>
            </w:r>
          </w:p>
        </w:tc>
        <w:tc>
          <w:tcPr>
            <w:tcW w:w="2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3,120</w:t>
            </w:r>
          </w:p>
        </w:tc>
        <w:tc>
          <w:tcPr>
            <w:tcW w:w="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acquired intangible assets</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2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60" w:type="dxa"/>
            <w:vAlign w:val="bottom"/>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508"/>
        <w:spacing w:after="0" w:line="266" w:lineRule="auto"/>
        <w:rPr>
          <w:sz w:val="20"/>
          <w:szCs w:val="20"/>
          <w:color w:val="auto"/>
        </w:rPr>
      </w:pPr>
      <w:r>
        <w:rPr>
          <w:rFonts w:ascii="Arial" w:cs="Arial" w:eastAsia="Arial" w:hAnsi="Arial"/>
          <w:sz w:val="14"/>
          <w:szCs w:val="14"/>
          <w:color w:val="auto"/>
        </w:rPr>
        <w:t>Amortization of developed technology, customer relationships, and other acquired intangible assets are recorded within cost of revenue, sales and marketing expense, and research and development expense, respectively, in the condensed consolidated statements of operations. Amortization expense of intangible assets was $2.4 million and $0.1 million during the three months ended April 30, 2021 and April 30, 2020,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80" w:type="dxa"/>
            <w:vAlign w:val="bottom"/>
          </w:tcPr>
          <w:p>
            <w:pPr>
              <w:ind w:left="520"/>
              <w:spacing w:after="0"/>
              <w:rPr>
                <w:sz w:val="20"/>
                <w:szCs w:val="20"/>
                <w:color w:val="auto"/>
              </w:rPr>
            </w:pPr>
            <w:r>
              <w:rPr>
                <w:rFonts w:ascii="Arial" w:cs="Arial" w:eastAsia="Arial" w:hAnsi="Arial"/>
                <w:sz w:val="14"/>
                <w:szCs w:val="14"/>
                <w:color w:val="auto"/>
              </w:rPr>
              <w:t>The estimated aggregate future amortization expense of intangible assets as of April 30, 2021 is as follows: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28"/>
        </w:trPr>
        <w:tc>
          <w:tcPr>
            <w:tcW w:w="9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Total</w:t>
            </w:r>
          </w:p>
        </w:tc>
      </w:tr>
      <w:tr>
        <w:trPr>
          <w:trHeight w:val="171"/>
        </w:trPr>
        <w:tc>
          <w:tcPr>
            <w:tcW w:w="9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49"/>
              <w:spacing w:after="0"/>
              <w:rPr>
                <w:sz w:val="20"/>
                <w:szCs w:val="20"/>
                <w:color w:val="auto"/>
              </w:rPr>
            </w:pPr>
            <w:r>
              <w:rPr>
                <w:rFonts w:ascii="Arial" w:cs="Arial" w:eastAsia="Arial" w:hAnsi="Arial"/>
                <w:sz w:val="14"/>
                <w:szCs w:val="14"/>
                <w:b w:val="1"/>
                <w:bCs w:val="1"/>
                <w:color w:val="auto"/>
                <w:w w:val="99"/>
              </w:rPr>
              <w:t>(in thousands)</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2022 (remaining nine months)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9,951</w:t>
            </w:r>
          </w:p>
        </w:tc>
      </w:tr>
      <w:tr>
        <w:trPr>
          <w:trHeight w:val="180"/>
        </w:trPr>
        <w:tc>
          <w:tcPr>
            <w:tcW w:w="9780" w:type="dxa"/>
            <w:vAlign w:val="bottom"/>
          </w:tcPr>
          <w:p>
            <w:pPr>
              <w:ind w:left="20"/>
              <w:spacing w:after="0"/>
              <w:rPr>
                <w:sz w:val="20"/>
                <w:szCs w:val="20"/>
                <w:color w:val="auto"/>
              </w:rPr>
            </w:pPr>
            <w:r>
              <w:rPr>
                <w:rFonts w:ascii="Arial" w:cs="Arial" w:eastAsia="Arial" w:hAnsi="Arial"/>
                <w:sz w:val="14"/>
                <w:szCs w:val="14"/>
                <w:color w:val="auto"/>
              </w:rPr>
              <w:t>Fiscal 2023</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13,199</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2024</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w:t>
            </w:r>
          </w:p>
        </w:tc>
      </w:tr>
      <w:tr>
        <w:trPr>
          <w:trHeight w:val="180"/>
        </w:trPr>
        <w:tc>
          <w:tcPr>
            <w:tcW w:w="9780" w:type="dxa"/>
            <w:vAlign w:val="bottom"/>
          </w:tcPr>
          <w:p>
            <w:pPr>
              <w:ind w:left="20"/>
              <w:spacing w:after="0"/>
              <w:rPr>
                <w:sz w:val="20"/>
                <w:szCs w:val="20"/>
                <w:color w:val="auto"/>
              </w:rPr>
            </w:pPr>
            <w:r>
              <w:rPr>
                <w:rFonts w:ascii="Arial" w:cs="Arial" w:eastAsia="Arial" w:hAnsi="Arial"/>
                <w:sz w:val="14"/>
                <w:szCs w:val="14"/>
                <w:color w:val="auto"/>
              </w:rPr>
              <w:t>Fiscal 2025</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12,416</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2026</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11,329</w:t>
            </w:r>
          </w:p>
        </w:tc>
      </w:tr>
      <w:tr>
        <w:trPr>
          <w:trHeight w:val="18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29,456</w:t>
            </w:r>
          </w:p>
        </w:tc>
      </w:tr>
      <w:tr>
        <w:trPr>
          <w:trHeight w:val="196"/>
        </w:trPr>
        <w:tc>
          <w:tcPr>
            <w:tcW w:w="9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amortization expense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88,851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00" w:firstLine="508"/>
        <w:spacing w:after="0" w:line="280" w:lineRule="auto"/>
        <w:rPr>
          <w:sz w:val="20"/>
          <w:szCs w:val="20"/>
          <w:color w:val="auto"/>
        </w:rPr>
      </w:pPr>
      <w:r>
        <w:rPr>
          <w:rFonts w:ascii="Arial" w:cs="Arial" w:eastAsia="Arial" w:hAnsi="Arial"/>
          <w:sz w:val="14"/>
          <w:szCs w:val="14"/>
          <w:color w:val="auto"/>
        </w:rPr>
        <w:t>The developed technology, customer relationships, and other acquired intangible assets are amortized over their estimated useful lives, generally on a straight-line basis for periods ranging from 2 to 20 years.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1">
              <w:r>
                <w:rPr>
                  <w:rFonts w:ascii="Arial" w:cs="Arial" w:eastAsia="Arial" w:hAnsi="Arial"/>
                  <w:sz w:val="14"/>
                  <w:szCs w:val="14"/>
                  <w:color w:val="0000FF"/>
                  <w:w w:val="88"/>
                </w:rPr>
                <w:t>Table of Contents</w:t>
              </w:r>
            </w:hyperlink>
          </w:p>
        </w:tc>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6"/>
        </w:trPr>
        <w:tc>
          <w:tcPr>
            <w:tcW w:w="520" w:type="dxa"/>
            <w:vAlign w:val="bottom"/>
          </w:tcPr>
          <w:p>
            <w:pPr>
              <w:spacing w:after="0"/>
              <w:rPr>
                <w:sz w:val="24"/>
                <w:szCs w:val="24"/>
                <w:color w:val="auto"/>
              </w:rPr>
            </w:pPr>
          </w:p>
        </w:tc>
        <w:tc>
          <w:tcPr>
            <w:tcW w:w="9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Goodwill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20" w:type="dxa"/>
            <w:vAlign w:val="bottom"/>
          </w:tcPr>
          <w:p>
            <w:pPr>
              <w:spacing w:after="0"/>
              <w:rPr>
                <w:sz w:val="24"/>
                <w:szCs w:val="24"/>
                <w:color w:val="auto"/>
              </w:rPr>
            </w:pPr>
          </w:p>
        </w:tc>
        <w:tc>
          <w:tcPr>
            <w:tcW w:w="9260" w:type="dxa"/>
            <w:vAlign w:val="bottom"/>
            <w:gridSpan w:val="2"/>
          </w:tcPr>
          <w:p>
            <w:pPr>
              <w:spacing w:after="0"/>
              <w:rPr>
                <w:sz w:val="20"/>
                <w:szCs w:val="20"/>
                <w:color w:val="auto"/>
              </w:rPr>
            </w:pPr>
            <w:r>
              <w:rPr>
                <w:rFonts w:ascii="Arial" w:cs="Arial" w:eastAsia="Arial" w:hAnsi="Arial"/>
                <w:sz w:val="14"/>
                <w:szCs w:val="14"/>
                <w:color w:val="auto"/>
              </w:rPr>
              <w:t>Goodwill during the three months ended April 30, 2021 consisted of the following:</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49"/>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180"/>
        </w:trPr>
        <w:tc>
          <w:tcPr>
            <w:tcW w:w="97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Goodwill as of January 31, 2021</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180"/>
        </w:trPr>
        <w:tc>
          <w:tcPr>
            <w:tcW w:w="9780" w:type="dxa"/>
            <w:vAlign w:val="bottom"/>
            <w:gridSpan w:val="3"/>
          </w:tcPr>
          <w:p>
            <w:pPr>
              <w:ind w:left="100"/>
              <w:spacing w:after="0" w:line="180" w:lineRule="exact"/>
              <w:rPr>
                <w:sz w:val="20"/>
                <w:szCs w:val="20"/>
                <w:color w:val="auto"/>
              </w:rPr>
            </w:pPr>
            <w:r>
              <w:rPr>
                <w:rFonts w:ascii="Arial" w:cs="Arial" w:eastAsia="Arial" w:hAnsi="Arial"/>
                <w:sz w:val="14"/>
                <w:szCs w:val="14"/>
                <w:color w:val="auto"/>
              </w:rPr>
              <w:t>Goodwill acquired</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291,156</w:t>
            </w:r>
          </w:p>
        </w:tc>
        <w:tc>
          <w:tcPr>
            <w:tcW w:w="0" w:type="dxa"/>
            <w:vAlign w:val="bottom"/>
          </w:tcPr>
          <w:p>
            <w:pPr>
              <w:spacing w:after="0"/>
              <w:rPr>
                <w:sz w:val="1"/>
                <w:szCs w:val="1"/>
                <w:color w:val="auto"/>
              </w:rPr>
            </w:pPr>
          </w:p>
        </w:tc>
      </w:tr>
      <w:tr>
        <w:trPr>
          <w:trHeight w:val="180"/>
        </w:trPr>
        <w:tc>
          <w:tcPr>
            <w:tcW w:w="97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Foreign currency translation</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71"/>
        </w:trPr>
        <w:tc>
          <w:tcPr>
            <w:tcW w:w="9780" w:type="dxa"/>
            <w:vAlign w:val="bottom"/>
            <w:gridSpan w:val="3"/>
          </w:tcPr>
          <w:p>
            <w:pPr>
              <w:ind w:left="20"/>
              <w:spacing w:after="0"/>
              <w:rPr>
                <w:sz w:val="20"/>
                <w:szCs w:val="20"/>
                <w:color w:val="auto"/>
              </w:rPr>
            </w:pPr>
            <w:r>
              <w:rPr>
                <w:rFonts w:ascii="Arial" w:cs="Arial" w:eastAsia="Arial" w:hAnsi="Arial"/>
                <w:sz w:val="14"/>
                <w:szCs w:val="14"/>
                <w:color w:val="auto"/>
              </w:rPr>
              <w:t>Goodwill as of April 30, 2021</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374,581</w:t>
            </w: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7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020" w:hanging="507"/>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Goodwill acquired resulted from the acquisition of Humio. Refer to Note 12 for additional information.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6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Accrued Expenses</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8160" w:type="dxa"/>
            <w:vAlign w:val="bottom"/>
          </w:tcPr>
          <w:p>
            <w:pPr>
              <w:ind w:left="520"/>
              <w:spacing w:after="0"/>
              <w:rPr>
                <w:sz w:val="20"/>
                <w:szCs w:val="20"/>
                <w:color w:val="auto"/>
              </w:rPr>
            </w:pPr>
            <w:r>
              <w:rPr>
                <w:rFonts w:ascii="Arial" w:cs="Arial" w:eastAsia="Arial" w:hAnsi="Arial"/>
                <w:sz w:val="14"/>
                <w:szCs w:val="14"/>
                <w:color w:val="auto"/>
              </w:rPr>
              <w:t>Accrued expenses consisted of the following:</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April 30,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0"/>
        </w:trPr>
        <w:tc>
          <w:tcPr>
            <w:tcW w:w="8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60" w:type="dxa"/>
            <w:vAlign w:val="bottom"/>
            <w:gridSpan w:val="7"/>
          </w:tcPr>
          <w:p>
            <w:pPr>
              <w:ind w:left="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Web hosting services</w:t>
            </w:r>
          </w:p>
        </w:tc>
        <w:tc>
          <w:tcPr>
            <w:tcW w:w="1060" w:type="dxa"/>
            <w:vAlign w:val="bottom"/>
            <w:gridSpan w:val="2"/>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13,390</w:t>
            </w: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tcPr>
          <w:p>
            <w:pPr>
              <w:ind w:left="20"/>
              <w:spacing w:after="0"/>
              <w:rPr>
                <w:sz w:val="20"/>
                <w:szCs w:val="20"/>
                <w:color w:val="auto"/>
              </w:rPr>
            </w:pPr>
            <w:r>
              <w:rPr>
                <w:rFonts w:ascii="Arial" w:cs="Arial" w:eastAsia="Arial" w:hAnsi="Arial"/>
                <w:sz w:val="14"/>
                <w:szCs w:val="14"/>
                <w:color w:val="auto"/>
              </w:rPr>
              <w:t>Other accrued expenses</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8"/>
              </w:rPr>
              <w:t>12,387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property and equipment</w:t>
            </w:r>
          </w:p>
        </w:tc>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tcPr>
          <w:p>
            <w:pPr>
              <w:ind w:left="20"/>
              <w:spacing w:after="0"/>
              <w:rPr>
                <w:sz w:val="20"/>
                <w:szCs w:val="20"/>
                <w:color w:val="auto"/>
              </w:rPr>
            </w:pPr>
            <w:r>
              <w:rPr>
                <w:rFonts w:ascii="Arial" w:cs="Arial" w:eastAsia="Arial" w:hAnsi="Arial"/>
                <w:sz w:val="14"/>
                <w:szCs w:val="14"/>
                <w:color w:val="auto"/>
              </w:rPr>
              <w:t>Accrued interest expense</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marketing</w:t>
            </w:r>
          </w:p>
        </w:tc>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legal and accounting</w:t>
            </w:r>
          </w:p>
        </w:tc>
        <w:tc>
          <w:tcPr>
            <w:tcW w:w="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49,627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51,117</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4"/>
                <w:szCs w:val="14"/>
                <w:b w:val="1"/>
                <w:bCs w:val="1"/>
                <w:i w:val="1"/>
                <w:iCs w:val="1"/>
                <w:color w:val="auto"/>
              </w:rPr>
              <w:t>Accrued Payroll and Benefits</w:t>
            </w: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160" w:type="dxa"/>
            <w:vAlign w:val="bottom"/>
          </w:tcPr>
          <w:p>
            <w:pPr>
              <w:ind w:left="520"/>
              <w:spacing w:after="0"/>
              <w:rPr>
                <w:sz w:val="20"/>
                <w:szCs w:val="20"/>
                <w:color w:val="auto"/>
              </w:rPr>
            </w:pPr>
            <w:r>
              <w:rPr>
                <w:rFonts w:ascii="Arial" w:cs="Arial" w:eastAsia="Arial" w:hAnsi="Arial"/>
                <w:sz w:val="14"/>
                <w:szCs w:val="14"/>
                <w:color w:val="auto"/>
              </w:rPr>
              <w:t>Accrued payroll and benefits consisted of the following:</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April 30,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80"/>
        </w:trPr>
        <w:tc>
          <w:tcPr>
            <w:tcW w:w="8160" w:type="dxa"/>
            <w:vAlign w:val="bottom"/>
          </w:tcPr>
          <w:p>
            <w:pPr>
              <w:spacing w:after="0"/>
              <w:rPr>
                <w:sz w:val="15"/>
                <w:szCs w:val="15"/>
                <w:color w:val="auto"/>
              </w:rPr>
            </w:pPr>
          </w:p>
        </w:tc>
        <w:tc>
          <w:tcPr>
            <w:tcW w:w="106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commissions</w:t>
            </w:r>
          </w:p>
        </w:tc>
        <w:tc>
          <w:tcPr>
            <w:tcW w:w="1060" w:type="dxa"/>
            <w:vAlign w:val="bottom"/>
            <w:gridSpan w:val="2"/>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24,479</w:t>
            </w: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3"/>
              </w:rPr>
              <w:t>24,308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17,737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bonuses</w:t>
            </w: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12,575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benefits</w:t>
            </w:r>
          </w:p>
        </w:tc>
        <w:tc>
          <w:tcPr>
            <w:tcW w:w="1060" w:type="dxa"/>
            <w:vAlign w:val="bottom"/>
            <w:tcBorders>
              <w:bottom w:val="single" w:sz="8" w:color="auto"/>
            </w:tcBorders>
            <w:gridSpan w:val="2"/>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79,099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right="140" w:firstLine="508"/>
        <w:spacing w:after="0" w:line="366" w:lineRule="auto"/>
        <w:rPr>
          <w:sz w:val="20"/>
          <w:szCs w:val="20"/>
          <w:color w:val="auto"/>
        </w:rPr>
      </w:pPr>
      <w:r>
        <w:rPr>
          <w:rFonts w:ascii="Arial" w:cs="Arial" w:eastAsia="Arial" w:hAnsi="Arial"/>
          <w:sz w:val="12"/>
          <w:szCs w:val="12"/>
          <w:color w:val="auto"/>
        </w:rPr>
        <w:t>In April 2020, the Company began deferring payment on its share of payroll taxes owed, as permitted by the CARES Act through December 31, 2020. As of April 30, 2021 and January 31, 2021, the Company had deferred $5.1 million of payroll taxes in other current liabilities and $5.1 million of payroll taxes in other liabilities, noncurrent on the condensed consolidated balance sheet.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 Debt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Secured Revolving Credit Facility</w:t>
      </w:r>
    </w:p>
    <w:p>
      <w:pPr>
        <w:spacing w:after="0" w:line="178" w:lineRule="exact"/>
        <w:rPr>
          <w:sz w:val="20"/>
          <w:szCs w:val="20"/>
          <w:color w:val="auto"/>
        </w:rPr>
      </w:pPr>
    </w:p>
    <w:p>
      <w:pPr>
        <w:ind w:right="280" w:firstLine="508"/>
        <w:spacing w:after="0" w:line="280" w:lineRule="auto"/>
        <w:rPr>
          <w:sz w:val="20"/>
          <w:szCs w:val="20"/>
          <w:color w:val="auto"/>
        </w:rPr>
      </w:pPr>
      <w:r>
        <w:rPr>
          <w:rFonts w:ascii="Arial" w:cs="Arial" w:eastAsia="Arial" w:hAnsi="Arial"/>
          <w:sz w:val="14"/>
          <w:szCs w:val="14"/>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16" w:name="page17"/>
    <w:bookmarkEnd w:id="16"/>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508"/>
        <w:spacing w:after="0" w:line="301" w:lineRule="auto"/>
        <w:rPr>
          <w:sz w:val="20"/>
          <w:szCs w:val="20"/>
          <w:color w:val="auto"/>
        </w:rPr>
      </w:pPr>
      <w:r>
        <w:rPr>
          <w:rFonts w:ascii="Arial" w:cs="Arial" w:eastAsia="Arial" w:hAnsi="Arial"/>
          <w:sz w:val="12"/>
          <w:szCs w:val="12"/>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 Under the A&amp;R Credit Agreement, revolving loans may be either Eurodollar Loans or Alternate Base Rate (“ABR”) Loans. Outstanding Eurodollar Loans incur interest at the Eurodollar Rate, which is defined as LIBOR (or any successor thereto), subject to a 0.00% LIBOR floor, plus a margin between 1.50% and 2.00%, depending on the Company’s senior secured leverage ratio. Outstanding ABR Loans incur interest at the highest of (a) the Prime Rate, as published by the Wall Street Journal, (b) the federal funds rate in effect for such day plus 0.50%, and (c) the Eurodollar Rate plus 1.00%, in each case plus a margin between (0.25)% and 0.25%, depending on the senior secured leverage ratio. The Company will be charged a commitment fee of 0.15% to 0.25% per year for committed but unused amounts, depending on the senior secured leverage ratio. The financial covenants require the Company to maintain a minimum consolidated interest coverage ratio of 3.00:1.00, a maximum senior secured leverage ratio of 3.00:1.00 (through January 31, 2023), and a maximum total leverage ratio of 5.50:1.00 stepping down to 3.50:1.00 over time. The Company was in compliance with the financial covenants as of April 30, 2021.</w:t>
      </w:r>
    </w:p>
    <w:p>
      <w:pPr>
        <w:spacing w:after="0" w:line="128" w:lineRule="exact"/>
        <w:rPr>
          <w:sz w:val="20"/>
          <w:szCs w:val="20"/>
          <w:color w:val="auto"/>
        </w:rPr>
      </w:pPr>
    </w:p>
    <w:p>
      <w:pPr>
        <w:ind w:firstLine="508"/>
        <w:spacing w:after="0" w:line="261" w:lineRule="auto"/>
        <w:rPr>
          <w:sz w:val="20"/>
          <w:szCs w:val="20"/>
          <w:color w:val="auto"/>
        </w:rPr>
      </w:pPr>
      <w:r>
        <w:rPr>
          <w:rFonts w:ascii="Arial" w:cs="Arial" w:eastAsia="Arial" w:hAnsi="Arial"/>
          <w:sz w:val="14"/>
          <w:szCs w:val="14"/>
          <w:color w:val="auto"/>
        </w:rPr>
        <w:t>The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 amounts were outstanding under the A&amp;R Credit Agreement as of April 30, 2021 and January 31, 2021.</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Senior Notes</w:t>
      </w:r>
    </w:p>
    <w:p>
      <w:pPr>
        <w:spacing w:after="0" w:line="178" w:lineRule="exact"/>
        <w:rPr>
          <w:sz w:val="20"/>
          <w:szCs w:val="20"/>
          <w:color w:val="auto"/>
        </w:rPr>
      </w:pPr>
    </w:p>
    <w:p>
      <w:pPr>
        <w:ind w:right="80" w:firstLine="508"/>
        <w:spacing w:after="0" w:line="278" w:lineRule="auto"/>
        <w:rPr>
          <w:sz w:val="20"/>
          <w:szCs w:val="20"/>
          <w:color w:val="auto"/>
        </w:rPr>
      </w:pPr>
      <w:r>
        <w:rPr>
          <w:rFonts w:ascii="Arial" w:cs="Arial" w:eastAsia="Arial" w:hAnsi="Arial"/>
          <w:sz w:val="13"/>
          <w:szCs w:val="13"/>
          <w:color w:val="auto"/>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38" w:lineRule="exact"/>
        <w:rPr>
          <w:sz w:val="20"/>
          <w:szCs w:val="20"/>
          <w:color w:val="auto"/>
        </w:rPr>
      </w:pPr>
    </w:p>
    <w:p>
      <w:pPr>
        <w:jc w:val="both"/>
        <w:ind w:right="240" w:firstLine="508"/>
        <w:spacing w:after="0" w:line="266" w:lineRule="auto"/>
        <w:rPr>
          <w:sz w:val="20"/>
          <w:szCs w:val="20"/>
          <w:color w:val="auto"/>
        </w:rPr>
      </w:pPr>
      <w:r>
        <w:rPr>
          <w:rFonts w:ascii="Arial" w:cs="Arial" w:eastAsia="Arial" w:hAnsi="Arial"/>
          <w:sz w:val="14"/>
          <w:szCs w:val="14"/>
          <w:color w:val="auto"/>
        </w:rPr>
        <w:t>The net proceeds from the debt offering were $738.0 million after deducting underwriting commissions of $9.4 million and $2.6 million of issuance costs, which were paid as of April 30, 2021.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April 30, 2021.</w:t>
      </w:r>
    </w:p>
    <w:p>
      <w:pPr>
        <w:spacing w:after="0" w:line="142"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32" w:lineRule="exact"/>
        <w:rPr>
          <w:sz w:val="20"/>
          <w:szCs w:val="20"/>
          <w:color w:val="auto"/>
        </w:rPr>
      </w:pPr>
    </w:p>
    <w:p>
      <w:pPr>
        <w:ind w:right="60" w:firstLine="508"/>
        <w:spacing w:after="0" w:line="287" w:lineRule="auto"/>
        <w:rPr>
          <w:sz w:val="20"/>
          <w:szCs w:val="20"/>
          <w:color w:val="auto"/>
        </w:rPr>
      </w:pPr>
      <w:r>
        <w:rPr>
          <w:rFonts w:ascii="Arial" w:cs="Arial" w:eastAsia="Arial" w:hAnsi="Arial"/>
          <w:sz w:val="13"/>
          <w:szCs w:val="13"/>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17" w:name="page18"/>
    <w:bookmarkEnd w:id="17"/>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April 30, 2021, the Company was in compliance with all of its financial covenants under the Indenture associated with the Senior Notes.</w:t>
      </w:r>
    </w:p>
    <w:p>
      <w:pPr>
        <w:spacing w:after="0" w:line="178" w:lineRule="exact"/>
        <w:rPr>
          <w:sz w:val="20"/>
          <w:szCs w:val="20"/>
          <w:color w:val="auto"/>
        </w:rPr>
      </w:pPr>
    </w:p>
    <w:p>
      <w:pPr>
        <w:ind w:firstLine="508"/>
        <w:spacing w:after="0" w:line="266" w:lineRule="auto"/>
        <w:rPr>
          <w:sz w:val="20"/>
          <w:szCs w:val="20"/>
          <w:color w:val="auto"/>
        </w:rPr>
      </w:pPr>
      <w:r>
        <w:rPr>
          <w:rFonts w:ascii="Arial" w:cs="Arial" w:eastAsia="Arial" w:hAnsi="Arial"/>
          <w:sz w:val="14"/>
          <w:szCs w:val="14"/>
          <w:color w:val="auto"/>
        </w:rPr>
        <w:t>Based on the trading prices of the Senior Notes, the fair value of the Senior Notes as of April 30, 2021 was approximately $743.6 million. While the Senior Notes are recorded at cost, the fair value of the Senior Notes was determined based on quoted prices in markets that are not active; accordingly, the Senior Notes is categorized as Level 2 for purposes of the fair value measurement hierarchy.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6. Income Taxes</w:t>
      </w:r>
    </w:p>
    <w:p>
      <w:pPr>
        <w:spacing w:after="0" w:line="178" w:lineRule="exact"/>
        <w:rPr>
          <w:sz w:val="20"/>
          <w:szCs w:val="20"/>
          <w:color w:val="auto"/>
        </w:rPr>
      </w:pPr>
    </w:p>
    <w:p>
      <w:pPr>
        <w:ind w:right="100" w:firstLine="508"/>
        <w:spacing w:after="0" w:line="261" w:lineRule="auto"/>
        <w:rPr>
          <w:sz w:val="20"/>
          <w:szCs w:val="20"/>
          <w:color w:val="auto"/>
        </w:rPr>
      </w:pPr>
      <w:r>
        <w:rPr>
          <w:rFonts w:ascii="Arial" w:cs="Arial" w:eastAsia="Arial" w:hAnsi="Arial"/>
          <w:sz w:val="14"/>
          <w:szCs w:val="14"/>
          <w:color w:val="auto"/>
        </w:rPr>
        <w:t>The Company recognized an income tax expense of $50.1 million and $1.0 million for the three months ended April 30, 2021 and April 30, 2020, respectively. The tax expense for the three months ended April 30, 2021 was primarily attributable to the intercompany sale of intellectual property and pre-tax foreign earnings. The Company’s effective tax rates of (143.1)% and (5.7)% for the three months ended April 30, 2021 and April 30, 2020, respectively, differ from the U.S. statutory tax rate primarily due to U.S. losses for which there is no benefit and the tax impact from the intercompany sale of intellectual property from Humio.</w:t>
      </w:r>
    </w:p>
    <w:p>
      <w:pPr>
        <w:spacing w:after="0" w:line="146"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The Company has a full valuation allowance on its U.S. federal and state and its U.K. deferred tax assets. As a result, consistent with the prior year, the Company does not record a tax benefit on these losses because it is more likely than not that the benefit will not be realized.</w:t>
      </w:r>
    </w:p>
    <w:p>
      <w:pPr>
        <w:spacing w:after="0" w:line="132" w:lineRule="exact"/>
        <w:rPr>
          <w:sz w:val="20"/>
          <w:szCs w:val="20"/>
          <w:color w:val="auto"/>
        </w:rPr>
      </w:pPr>
    </w:p>
    <w:p>
      <w:pPr>
        <w:ind w:firstLine="508"/>
        <w:spacing w:after="0" w:line="261" w:lineRule="auto"/>
        <w:rPr>
          <w:sz w:val="20"/>
          <w:szCs w:val="20"/>
          <w:color w:val="auto"/>
        </w:rPr>
      </w:pPr>
      <w:r>
        <w:rPr>
          <w:rFonts w:ascii="Arial" w:cs="Arial" w:eastAsia="Arial" w:hAnsi="Arial"/>
          <w:sz w:val="14"/>
          <w:szCs w:val="14"/>
          <w:color w:val="auto"/>
        </w:rPr>
        <w:t>The balance of gross unrecognized tax benefits was $51.1 million and $24.4 million as of April 30, 2021 and January 31, 2021, respectively. The increase was primarily due to establishing an uncertain tax position associated with the intercompany sale of intellectual property. As of April 30, 2021 and January 31, 2021, approximately $23.0 million and $0.6 million, respectively of the unrecognized tax benefits including interest and penalties would affect the Company’s effective tax rate if favorably resolved. Given the uncertainty of the timing of resolving the issue, the Company is unable to estimate the range of possible changes to the balance of our unrecognized tax benefits within the next 12 months.</w:t>
      </w:r>
    </w:p>
    <w:p>
      <w:pPr>
        <w:spacing w:after="0" w:line="146" w:lineRule="exact"/>
        <w:rPr>
          <w:sz w:val="20"/>
          <w:szCs w:val="20"/>
          <w:color w:val="auto"/>
        </w:rPr>
      </w:pPr>
    </w:p>
    <w:p>
      <w:pPr>
        <w:ind w:right="20" w:firstLine="508"/>
        <w:spacing w:after="0" w:line="257" w:lineRule="auto"/>
        <w:rPr>
          <w:sz w:val="20"/>
          <w:szCs w:val="20"/>
          <w:color w:val="auto"/>
        </w:rPr>
      </w:pPr>
      <w:r>
        <w:rPr>
          <w:rFonts w:ascii="Arial" w:cs="Arial" w:eastAsia="Arial" w:hAnsi="Arial"/>
          <w:sz w:val="14"/>
          <w:szCs w:val="14"/>
          <w:color w:val="auto"/>
        </w:rPr>
        <w:t>In accordance with the guidance on the accounting for uncertainty in income taxes, for all U.S. and other tax jurisdictions, the Company recognize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 interest and penalties related to unrecognized tax benefits within the provision for income taxes in the condensed consolidated statements of operations. Accrued interest and penalties are included within other liabilities, noncurrent in the condensed consolidated balance sheet.</w:t>
      </w:r>
    </w:p>
    <w:p>
      <w:pPr>
        <w:spacing w:after="0" w:line="151"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i w:val="1"/>
          <w:iCs w:val="1"/>
          <w:color w:val="auto"/>
        </w:rPr>
        <w:t>7.</w:t>
      </w:r>
      <w:r>
        <w:rPr>
          <w:sz w:val="20"/>
          <w:szCs w:val="20"/>
          <w:color w:val="auto"/>
        </w:rPr>
        <w:tab/>
      </w:r>
      <w:r>
        <w:rPr>
          <w:rFonts w:ascii="Arial" w:cs="Arial" w:eastAsia="Arial" w:hAnsi="Arial"/>
          <w:sz w:val="11"/>
          <w:szCs w:val="11"/>
          <w:b w:val="1"/>
          <w:bCs w:val="1"/>
          <w:i w:val="1"/>
          <w:iCs w:val="1"/>
          <w:color w:val="auto"/>
        </w:rPr>
        <w:t>Leases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Leases</w:t>
      </w:r>
    </w:p>
    <w:p>
      <w:pPr>
        <w:spacing w:after="0" w:line="178" w:lineRule="exact"/>
        <w:rPr>
          <w:sz w:val="20"/>
          <w:szCs w:val="20"/>
          <w:color w:val="auto"/>
        </w:rPr>
      </w:pPr>
    </w:p>
    <w:p>
      <w:pPr>
        <w:ind w:right="140" w:firstLine="508"/>
        <w:spacing w:after="0" w:line="280" w:lineRule="auto"/>
        <w:rPr>
          <w:sz w:val="20"/>
          <w:szCs w:val="20"/>
          <w:color w:val="auto"/>
        </w:rPr>
      </w:pPr>
      <w:r>
        <w:rPr>
          <w:rFonts w:ascii="Arial" w:cs="Arial" w:eastAsia="Arial" w:hAnsi="Arial"/>
          <w:sz w:val="14"/>
          <w:szCs w:val="14"/>
          <w:color w:val="auto"/>
        </w:rPr>
        <w:t>The Company has entered into non-cancelable operating lease agreements with various expiration dates through fiscal 2027. Certain lease agreements include options to renew or terminate the lease, which are not reasonably certain to be exercised and therefore are not factored into the determination of lease payments.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Cash paid for amounts included in the measurement of operating lease liabilities was $2.9 million and $2.4 million for the three months ended April 30, 2021 and April 30, 2020,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 liabilities arising from obtaining operating right-of-use assets was $2.6 million and none for the three months ended April 30, 2021 and April 30, 2020, respectively.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April 30, 2021, the weighted-average remaining lease term is 3.9 years, and the weighted-average discount rate is 5.6%.</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1">
              <w:r>
                <w:rPr>
                  <w:rFonts w:ascii="Arial" w:cs="Arial" w:eastAsia="Arial" w:hAnsi="Arial"/>
                  <w:sz w:val="14"/>
                  <w:szCs w:val="14"/>
                  <w:color w:val="0000FF"/>
                  <w:w w:val="88"/>
                </w:rPr>
                <w:t>Table of Contents</w:t>
              </w:r>
            </w:hyperlink>
          </w:p>
        </w:tc>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16"/>
        </w:trPr>
        <w:tc>
          <w:tcPr>
            <w:tcW w:w="5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The component of lease costs was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0"/>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April 30, 2020</w:t>
            </w:r>
          </w:p>
        </w:tc>
      </w:tr>
      <w:tr>
        <w:trPr>
          <w:trHeight w:val="202"/>
        </w:trPr>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4"/>
          </w:tcPr>
          <w:p>
            <w:pPr>
              <w:jc w:val="right"/>
              <w:ind w:right="1049"/>
              <w:spacing w:after="0"/>
              <w:rPr>
                <w:sz w:val="20"/>
                <w:szCs w:val="20"/>
                <w:color w:val="auto"/>
              </w:rPr>
            </w:pPr>
            <w:r>
              <w:rPr>
                <w:rFonts w:ascii="Arial" w:cs="Arial" w:eastAsia="Arial" w:hAnsi="Arial"/>
                <w:sz w:val="14"/>
                <w:szCs w:val="14"/>
                <w:b w:val="1"/>
                <w:bCs w:val="1"/>
                <w:color w:val="auto"/>
              </w:rPr>
              <w:t>(in thousands)</w:t>
            </w:r>
          </w:p>
        </w:tc>
      </w:tr>
      <w:tr>
        <w:trPr>
          <w:trHeight w:val="180"/>
        </w:trPr>
        <w:tc>
          <w:tcPr>
            <w:tcW w:w="81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Lease cost</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8180" w:type="dxa"/>
            <w:vAlign w:val="bottom"/>
            <w:gridSpan w:val="3"/>
          </w:tcPr>
          <w:p>
            <w:pPr>
              <w:ind w:left="20"/>
              <w:spacing w:after="0"/>
              <w:rPr>
                <w:sz w:val="20"/>
                <w:szCs w:val="20"/>
                <w:color w:val="auto"/>
              </w:rPr>
            </w:pPr>
            <w:r>
              <w:rPr>
                <w:rFonts w:ascii="Arial" w:cs="Arial" w:eastAsia="Arial" w:hAnsi="Arial"/>
                <w:sz w:val="14"/>
                <w:szCs w:val="14"/>
                <w:color w:val="auto"/>
              </w:rPr>
              <w:t>Operating lease cost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2,766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2,283</w:t>
            </w:r>
          </w:p>
        </w:tc>
      </w:tr>
      <w:tr>
        <w:trPr>
          <w:trHeight w:val="180"/>
        </w:trPr>
        <w:tc>
          <w:tcPr>
            <w:tcW w:w="8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r>
      <w:tr>
        <w:trPr>
          <w:trHeight w:val="180"/>
        </w:trPr>
        <w:tc>
          <w:tcPr>
            <w:tcW w:w="81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Variable lease cost</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w:t>
            </w:r>
          </w:p>
        </w:tc>
      </w:tr>
      <w:tr>
        <w:trPr>
          <w:trHeight w:val="196"/>
        </w:trPr>
        <w:tc>
          <w:tcPr>
            <w:tcW w:w="81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Total lease cost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right="60" w:firstLine="508"/>
        <w:spacing w:after="0" w:line="280" w:lineRule="auto"/>
        <w:rPr>
          <w:sz w:val="20"/>
          <w:szCs w:val="20"/>
          <w:color w:val="auto"/>
        </w:rPr>
      </w:pPr>
      <w:r>
        <w:rPr>
          <w:rFonts w:ascii="Arial" w:cs="Arial" w:eastAsia="Arial" w:hAnsi="Arial"/>
          <w:sz w:val="14"/>
          <w:szCs w:val="14"/>
          <w:color w:val="auto"/>
        </w:rPr>
        <w:t>There was no sublease income for the three months ended April 30, 2021 or April 30, 2020. As of April 30, 2021, the Company has not entered into any non-cancelable operating leases with a term greater than 12 months that have not yet commenced.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80" w:type="dxa"/>
            <w:vAlign w:val="bottom"/>
          </w:tcPr>
          <w:p>
            <w:pPr>
              <w:ind w:left="520"/>
              <w:spacing w:after="0"/>
              <w:rPr>
                <w:sz w:val="20"/>
                <w:szCs w:val="20"/>
                <w:color w:val="auto"/>
              </w:rPr>
            </w:pPr>
            <w:r>
              <w:rPr>
                <w:rFonts w:ascii="Arial" w:cs="Arial" w:eastAsia="Arial" w:hAnsi="Arial"/>
                <w:sz w:val="14"/>
                <w:szCs w:val="14"/>
                <w:color w:val="auto"/>
              </w:rPr>
              <w:t>The maturities of the Company’s non-cancelable operating lease liabilities are as follows: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4"/>
        </w:trPr>
        <w:tc>
          <w:tcPr>
            <w:tcW w:w="9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April 30, 2021</w:t>
            </w:r>
          </w:p>
        </w:tc>
      </w:tr>
      <w:tr>
        <w:trPr>
          <w:trHeight w:val="171"/>
        </w:trPr>
        <w:tc>
          <w:tcPr>
            <w:tcW w:w="9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49"/>
              <w:spacing w:after="0"/>
              <w:rPr>
                <w:sz w:val="20"/>
                <w:szCs w:val="20"/>
                <w:color w:val="auto"/>
              </w:rPr>
            </w:pPr>
            <w:r>
              <w:rPr>
                <w:rFonts w:ascii="Arial" w:cs="Arial" w:eastAsia="Arial" w:hAnsi="Arial"/>
                <w:sz w:val="14"/>
                <w:szCs w:val="14"/>
                <w:b w:val="1"/>
                <w:bCs w:val="1"/>
                <w:color w:val="auto"/>
                <w:w w:val="99"/>
              </w:rPr>
              <w:t>(in thousands)</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2022 (remaining nine months)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7,279</w:t>
            </w:r>
          </w:p>
        </w:tc>
      </w:tr>
      <w:tr>
        <w:trPr>
          <w:trHeight w:val="180"/>
        </w:trPr>
        <w:tc>
          <w:tcPr>
            <w:tcW w:w="9780" w:type="dxa"/>
            <w:vAlign w:val="bottom"/>
          </w:tcPr>
          <w:p>
            <w:pPr>
              <w:ind w:left="20"/>
              <w:spacing w:after="0"/>
              <w:rPr>
                <w:sz w:val="20"/>
                <w:szCs w:val="20"/>
                <w:color w:val="auto"/>
              </w:rPr>
            </w:pPr>
            <w:r>
              <w:rPr>
                <w:rFonts w:ascii="Arial" w:cs="Arial" w:eastAsia="Arial" w:hAnsi="Arial"/>
                <w:sz w:val="14"/>
                <w:szCs w:val="14"/>
                <w:color w:val="auto"/>
              </w:rPr>
              <w:t>Fiscal 2023</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11,578</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2024</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11,539</w:t>
            </w:r>
          </w:p>
        </w:tc>
      </w:tr>
      <w:tr>
        <w:trPr>
          <w:trHeight w:val="180"/>
        </w:trPr>
        <w:tc>
          <w:tcPr>
            <w:tcW w:w="9780" w:type="dxa"/>
            <w:vAlign w:val="bottom"/>
          </w:tcPr>
          <w:p>
            <w:pPr>
              <w:ind w:left="20"/>
              <w:spacing w:after="0"/>
              <w:rPr>
                <w:sz w:val="20"/>
                <w:szCs w:val="20"/>
                <w:color w:val="auto"/>
              </w:rPr>
            </w:pPr>
            <w:r>
              <w:rPr>
                <w:rFonts w:ascii="Arial" w:cs="Arial" w:eastAsia="Arial" w:hAnsi="Arial"/>
                <w:sz w:val="14"/>
                <w:szCs w:val="14"/>
                <w:color w:val="auto"/>
              </w:rPr>
              <w:t>Fiscal 2025</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10,421</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2026</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w:t>
            </w:r>
          </w:p>
        </w:tc>
      </w:tr>
      <w:tr>
        <w:trPr>
          <w:trHeight w:val="18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r>
      <w:tr>
        <w:trPr>
          <w:trHeight w:val="171"/>
        </w:trPr>
        <w:tc>
          <w:tcPr>
            <w:tcW w:w="9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operating lease payments</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45,657</w:t>
            </w:r>
          </w:p>
        </w:tc>
      </w:tr>
      <w:tr>
        <w:trPr>
          <w:trHeight w:val="18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(4,866)</w:t>
            </w:r>
          </w:p>
        </w:tc>
      </w:tr>
      <w:tr>
        <w:trPr>
          <w:trHeight w:val="196"/>
        </w:trPr>
        <w:tc>
          <w:tcPr>
            <w:tcW w:w="9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operating lease liabilities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40,791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20" w:right="9440" w:hanging="515"/>
        <w:spacing w:after="0" w:line="642" w:lineRule="auto"/>
        <w:tabs>
          <w:tab w:leader="none" w:pos="259" w:val="left"/>
        </w:tabs>
        <w:numPr>
          <w:ilvl w:val="0"/>
          <w:numId w:val="11"/>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Stock-Based Compensation Stock Incentive Plan</w:t>
      </w:r>
    </w:p>
    <w:p>
      <w:pPr>
        <w:ind w:firstLine="508"/>
        <w:spacing w:after="0" w:line="257" w:lineRule="auto"/>
        <w:rPr>
          <w:sz w:val="20"/>
          <w:szCs w:val="20"/>
          <w:color w:val="auto"/>
        </w:rPr>
      </w:pPr>
      <w:r>
        <w:rPr>
          <w:rFonts w:ascii="Arial" w:cs="Arial" w:eastAsia="Arial" w:hAnsi="Arial"/>
          <w:sz w:val="14"/>
          <w:szCs w:val="14"/>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51" w:lineRule="exact"/>
        <w:rPr>
          <w:sz w:val="20"/>
          <w:szCs w:val="20"/>
          <w:color w:val="auto"/>
        </w:rPr>
      </w:pPr>
    </w:p>
    <w:p>
      <w:pPr>
        <w:ind w:right="160" w:firstLine="508"/>
        <w:spacing w:after="0" w:line="266" w:lineRule="auto"/>
        <w:rPr>
          <w:sz w:val="20"/>
          <w:szCs w:val="20"/>
          <w:color w:val="auto"/>
        </w:rPr>
      </w:pPr>
      <w:r>
        <w:rPr>
          <w:rFonts w:ascii="Arial" w:cs="Arial" w:eastAsia="Arial" w:hAnsi="Arial"/>
          <w:sz w:val="14"/>
          <w:szCs w:val="14"/>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Stock Options</w:t>
      </w:r>
    </w:p>
    <w:p>
      <w:pPr>
        <w:spacing w:after="0" w:line="178" w:lineRule="exact"/>
        <w:rPr>
          <w:sz w:val="20"/>
          <w:szCs w:val="20"/>
          <w:color w:val="auto"/>
        </w:rPr>
      </w:pPr>
    </w:p>
    <w:p>
      <w:pPr>
        <w:ind w:right="20" w:firstLine="508"/>
        <w:spacing w:after="0" w:line="261" w:lineRule="auto"/>
        <w:rPr>
          <w:sz w:val="20"/>
          <w:szCs w:val="20"/>
          <w:color w:val="auto"/>
        </w:rPr>
      </w:pPr>
      <w:r>
        <w:rPr>
          <w:rFonts w:ascii="Arial" w:cs="Arial" w:eastAsia="Arial" w:hAnsi="Arial"/>
          <w:sz w:val="14"/>
          <w:szCs w:val="14"/>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1">
              <w:r>
                <w:rPr>
                  <w:rFonts w:ascii="Arial" w:cs="Arial" w:eastAsia="Arial" w:hAnsi="Arial"/>
                  <w:sz w:val="14"/>
                  <w:szCs w:val="14"/>
                  <w:color w:val="0000FF"/>
                  <w:w w:val="88"/>
                </w:rPr>
                <w:t>Table of Contents</w:t>
              </w:r>
            </w:hyperlink>
          </w:p>
        </w:tc>
        <w:tc>
          <w:tcPr>
            <w:tcW w:w="6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6"/>
        </w:trPr>
        <w:tc>
          <w:tcPr>
            <w:tcW w:w="52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The fair value of each option was estimated on the date of grant using the following assumptions during the period: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80"/>
        </w:trPr>
        <w:tc>
          <w:tcPr>
            <w:tcW w:w="5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April 30, 2021</w:t>
            </w:r>
          </w:p>
        </w:tc>
        <w:tc>
          <w:tcPr>
            <w:tcW w:w="0" w:type="dxa"/>
            <w:vAlign w:val="bottom"/>
          </w:tcPr>
          <w:p>
            <w:pPr>
              <w:spacing w:after="0"/>
              <w:rPr>
                <w:sz w:val="1"/>
                <w:szCs w:val="1"/>
                <w:color w:val="auto"/>
              </w:rPr>
            </w:pPr>
          </w:p>
        </w:tc>
      </w:tr>
      <w:tr>
        <w:trPr>
          <w:trHeight w:val="17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3.8 - 5.6</w:t>
            </w:r>
          </w:p>
        </w:tc>
        <w:tc>
          <w:tcPr>
            <w:tcW w:w="0" w:type="dxa"/>
            <w:vAlign w:val="bottom"/>
          </w:tcPr>
          <w:p>
            <w:pPr>
              <w:spacing w:after="0"/>
              <w:rPr>
                <w:sz w:val="1"/>
                <w:szCs w:val="1"/>
                <w:color w:val="auto"/>
              </w:rPr>
            </w:pPr>
          </w:p>
        </w:tc>
      </w:tr>
      <w:tr>
        <w:trPr>
          <w:trHeight w:val="180"/>
        </w:trPr>
        <w:tc>
          <w:tcPr>
            <w:tcW w:w="8160" w:type="dxa"/>
            <w:vAlign w:val="bottom"/>
            <w:gridSpan w:val="3"/>
          </w:tcPr>
          <w:p>
            <w:pPr>
              <w:ind w:left="20"/>
              <w:spacing w:after="0"/>
              <w:rPr>
                <w:sz w:val="20"/>
                <w:szCs w:val="20"/>
                <w:color w:val="auto"/>
              </w:rPr>
            </w:pPr>
            <w:r>
              <w:rPr>
                <w:rFonts w:ascii="Arial" w:cs="Arial" w:eastAsia="Arial" w:hAnsi="Arial"/>
                <w:sz w:val="14"/>
                <w:szCs w:val="14"/>
                <w:color w:val="auto"/>
              </w:rPr>
              <w:t>Risk-free interest rate</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0.6 - 1.0%</w:t>
            </w:r>
          </w:p>
        </w:tc>
        <w:tc>
          <w:tcPr>
            <w:tcW w:w="0" w:type="dxa"/>
            <w:vAlign w:val="bottom"/>
          </w:tcPr>
          <w:p>
            <w:pPr>
              <w:spacing w:after="0"/>
              <w:rPr>
                <w:sz w:val="1"/>
                <w:szCs w:val="1"/>
                <w:color w:val="auto"/>
              </w:rPr>
            </w:pP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Expected stock price volatility</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36.1 - 37.1%</w:t>
            </w:r>
          </w:p>
        </w:tc>
        <w:tc>
          <w:tcPr>
            <w:tcW w:w="0" w:type="dxa"/>
            <w:vAlign w:val="bottom"/>
          </w:tcPr>
          <w:p>
            <w:pPr>
              <w:spacing w:after="0"/>
              <w:rPr>
                <w:sz w:val="1"/>
                <w:szCs w:val="1"/>
                <w:color w:val="auto"/>
              </w:rPr>
            </w:pPr>
          </w:p>
        </w:tc>
      </w:tr>
      <w:tr>
        <w:trPr>
          <w:trHeight w:val="180"/>
        </w:trPr>
        <w:tc>
          <w:tcPr>
            <w:tcW w:w="8160" w:type="dxa"/>
            <w:vAlign w:val="bottom"/>
            <w:gridSpan w:val="3"/>
          </w:tcPr>
          <w:p>
            <w:pPr>
              <w:ind w:left="20"/>
              <w:spacing w:after="0"/>
              <w:rPr>
                <w:sz w:val="20"/>
                <w:szCs w:val="20"/>
                <w:color w:val="auto"/>
              </w:rPr>
            </w:pPr>
            <w:r>
              <w:rPr>
                <w:rFonts w:ascii="Arial" w:cs="Arial" w:eastAsia="Arial" w:hAnsi="Arial"/>
                <w:sz w:val="14"/>
                <w:szCs w:val="14"/>
                <w:color w:val="auto"/>
              </w:rPr>
              <w:t>Dividend yield</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338"/>
        </w:trPr>
        <w:tc>
          <w:tcPr>
            <w:tcW w:w="52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There were no stock options granted during the three months ended April 30, 2020.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2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4"/>
                <w:szCs w:val="14"/>
                <w:color w:val="auto"/>
              </w:rPr>
              <w:t>The following table is a summary of stock option activity for the three months ended April 30, 2021: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500" w:type="dxa"/>
            <w:vAlign w:val="bottom"/>
            <w:vMerge w:val="restart"/>
          </w:tcPr>
          <w:p>
            <w:pPr>
              <w:jc w:val="right"/>
              <w:ind w:right="371"/>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Weighted-Average</w:t>
            </w:r>
          </w:p>
        </w:tc>
        <w:tc>
          <w:tcPr>
            <w:tcW w:w="0" w:type="dxa"/>
            <w:vAlign w:val="bottom"/>
          </w:tcPr>
          <w:p>
            <w:pPr>
              <w:spacing w:after="0"/>
              <w:rPr>
                <w:sz w:val="1"/>
                <w:szCs w:val="1"/>
                <w:color w:val="auto"/>
              </w:rPr>
            </w:pPr>
          </w:p>
        </w:tc>
      </w:tr>
      <w:tr>
        <w:trPr>
          <w:trHeight w:val="127"/>
        </w:trPr>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180"/>
              <w:spacing w:after="0" w:line="127" w:lineRule="exact"/>
              <w:rPr>
                <w:sz w:val="20"/>
                <w:szCs w:val="20"/>
                <w:color w:val="auto"/>
              </w:rPr>
            </w:pPr>
            <w:r>
              <w:rPr>
                <w:rFonts w:ascii="Arial" w:cs="Arial" w:eastAsia="Arial" w:hAnsi="Arial"/>
                <w:sz w:val="13"/>
                <w:szCs w:val="13"/>
                <w:b w:val="1"/>
                <w:bCs w:val="1"/>
                <w:color w:val="auto"/>
                <w:w w:val="92"/>
              </w:rPr>
              <w:t>Exercise Price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500" w:type="dxa"/>
            <w:vAlign w:val="bottom"/>
          </w:tcPr>
          <w:p>
            <w:pPr>
              <w:jc w:val="right"/>
              <w:ind w:right="491"/>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Per Share</w:t>
            </w: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Options outstanding at January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6,646</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gridSpan w:val="3"/>
          </w:tcPr>
          <w:p>
            <w:pPr>
              <w:ind w:left="2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spacing w:after="0"/>
              <w:rPr>
                <w:sz w:val="20"/>
                <w:szCs w:val="20"/>
                <w:color w:val="auto"/>
              </w:rPr>
            </w:pPr>
            <w:r>
              <w:rPr>
                <w:rFonts w:ascii="Arial" w:cs="Arial" w:eastAsia="Arial" w:hAnsi="Arial"/>
                <w:sz w:val="14"/>
                <w:szCs w:val="14"/>
                <w:color w:val="auto"/>
              </w:rPr>
              <w:t>93</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26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Options outstanding at April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5,912</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gridSpan w:val="3"/>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Options vested and expected to vest at April 30, 2021</w:t>
            </w:r>
          </w:p>
        </w:tc>
        <w:tc>
          <w:tcPr>
            <w:tcW w:w="1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5,912</w:t>
            </w:r>
          </w:p>
        </w:tc>
        <w:tc>
          <w:tcPr>
            <w:tcW w:w="26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2" w:lineRule="exact"/>
              <w:rPr>
                <w:sz w:val="20"/>
                <w:szCs w:val="20"/>
                <w:color w:val="auto"/>
              </w:rPr>
            </w:pPr>
            <w:r>
              <w:rPr>
                <w:rFonts w:ascii="Arial" w:cs="Arial" w:eastAsia="Arial" w:hAnsi="Arial"/>
                <w:sz w:val="14"/>
                <w:szCs w:val="14"/>
                <w:color w:val="auto"/>
              </w:rPr>
              <w:t>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Options exercisable at April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3,232</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Options outstanding include 409,281 options that were unvested as of April 30, 2021.</w:t>
      </w:r>
    </w:p>
    <w:p>
      <w:pPr>
        <w:spacing w:after="0" w:line="178" w:lineRule="exact"/>
        <w:rPr>
          <w:sz w:val="20"/>
          <w:szCs w:val="20"/>
          <w:color w:val="auto"/>
        </w:rPr>
      </w:pPr>
    </w:p>
    <w:p>
      <w:pPr>
        <w:ind w:right="520" w:firstLine="508"/>
        <w:spacing w:after="0" w:line="280" w:lineRule="auto"/>
        <w:rPr>
          <w:sz w:val="20"/>
          <w:szCs w:val="20"/>
          <w:color w:val="auto"/>
        </w:rPr>
      </w:pPr>
      <w:r>
        <w:rPr>
          <w:rFonts w:ascii="Arial" w:cs="Arial" w:eastAsia="Arial" w:hAnsi="Arial"/>
          <w:sz w:val="14"/>
          <w:szCs w:val="14"/>
          <w:color w:val="auto"/>
        </w:rPr>
        <w:t>The aggregate intrinsic value of options vested and exercisable was $655.9 million and $711.4 million as of April 30, 2021 and January 31, 2021, respectively. The weighted-average remaining contractual term of options vested and exercisable was 6.3 years and 6.4 years as of April 30, 2021 and January 31, 2021, respectively.</w:t>
      </w:r>
    </w:p>
    <w:p>
      <w:pPr>
        <w:spacing w:after="0" w:line="132" w:lineRule="exact"/>
        <w:rPr>
          <w:sz w:val="20"/>
          <w:szCs w:val="20"/>
          <w:color w:val="auto"/>
        </w:rPr>
      </w:pPr>
    </w:p>
    <w:p>
      <w:pPr>
        <w:ind w:right="120" w:firstLine="508"/>
        <w:spacing w:after="0" w:line="280" w:lineRule="auto"/>
        <w:rPr>
          <w:sz w:val="20"/>
          <w:szCs w:val="20"/>
          <w:color w:val="auto"/>
        </w:rPr>
      </w:pPr>
      <w:r>
        <w:rPr>
          <w:rFonts w:ascii="Arial" w:cs="Arial" w:eastAsia="Arial" w:hAnsi="Arial"/>
          <w:sz w:val="14"/>
          <w:szCs w:val="14"/>
          <w:color w:val="auto"/>
        </w:rPr>
        <w:t>The weighted-average grant date fair values of all options granted was $180.08 per share during the three months ended April 30, 2021. The total intrinsic value of all options exercised was $154.4 million and $111.2 million during the three months ended April 30, 2021 and April 30, 2020, respectively.</w:t>
      </w:r>
    </w:p>
    <w:p>
      <w:pPr>
        <w:spacing w:after="0" w:line="132" w:lineRule="exact"/>
        <w:rPr>
          <w:sz w:val="20"/>
          <w:szCs w:val="20"/>
          <w:color w:val="auto"/>
        </w:rPr>
      </w:pPr>
    </w:p>
    <w:p>
      <w:pPr>
        <w:ind w:right="260" w:firstLine="508"/>
        <w:spacing w:after="0" w:line="266" w:lineRule="auto"/>
        <w:rPr>
          <w:sz w:val="20"/>
          <w:szCs w:val="20"/>
          <w:color w:val="auto"/>
        </w:rPr>
      </w:pPr>
      <w:r>
        <w:rPr>
          <w:rFonts w:ascii="Arial" w:cs="Arial" w:eastAsia="Arial" w:hAnsi="Arial"/>
          <w:sz w:val="14"/>
          <w:szCs w:val="14"/>
          <w:color w:val="auto"/>
        </w:rPr>
        <w:t>The aggregate intrinsic value of stock options outstanding as of April 30, 2021 and January 31, 2021 was $1.2 billion and $1.4 billion, respectively, which represents the excess of the fair value of the Company’s common stock over the exercise price of the options multiplied by the number of options outstanding. The weighted-average remaining contractual term of stock options outstanding was 6.8 years and 7.0 years as of April 30, 2021 and January 31, 2021, respectively.</w:t>
      </w:r>
    </w:p>
    <w:p>
      <w:pPr>
        <w:spacing w:after="0" w:line="142" w:lineRule="exact"/>
        <w:rPr>
          <w:sz w:val="20"/>
          <w:szCs w:val="20"/>
          <w:color w:val="auto"/>
        </w:rPr>
      </w:pPr>
    </w:p>
    <w:p>
      <w:pPr>
        <w:ind w:right="220" w:firstLine="508"/>
        <w:spacing w:after="0" w:line="266" w:lineRule="auto"/>
        <w:rPr>
          <w:sz w:val="20"/>
          <w:szCs w:val="20"/>
          <w:color w:val="auto"/>
        </w:rPr>
      </w:pPr>
      <w:r>
        <w:rPr>
          <w:rFonts w:ascii="Arial" w:cs="Arial" w:eastAsia="Arial" w:hAnsi="Arial"/>
          <w:sz w:val="14"/>
          <w:szCs w:val="14"/>
          <w:color w:val="auto"/>
        </w:rPr>
        <w:t>Total unrecognized stock-based compensation expense related to unvested options was $30.6 million as of April 30, 2021. This expense is expected to be amortized on a straight-line basis over a weighted-average vesting period of 1.6 years. Total unrecognized stock-based compensation expense related to unvested options was $24.3 million as of January 31, 2021. This expense is expected to be amortized on a straight-line basis over a weighted-average vesting period of 1.7 years.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Early Exercise of Employee Options</w:t>
      </w:r>
    </w:p>
    <w:p>
      <w:pPr>
        <w:spacing w:after="0" w:line="178" w:lineRule="exact"/>
        <w:rPr>
          <w:sz w:val="20"/>
          <w:szCs w:val="20"/>
          <w:color w:val="auto"/>
        </w:rPr>
      </w:pPr>
    </w:p>
    <w:p>
      <w:pPr>
        <w:ind w:right="20" w:firstLine="508"/>
        <w:spacing w:after="0" w:line="283" w:lineRule="auto"/>
        <w:rPr>
          <w:sz w:val="20"/>
          <w:szCs w:val="20"/>
          <w:color w:val="auto"/>
        </w:rPr>
      </w:pPr>
      <w:r>
        <w:rPr>
          <w:rFonts w:ascii="Arial" w:cs="Arial" w:eastAsia="Arial" w:hAnsi="Arial"/>
          <w:sz w:val="13"/>
          <w:szCs w:val="13"/>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for the three months ended April 30, 2021 or April 30, 2020. As of April 30, 2021, the number of shares of common stock related to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20" w:name="page21"/>
    <w:bookmarkEnd w:id="2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95" w:lineRule="auto"/>
        <w:rPr>
          <w:sz w:val="20"/>
          <w:szCs w:val="20"/>
          <w:color w:val="auto"/>
        </w:rPr>
      </w:pPr>
      <w:r>
        <w:rPr>
          <w:rFonts w:ascii="Arial" w:cs="Arial" w:eastAsia="Arial" w:hAnsi="Arial"/>
          <w:sz w:val="13"/>
          <w:szCs w:val="13"/>
          <w:color w:val="auto"/>
        </w:rPr>
        <w:t>early exercised stock options subject to repurchase was 458,280 shares for $4.6 million. As of January 31, 2021, the number of shares of common stock related to early exercised stock options subject to repurchase was 548,028 shares for $5.4 million. Common stock purchased pursuant to an early exercise of stock options is not deemed to be outstanding for accounting purposes until those shares vest. The Company includes unvested shares subject to repurchase in the number of shares outstanding in the condensed consolidated statements of stockholders’ equity.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78" w:lineRule="exact"/>
        <w:rPr>
          <w:sz w:val="20"/>
          <w:szCs w:val="20"/>
          <w:color w:val="auto"/>
        </w:rPr>
      </w:pPr>
    </w:p>
    <w:p>
      <w:pPr>
        <w:ind w:firstLine="508"/>
        <w:spacing w:after="0" w:line="259" w:lineRule="auto"/>
        <w:rPr>
          <w:sz w:val="20"/>
          <w:szCs w:val="20"/>
          <w:color w:val="auto"/>
        </w:rPr>
      </w:pPr>
      <w:r>
        <w:rPr>
          <w:rFonts w:ascii="Arial" w:cs="Arial" w:eastAsia="Arial" w:hAnsi="Arial"/>
          <w:sz w:val="14"/>
          <w:szCs w:val="14"/>
          <w:color w:val="auto"/>
        </w:rPr>
        <w:t>Restricted Stock Units (“RSUs”) granted under the 2019 Plan are generally subject to only service-based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valuation of such RSUs is based solely on the fair value of the Company’s stock price on the date of grant.</w:t>
      </w:r>
    </w:p>
    <w:p>
      <w:pPr>
        <w:spacing w:after="0" w:line="147" w:lineRule="exact"/>
        <w:rPr>
          <w:sz w:val="20"/>
          <w:szCs w:val="20"/>
          <w:color w:val="auto"/>
        </w:rPr>
      </w:pPr>
    </w:p>
    <w:p>
      <w:pPr>
        <w:jc w:val="both"/>
        <w:ind w:right="200" w:firstLine="508"/>
        <w:spacing w:after="0" w:line="295" w:lineRule="auto"/>
        <w:rPr>
          <w:sz w:val="20"/>
          <w:szCs w:val="20"/>
          <w:color w:val="auto"/>
        </w:rPr>
      </w:pPr>
      <w:r>
        <w:rPr>
          <w:rFonts w:ascii="Arial" w:cs="Arial" w:eastAsia="Arial" w:hAnsi="Arial"/>
          <w:sz w:val="13"/>
          <w:szCs w:val="13"/>
          <w:color w:val="auto"/>
        </w:rPr>
        <w:t>Expense for RSUs that have a service-based vesting condition only are being amortized on a straight-line basis. Expense for RSUs that have both a service-based and a performance-based vesting condition are being amortized under the accelerated attribution method. Total unrecognized stock-based compensation expense related to unvested RSUs was $496.4 million as of April 30, 2021. This expense is expected to be amortized (subject to acceleration or straight-line basis) over a weighted-average vesting period of 2.5 years.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Performance-based Stock Units</w:t>
      </w:r>
    </w:p>
    <w:p>
      <w:pPr>
        <w:spacing w:after="0" w:line="178" w:lineRule="exact"/>
        <w:rPr>
          <w:sz w:val="20"/>
          <w:szCs w:val="20"/>
          <w:color w:val="auto"/>
        </w:rPr>
      </w:pPr>
    </w:p>
    <w:p>
      <w:pPr>
        <w:ind w:firstLine="508"/>
        <w:spacing w:after="0" w:line="250" w:lineRule="auto"/>
        <w:rPr>
          <w:sz w:val="20"/>
          <w:szCs w:val="20"/>
          <w:color w:val="auto"/>
        </w:rPr>
      </w:pPr>
      <w:r>
        <w:rPr>
          <w:rFonts w:ascii="Arial" w:cs="Arial" w:eastAsia="Arial" w:hAnsi="Arial"/>
          <w:sz w:val="14"/>
          <w:szCs w:val="14"/>
          <w:color w:val="auto"/>
        </w:rPr>
        <w:t>Performance-based stock units (“PSUs”)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compensation cost is recognized over the requisite service period when it is probable that the performance condition will be satisfied.</w:t>
      </w:r>
    </w:p>
    <w:p>
      <w:pPr>
        <w:spacing w:after="0" w:line="142" w:lineRule="exact"/>
        <w:rPr>
          <w:sz w:val="20"/>
          <w:szCs w:val="20"/>
          <w:color w:val="auto"/>
        </w:rPr>
      </w:pPr>
    </w:p>
    <w:p>
      <w:pPr>
        <w:ind w:right="40" w:firstLine="508"/>
        <w:spacing w:after="0" w:line="266" w:lineRule="auto"/>
        <w:rPr>
          <w:sz w:val="20"/>
          <w:szCs w:val="20"/>
          <w:color w:val="auto"/>
        </w:rPr>
      </w:pPr>
      <w:r>
        <w:rPr>
          <w:rFonts w:ascii="Arial" w:cs="Arial" w:eastAsia="Arial" w:hAnsi="Arial"/>
          <w:sz w:val="14"/>
          <w:szCs w:val="14"/>
          <w:color w:val="auto"/>
        </w:rPr>
        <w:t>Expense for PSUs are being amortized under the accelerated attribution method and may be adjusted over the vesting period based on interim estimates of performance against pre-set objectives. Total unrecognized stock-based compensation expense related to unvested PSUs was $89.2 million as of April 30, 2021. This expense is expected to be amortized over a weighted-average vesting period of 1.7 years.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is a summary of RSU and PSU activities for the three months ended April 30, 2021: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2"/>
              <w:spacing w:after="0"/>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27"/>
        </w:trPr>
        <w:tc>
          <w:tcPr>
            <w:tcW w:w="816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32"/>
              <w:spacing w:after="0" w:line="127" w:lineRule="exact"/>
              <w:rPr>
                <w:sz w:val="20"/>
                <w:szCs w:val="20"/>
                <w:color w:val="auto"/>
              </w:rPr>
            </w:pPr>
            <w:r>
              <w:rPr>
                <w:rFonts w:ascii="Arial" w:cs="Arial" w:eastAsia="Arial" w:hAnsi="Arial"/>
                <w:sz w:val="13"/>
                <w:szCs w:val="13"/>
                <w:b w:val="1"/>
                <w:bCs w:val="1"/>
                <w:color w:val="auto"/>
                <w:w w:val="91"/>
              </w:rPr>
              <w:t>Average Grant</w:t>
            </w:r>
          </w:p>
        </w:tc>
        <w:tc>
          <w:tcPr>
            <w:tcW w:w="0" w:type="dxa"/>
            <w:vAlign w:val="bottom"/>
          </w:tcPr>
          <w:p>
            <w:pPr>
              <w:spacing w:after="0"/>
              <w:rPr>
                <w:sz w:val="1"/>
                <w:szCs w:val="1"/>
                <w:color w:val="auto"/>
              </w:rPr>
            </w:pPr>
          </w:p>
        </w:tc>
      </w:tr>
      <w:tr>
        <w:trPr>
          <w:trHeight w:val="127"/>
        </w:trPr>
        <w:tc>
          <w:tcPr>
            <w:tcW w:w="81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32"/>
              <w:spacing w:after="0" w:line="127" w:lineRule="exact"/>
              <w:rPr>
                <w:sz w:val="20"/>
                <w:szCs w:val="20"/>
                <w:color w:val="auto"/>
              </w:rPr>
            </w:pPr>
            <w:r>
              <w:rPr>
                <w:rFonts w:ascii="Arial" w:cs="Arial" w:eastAsia="Arial" w:hAnsi="Arial"/>
                <w:sz w:val="13"/>
                <w:szCs w:val="13"/>
                <w:b w:val="1"/>
                <w:bCs w:val="1"/>
                <w:color w:val="auto"/>
                <w:w w:val="91"/>
              </w:rPr>
              <w:t>Date Fair Value</w:t>
            </w:r>
          </w:p>
        </w:tc>
        <w:tc>
          <w:tcPr>
            <w:tcW w:w="0" w:type="dxa"/>
            <w:vAlign w:val="bottom"/>
          </w:tcPr>
          <w:p>
            <w:pPr>
              <w:spacing w:after="0"/>
              <w:rPr>
                <w:sz w:val="1"/>
                <w:szCs w:val="1"/>
                <w:color w:val="auto"/>
              </w:rPr>
            </w:pPr>
          </w:p>
        </w:tc>
      </w:tr>
      <w:tr>
        <w:trPr>
          <w:trHeight w:val="167"/>
        </w:trPr>
        <w:tc>
          <w:tcPr>
            <w:tcW w:w="8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88"/>
              </w:rPr>
              <w:t>Per Share</w:t>
            </w:r>
          </w:p>
        </w:tc>
        <w:tc>
          <w:tcPr>
            <w:tcW w:w="0" w:type="dxa"/>
            <w:vAlign w:val="bottom"/>
          </w:tcPr>
          <w:p>
            <w:pPr>
              <w:spacing w:after="0"/>
              <w:rPr>
                <w:sz w:val="1"/>
                <w:szCs w:val="1"/>
                <w:color w:val="auto"/>
              </w:rPr>
            </w:pPr>
          </w:p>
        </w:tc>
      </w:tr>
      <w:tr>
        <w:trPr>
          <w:trHeight w:val="160"/>
        </w:trPr>
        <w:tc>
          <w:tcPr>
            <w:tcW w:w="8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RSUs and PSUs outstanding at January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59.27</w:t>
            </w:r>
          </w:p>
        </w:tc>
        <w:tc>
          <w:tcPr>
            <w:tcW w:w="0" w:type="dxa"/>
            <w:vAlign w:val="bottom"/>
          </w:tcPr>
          <w:p>
            <w:pPr>
              <w:spacing w:after="0"/>
              <w:rPr>
                <w:sz w:val="1"/>
                <w:szCs w:val="1"/>
                <w:color w:val="auto"/>
              </w:rPr>
            </w:pPr>
          </w:p>
        </w:tc>
      </w:tr>
      <w:tr>
        <w:trPr>
          <w:trHeight w:val="180"/>
        </w:trPr>
        <w:tc>
          <w:tcPr>
            <w:tcW w:w="8160" w:type="dxa"/>
            <w:vAlign w:val="bottom"/>
          </w:tcPr>
          <w:p>
            <w:pPr>
              <w:ind w:left="2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spacing w:after="0"/>
              <w:rPr>
                <w:sz w:val="20"/>
                <w:szCs w:val="20"/>
                <w:color w:val="auto"/>
              </w:rPr>
            </w:pPr>
            <w:r>
              <w:rPr>
                <w:rFonts w:ascii="Arial" w:cs="Arial" w:eastAsia="Arial" w:hAnsi="Arial"/>
                <w:sz w:val="14"/>
                <w:szCs w:val="14"/>
                <w:color w:val="auto"/>
              </w:rPr>
              <w:t>976</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199.35</w:t>
            </w: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53.21</w:t>
            </w:r>
          </w:p>
        </w:tc>
        <w:tc>
          <w:tcPr>
            <w:tcW w:w="0" w:type="dxa"/>
            <w:vAlign w:val="bottom"/>
          </w:tcPr>
          <w:p>
            <w:pPr>
              <w:spacing w:after="0"/>
              <w:rPr>
                <w:sz w:val="1"/>
                <w:szCs w:val="1"/>
                <w:color w:val="auto"/>
              </w:rPr>
            </w:pPr>
          </w:p>
        </w:tc>
      </w:tr>
      <w:tr>
        <w:trPr>
          <w:trHeight w:val="180"/>
        </w:trPr>
        <w:tc>
          <w:tcPr>
            <w:tcW w:w="8160" w:type="dxa"/>
            <w:vAlign w:val="bottom"/>
          </w:tcPr>
          <w:p>
            <w:pPr>
              <w:ind w:left="20"/>
              <w:spacing w:after="0" w:line="180" w:lineRule="exact"/>
              <w:rPr>
                <w:sz w:val="20"/>
                <w:szCs w:val="20"/>
                <w:color w:val="auto"/>
              </w:rPr>
            </w:pPr>
            <w:r>
              <w:rPr>
                <w:rFonts w:ascii="Arial" w:cs="Arial" w:eastAsia="Arial" w:hAnsi="Arial"/>
                <w:sz w:val="14"/>
                <w:szCs w:val="14"/>
                <w:color w:val="auto"/>
              </w:rPr>
              <w:t xml:space="preserve">Performance adjustment </w:t>
            </w:r>
            <w:r>
              <w:rPr>
                <w:rFonts w:ascii="Arial" w:cs="Arial" w:eastAsia="Arial" w:hAnsi="Arial"/>
                <w:sz w:val="18"/>
                <w:szCs w:val="18"/>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4"/>
                <w:szCs w:val="14"/>
                <w:color w:val="auto"/>
              </w:rPr>
              <w:t>153</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58.15</w:t>
            </w:r>
          </w:p>
        </w:tc>
        <w:tc>
          <w:tcPr>
            <w:tcW w:w="0" w:type="dxa"/>
            <w:vAlign w:val="bottom"/>
          </w:tcPr>
          <w:p>
            <w:pPr>
              <w:spacing w:after="0"/>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81.63</w:t>
            </w:r>
          </w:p>
        </w:tc>
        <w:tc>
          <w:tcPr>
            <w:tcW w:w="0" w:type="dxa"/>
            <w:vAlign w:val="bottom"/>
          </w:tcPr>
          <w:p>
            <w:pPr>
              <w:spacing w:after="0"/>
              <w:rPr>
                <w:sz w:val="1"/>
                <w:szCs w:val="1"/>
                <w:color w:val="auto"/>
              </w:rPr>
            </w:pPr>
          </w:p>
        </w:tc>
      </w:tr>
      <w:tr>
        <w:trPr>
          <w:trHeight w:val="171"/>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RSUs and PSUs outstanding at April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8,274</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76.34</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RSUs and PSUs expected to vest at April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8,274</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w:t>
      </w:r>
    </w:p>
    <w:p>
      <w:pPr>
        <w:spacing w:after="0" w:line="182" w:lineRule="exact"/>
        <w:rPr>
          <w:sz w:val="20"/>
          <w:szCs w:val="20"/>
          <w:color w:val="auto"/>
        </w:rPr>
      </w:pPr>
    </w:p>
    <w:p>
      <w:pPr>
        <w:ind w:left="520" w:right="340" w:hanging="515"/>
        <w:spacing w:after="0" w:line="280" w:lineRule="auto"/>
        <w:tabs>
          <w:tab w:leader="none" w:pos="515"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Performance adjustment represents adjustments in shares outstanding due to the actual achievement of performance based awards, the achievement of which was based upon predefined financial performance targets.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21" w:name="page22"/>
    <w:bookmarkEnd w:id="21"/>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78" w:lineRule="exact"/>
        <w:rPr>
          <w:sz w:val="20"/>
          <w:szCs w:val="20"/>
          <w:color w:val="auto"/>
        </w:rPr>
      </w:pPr>
    </w:p>
    <w:p>
      <w:pPr>
        <w:ind w:right="120" w:firstLine="508"/>
        <w:spacing w:after="0" w:line="283" w:lineRule="auto"/>
        <w:rPr>
          <w:sz w:val="20"/>
          <w:szCs w:val="20"/>
          <w:color w:val="auto"/>
        </w:rPr>
      </w:pPr>
      <w:r>
        <w:rPr>
          <w:rFonts w:ascii="Arial" w:cs="Arial" w:eastAsia="Arial" w:hAnsi="Arial"/>
          <w:sz w:val="13"/>
          <w:szCs w:val="13"/>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w:t>
      </w:r>
    </w:p>
    <w:p>
      <w:pPr>
        <w:spacing w:after="0" w:line="134" w:lineRule="exact"/>
        <w:rPr>
          <w:sz w:val="20"/>
          <w:szCs w:val="20"/>
          <w:color w:val="auto"/>
        </w:rPr>
      </w:pPr>
    </w:p>
    <w:p>
      <w:pPr>
        <w:ind w:right="140" w:firstLine="508"/>
        <w:spacing w:after="0" w:line="266" w:lineRule="auto"/>
        <w:rPr>
          <w:sz w:val="20"/>
          <w:szCs w:val="20"/>
          <w:color w:val="auto"/>
        </w:rPr>
      </w:pPr>
      <w:r>
        <w:rPr>
          <w:rFonts w:ascii="Arial" w:cs="Arial" w:eastAsia="Arial" w:hAnsi="Arial"/>
          <w:sz w:val="14"/>
          <w:szCs w:val="14"/>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142" w:lineRule="exact"/>
        <w:rPr>
          <w:sz w:val="20"/>
          <w:szCs w:val="20"/>
          <w:color w:val="auto"/>
        </w:rPr>
      </w:pPr>
    </w:p>
    <w:p>
      <w:pPr>
        <w:ind w:right="60" w:firstLine="508"/>
        <w:spacing w:after="0" w:line="261" w:lineRule="auto"/>
        <w:rPr>
          <w:sz w:val="20"/>
          <w:szCs w:val="20"/>
          <w:color w:val="auto"/>
        </w:rPr>
      </w:pPr>
      <w:r>
        <w:rPr>
          <w:rFonts w:ascii="Arial" w:cs="Arial" w:eastAsia="Arial" w:hAnsi="Arial"/>
          <w:sz w:val="13"/>
          <w:szCs w:val="13"/>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 and post-modification fair values are calculated on the date of the modification, and the incremental expense is then amortized over the remaining purchase period. Incremental expense as a result of such modification was $2.5 million for the three months ended April 30, 2021.</w:t>
      </w:r>
    </w:p>
    <w:p>
      <w:pPr>
        <w:spacing w:after="0" w:line="138" w:lineRule="exact"/>
        <w:rPr>
          <w:sz w:val="20"/>
          <w:szCs w:val="20"/>
          <w:color w:val="auto"/>
        </w:rPr>
      </w:pPr>
    </w:p>
    <w:p>
      <w:pPr>
        <w:ind w:right="260" w:firstLine="508"/>
        <w:spacing w:after="0" w:line="320" w:lineRule="auto"/>
        <w:rPr>
          <w:sz w:val="20"/>
          <w:szCs w:val="20"/>
          <w:color w:val="auto"/>
        </w:rPr>
      </w:pPr>
      <w:r>
        <w:rPr>
          <w:rFonts w:ascii="Arial" w:cs="Arial" w:eastAsia="Arial" w:hAnsi="Arial"/>
          <w:sz w:val="13"/>
          <w:szCs w:val="13"/>
          <w:color w:val="auto"/>
        </w:rPr>
        <w:t>Employee payroll contributions ultimately used to purchase shares are reclassified to stockholders’ equity on the purchase date. ESPP employee payroll contributions accrued at April 30, 2021 and January 31, 2021 totaled $24.3 million and $11.0 million are included within accrued payroll and benefits in the condensed consolidated balance sheets.</w:t>
      </w:r>
    </w:p>
    <w:p>
      <w:pPr>
        <w:spacing w:after="0" w:line="109" w:lineRule="exact"/>
        <w:rPr>
          <w:sz w:val="20"/>
          <w:szCs w:val="20"/>
          <w:color w:val="auto"/>
        </w:rPr>
      </w:pPr>
    </w:p>
    <w:p>
      <w:pPr>
        <w:ind w:right="180" w:firstLine="508"/>
        <w:spacing w:after="0" w:line="280" w:lineRule="auto"/>
        <w:rPr>
          <w:sz w:val="20"/>
          <w:szCs w:val="20"/>
          <w:color w:val="auto"/>
        </w:rPr>
      </w:pPr>
      <w:r>
        <w:rPr>
          <w:rFonts w:ascii="Arial" w:cs="Arial" w:eastAsia="Arial" w:hAnsi="Arial"/>
          <w:sz w:val="14"/>
          <w:szCs w:val="14"/>
          <w:color w:val="auto"/>
        </w:rPr>
        <w:t>The following table summarizes the assumptions used in the Black-Scholes option-pricing model to determine fair value of the Company’s common shares to be issued under the ESPP for the offering periods beginning in June 2019:</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620" w:type="dxa"/>
            <w:vAlign w:val="bottom"/>
          </w:tcPr>
          <w:p>
            <w:pPr>
              <w:jc w:val="right"/>
              <w:ind w:right="89"/>
              <w:spacing w:after="0"/>
              <w:rPr>
                <w:sz w:val="20"/>
                <w:szCs w:val="20"/>
                <w:color w:val="auto"/>
              </w:rPr>
            </w:pPr>
            <w:r>
              <w:rPr>
                <w:rFonts w:ascii="Arial" w:cs="Arial" w:eastAsia="Arial" w:hAnsi="Arial"/>
                <w:sz w:val="14"/>
                <w:szCs w:val="14"/>
                <w:b w:val="1"/>
                <w:bCs w:val="1"/>
                <w:color w:val="auto"/>
              </w:rPr>
              <w:t>Three Months Ended</w:t>
            </w:r>
          </w:p>
        </w:tc>
      </w:tr>
      <w:tr>
        <w:trPr>
          <w:trHeight w:val="180"/>
        </w:trPr>
        <w:tc>
          <w:tcPr>
            <w:tcW w:w="96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April 30, 2021</w:t>
            </w:r>
          </w:p>
        </w:tc>
      </w:tr>
      <w:tr>
        <w:trPr>
          <w:trHeight w:val="170"/>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0.5 - 2.0</w:t>
            </w:r>
          </w:p>
        </w:tc>
      </w:tr>
      <w:tr>
        <w:trPr>
          <w:trHeight w:val="180"/>
        </w:trPr>
        <w:tc>
          <w:tcPr>
            <w:tcW w:w="96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4"/>
                <w:szCs w:val="14"/>
                <w:color w:val="auto"/>
              </w:rPr>
              <w:t>0.1 - 2.0%</w:t>
            </w:r>
          </w:p>
        </w:tc>
      </w:tr>
      <w:tr>
        <w:trPr>
          <w:trHeight w:val="180"/>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stock price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30.1 - 54.3%</w:t>
            </w:r>
          </w:p>
        </w:tc>
      </w:tr>
      <w:tr>
        <w:trPr>
          <w:trHeight w:val="180"/>
        </w:trPr>
        <w:tc>
          <w:tcPr>
            <w:tcW w:w="96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620" w:type="dxa"/>
            <w:vAlign w:val="bottom"/>
          </w:tcPr>
          <w:p>
            <w:pPr>
              <w:jc w:val="right"/>
              <w:spacing w:after="0"/>
              <w:rPr>
                <w:sz w:val="20"/>
                <w:szCs w:val="20"/>
                <w:color w:val="auto"/>
              </w:rPr>
            </w:pPr>
            <w:r>
              <w:rPr>
                <w:rFonts w:ascii="Arial" w:cs="Arial" w:eastAsia="Arial" w:hAnsi="Arial"/>
                <w:sz w:val="14"/>
                <w:szCs w:val="14"/>
                <w:color w:val="auto"/>
              </w:rPr>
              <w:t>— %</w:t>
            </w: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Stock-based compensation expense included in the condensed consolidated statements of operations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58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0" w:type="dxa"/>
            <w:vAlign w:val="bottom"/>
            <w:gridSpan w:val="3"/>
          </w:tcPr>
          <w:p>
            <w:pPr>
              <w:jc w:val="right"/>
              <w:ind w:right="529"/>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cost of revenue</w:t>
            </w:r>
          </w:p>
        </w:tc>
        <w:tc>
          <w:tcPr>
            <w:tcW w:w="5160" w:type="dxa"/>
            <w:vAlign w:val="bottom"/>
            <w:gridSpan w:val="2"/>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Professional services cost of revenue</w:t>
            </w:r>
          </w:p>
        </w:tc>
        <w:tc>
          <w:tcPr>
            <w:tcW w:w="4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4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8,687</w:t>
            </w: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4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17,801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41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w:t>
            </w:r>
          </w:p>
        </w:tc>
        <w:tc>
          <w:tcPr>
            <w:tcW w:w="0" w:type="dxa"/>
            <w:vAlign w:val="bottom"/>
          </w:tcPr>
          <w:p>
            <w:pPr>
              <w:spacing w:after="0"/>
              <w:rPr>
                <w:sz w:val="1"/>
                <w:szCs w:val="1"/>
                <w:color w:val="auto"/>
              </w:rPr>
            </w:pPr>
          </w:p>
        </w:tc>
      </w:tr>
      <w:tr>
        <w:trPr>
          <w:trHeight w:val="170"/>
        </w:trPr>
        <w:tc>
          <w:tcPr>
            <w:tcW w:w="4000" w:type="dxa"/>
            <w:vAlign w:val="bottom"/>
          </w:tcPr>
          <w:p>
            <w:pPr>
              <w:ind w:left="120"/>
              <w:spacing w:after="0"/>
              <w:rPr>
                <w:sz w:val="20"/>
                <w:szCs w:val="20"/>
                <w:color w:val="auto"/>
              </w:rPr>
            </w:pPr>
            <w:r>
              <w:rPr>
                <w:rFonts w:ascii="Arial" w:cs="Arial" w:eastAsia="Arial" w:hAnsi="Arial"/>
                <w:sz w:val="14"/>
                <w:szCs w:val="14"/>
                <w:color w:val="auto"/>
              </w:rPr>
              <w:t>Total stock-based compensation expense</w:t>
            </w:r>
          </w:p>
        </w:tc>
        <w:tc>
          <w:tcPr>
            <w:tcW w:w="418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54,362</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23,638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180" w:type="dxa"/>
            <w:vAlign w:val="bottom"/>
            <w:vMerge w:val="restart"/>
          </w:tcPr>
          <w:p>
            <w:pPr>
              <w:jc w:val="right"/>
              <w:ind w:right="2389"/>
              <w:spacing w:after="0"/>
              <w:rPr>
                <w:sz w:val="20"/>
                <w:szCs w:val="20"/>
                <w:color w:val="auto"/>
              </w:rPr>
            </w:pPr>
            <w:r>
              <w:rPr>
                <w:rFonts w:ascii="Arial" w:cs="Arial" w:eastAsia="Arial" w:hAnsi="Arial"/>
                <w:sz w:val="14"/>
                <w:szCs w:val="14"/>
                <w:color w:val="auto"/>
              </w:rPr>
              <w:t>22</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40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00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2" w:name="page23"/>
    <w:bookmarkEnd w:id="22"/>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i w:val="1"/>
          <w:iCs w:val="1"/>
          <w:color w:val="auto"/>
        </w:rPr>
        <w:t>9.</w:t>
      </w:r>
      <w:r>
        <w:rPr>
          <w:sz w:val="20"/>
          <w:szCs w:val="20"/>
          <w:color w:val="auto"/>
        </w:rPr>
        <w:tab/>
      </w:r>
      <w:r>
        <w:rPr>
          <w:rFonts w:ascii="Arial" w:cs="Arial" w:eastAsia="Arial" w:hAnsi="Arial"/>
          <w:sz w:val="12"/>
          <w:szCs w:val="12"/>
          <w:b w:val="1"/>
          <w:bCs w:val="1"/>
          <w:i w:val="1"/>
          <w:iCs w:val="1"/>
          <w:color w:val="auto"/>
        </w:rPr>
        <w:t>Revenue, Deferred Revenue and Remaining Performance Obligations</w:t>
      </w:r>
    </w:p>
    <w:p>
      <w:pPr>
        <w:spacing w:after="0" w:line="178" w:lineRule="exact"/>
        <w:rPr>
          <w:sz w:val="20"/>
          <w:szCs w:val="20"/>
          <w:color w:val="auto"/>
        </w:rPr>
      </w:pPr>
    </w:p>
    <w:p>
      <w:pPr>
        <w:jc w:val="right"/>
        <w:ind w:right="480"/>
        <w:spacing w:after="0"/>
        <w:rPr>
          <w:sz w:val="20"/>
          <w:szCs w:val="20"/>
          <w:color w:val="auto"/>
        </w:rPr>
      </w:pPr>
      <w:r>
        <w:rPr>
          <w:rFonts w:ascii="Arial" w:cs="Arial" w:eastAsia="Arial" w:hAnsi="Arial"/>
          <w:sz w:val="14"/>
          <w:szCs w:val="14"/>
          <w:color w:val="auto"/>
        </w:rPr>
        <w:t>The following table summarizes the revenue from contracts by type of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Channel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2165"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Direct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2165"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13462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Three Months Ended April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gridSpan w:val="2"/>
          </w:tcPr>
          <w:p>
            <w:pPr>
              <w:jc w:val="right"/>
              <w:ind w:right="1009"/>
              <w:spacing w:after="0"/>
              <w:rPr>
                <w:sz w:val="20"/>
                <w:szCs w:val="20"/>
                <w:color w:val="auto"/>
              </w:rPr>
            </w:pPr>
            <w:r>
              <w:rPr>
                <w:rFonts w:ascii="Arial" w:cs="Arial" w:eastAsia="Arial" w:hAnsi="Arial"/>
                <w:sz w:val="14"/>
                <w:szCs w:val="14"/>
                <w:b w:val="1"/>
                <w:bCs w:val="1"/>
                <w:color w:val="auto"/>
                <w:w w:val="89"/>
              </w:rPr>
              <w:t>2020</w:t>
            </w:r>
          </w:p>
        </w:tc>
      </w:tr>
      <w:tr>
        <w:trPr>
          <w:trHeight w:val="170"/>
        </w:trPr>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6"/>
              </w:rPr>
              <w:t>% Revenue</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 Revenue</w:t>
            </w:r>
          </w:p>
        </w:tc>
      </w:tr>
      <w:tr>
        <w:trPr>
          <w:trHeight w:val="202"/>
        </w:trPr>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89"/>
              </w:rPr>
              <w:t>(in thousands, except percentages)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80"/>
        </w:trPr>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227,055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75 %</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130,280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73 %</w:t>
            </w:r>
          </w:p>
        </w:tc>
      </w:tr>
      <w:tr>
        <w:trPr>
          <w:trHeight w:val="180"/>
        </w:trPr>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75,788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47,798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27 %</w:t>
            </w:r>
          </w:p>
        </w:tc>
      </w:tr>
      <w:tr>
        <w:trPr>
          <w:trHeight w:val="171"/>
        </w:trPr>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302,843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178,078</w:t>
            </w:r>
          </w:p>
        </w:tc>
        <w:tc>
          <w:tcPr>
            <w:tcW w:w="10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ectPr>
          <w:pgSz w:w="11900" w:h="16838" w:orient="portrait"/>
          <w:cols w:equalWidth="0" w:num="2">
            <w:col w:w="5560" w:space="720"/>
            <w:col w:w="5000"/>
          </w:cols>
          <w:pgMar w:left="300" w:top="298" w:right="319" w:bottom="1440" w:gutter="0" w:footer="0" w:header="0"/>
        </w:sectPr>
      </w:pPr>
    </w:p>
    <w:p>
      <w:pPr>
        <w:ind w:firstLine="508"/>
        <w:spacing w:after="0" w:line="261" w:lineRule="auto"/>
        <w:rPr>
          <w:sz w:val="20"/>
          <w:szCs w:val="20"/>
          <w:color w:val="auto"/>
        </w:rPr>
      </w:pPr>
      <w:r>
        <w:rPr>
          <w:rFonts w:ascii="Arial" w:cs="Arial" w:eastAsia="Arial" w:hAnsi="Arial"/>
          <w:sz w:val="14"/>
          <w:szCs w:val="14"/>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46" w:lineRule="exact"/>
        <w:rPr>
          <w:sz w:val="20"/>
          <w:szCs w:val="20"/>
          <w:color w:val="auto"/>
        </w:rPr>
      </w:pPr>
    </w:p>
    <w:p>
      <w:pPr>
        <w:ind w:right="320" w:firstLine="508"/>
        <w:spacing w:after="0" w:line="320" w:lineRule="auto"/>
        <w:rPr>
          <w:sz w:val="20"/>
          <w:szCs w:val="20"/>
          <w:color w:val="auto"/>
        </w:rPr>
      </w:pPr>
      <w:r>
        <w:rPr>
          <w:rFonts w:ascii="Arial" w:cs="Arial" w:eastAsia="Arial" w:hAnsi="Arial"/>
          <w:sz w:val="13"/>
          <w:szCs w:val="13"/>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revenue by region based on the shipping address of customers who have contracted to use the Company’s platform or service: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Three Months Ended April 30,</w:t>
            </w: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71"/>
        </w:trPr>
        <w:tc>
          <w:tcPr>
            <w:tcW w:w="6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1009"/>
              <w:spacing w:after="0"/>
              <w:rPr>
                <w:sz w:val="20"/>
                <w:szCs w:val="20"/>
                <w:color w:val="auto"/>
              </w:rPr>
            </w:pPr>
            <w:r>
              <w:rPr>
                <w:rFonts w:ascii="Arial" w:cs="Arial" w:eastAsia="Arial" w:hAnsi="Arial"/>
                <w:sz w:val="14"/>
                <w:szCs w:val="14"/>
                <w:b w:val="1"/>
                <w:bCs w:val="1"/>
                <w:color w:val="auto"/>
                <w:w w:val="96"/>
              </w:rPr>
              <w:t>2020</w:t>
            </w:r>
          </w:p>
        </w:tc>
      </w:tr>
      <w:tr>
        <w:trPr>
          <w:trHeight w:val="170"/>
        </w:trPr>
        <w:tc>
          <w:tcPr>
            <w:tcW w:w="6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6"/>
              </w:rPr>
              <w:t>% Revenue</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 Revenue</w:t>
            </w:r>
          </w:p>
        </w:tc>
      </w:tr>
      <w:tr>
        <w:trPr>
          <w:trHeight w:val="202"/>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w w:val="89"/>
              </w:rPr>
              <w:t>(in thousands, except percentages)</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129,481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73 %</w:t>
            </w:r>
          </w:p>
        </w:tc>
      </w:tr>
      <w:tr>
        <w:trPr>
          <w:trHeight w:val="180"/>
        </w:trPr>
        <w:tc>
          <w:tcPr>
            <w:tcW w:w="6240" w:type="dxa"/>
            <w:vAlign w:val="bottom"/>
          </w:tcPr>
          <w:p>
            <w:pPr>
              <w:ind w:left="20"/>
              <w:spacing w:after="0"/>
              <w:rPr>
                <w:sz w:val="20"/>
                <w:szCs w:val="20"/>
                <w:color w:val="auto"/>
              </w:rPr>
            </w:pPr>
            <w:r>
              <w:rPr>
                <w:rFonts w:ascii="Arial" w:cs="Arial" w:eastAsia="Arial" w:hAnsi="Arial"/>
                <w:sz w:val="14"/>
                <w:szCs w:val="14"/>
                <w:color w:val="auto"/>
              </w:rPr>
              <w:t>Europe, Middle East, and Africa</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41,649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25,042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14 %</w:t>
            </w:r>
          </w:p>
        </w:tc>
      </w:tr>
      <w:tr>
        <w:trPr>
          <w:trHeight w:val="18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80"/>
        </w:trPr>
        <w:tc>
          <w:tcPr>
            <w:tcW w:w="6240" w:type="dxa"/>
            <w:vAlign w:val="bottom"/>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8,654</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5 %</w:t>
            </w:r>
          </w:p>
        </w:tc>
      </w:tr>
      <w:tr>
        <w:trPr>
          <w:trHeight w:val="196"/>
        </w:trPr>
        <w:tc>
          <w:tcPr>
            <w:tcW w:w="6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302,843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 single country other than the United States represented 10% or more of the Company’s total revenue during the three months ended April 30, 2021 and April 30, 2020.</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Contract Balances</w:t>
      </w:r>
    </w:p>
    <w:p>
      <w:pPr>
        <w:spacing w:after="0" w:line="178" w:lineRule="exact"/>
        <w:rPr>
          <w:sz w:val="20"/>
          <w:szCs w:val="20"/>
          <w:color w:val="auto"/>
        </w:rPr>
      </w:pPr>
    </w:p>
    <w:p>
      <w:pPr>
        <w:jc w:val="both"/>
        <w:ind w:right="220" w:firstLine="508"/>
        <w:spacing w:after="0" w:line="266" w:lineRule="auto"/>
        <w:rPr>
          <w:sz w:val="20"/>
          <w:szCs w:val="20"/>
          <w:color w:val="auto"/>
        </w:rPr>
      </w:pPr>
      <w:r>
        <w:rPr>
          <w:rFonts w:ascii="Arial" w:cs="Arial" w:eastAsia="Arial" w:hAnsi="Arial"/>
          <w:sz w:val="14"/>
          <w:szCs w:val="14"/>
          <w:color w:val="auto"/>
        </w:rPr>
        <w:t>Contract liabilities consist of deferred revenue and include payments received in advance of performance under the contract. Such amounts are recognized as revenue over the contractual period. The Company recognized revenue of $244.3 million and $141.5 million for the three months ended April 30, 2021 and April 30, 2020, respectively, that were included in the corresponding contract liability balance at the beginning of the period.</w:t>
      </w:r>
    </w:p>
    <w:p>
      <w:pPr>
        <w:spacing w:after="0" w:line="142" w:lineRule="exact"/>
        <w:rPr>
          <w:sz w:val="20"/>
          <w:szCs w:val="20"/>
          <w:color w:val="auto"/>
        </w:rPr>
      </w:pPr>
    </w:p>
    <w:p>
      <w:pPr>
        <w:ind w:firstLine="508"/>
        <w:spacing w:after="0" w:line="266"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1">
              <w:r>
                <w:rPr>
                  <w:rFonts w:ascii="Arial" w:cs="Arial" w:eastAsia="Arial" w:hAnsi="Arial"/>
                  <w:sz w:val="14"/>
                  <w:szCs w:val="14"/>
                  <w:color w:val="0000FF"/>
                  <w:w w:val="88"/>
                </w:rPr>
                <w:t>Table of Contents</w:t>
              </w:r>
            </w:hyperlink>
          </w:p>
        </w:tc>
        <w:tc>
          <w:tcPr>
            <w:tcW w:w="6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6"/>
        </w:trPr>
        <w:tc>
          <w:tcPr>
            <w:tcW w:w="5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4"/>
                <w:szCs w:val="14"/>
                <w:color w:val="auto"/>
              </w:rPr>
              <w:t>Changes in deferred revenue were as follows: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0"/>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right="289"/>
              <w:spacing w:after="0"/>
              <w:rPr>
                <w:sz w:val="20"/>
                <w:szCs w:val="20"/>
                <w:color w:val="auto"/>
              </w:rPr>
            </w:pPr>
            <w:r>
              <w:rPr>
                <w:rFonts w:ascii="Arial" w:cs="Arial" w:eastAsia="Arial" w:hAnsi="Arial"/>
                <w:sz w:val="14"/>
                <w:szCs w:val="14"/>
                <w:b w:val="1"/>
                <w:bCs w:val="1"/>
                <w:color w:val="auto"/>
                <w:w w:val="94"/>
              </w:rPr>
              <w:t>Three Months Ended April 30,</w:t>
            </w:r>
          </w:p>
        </w:tc>
      </w:tr>
      <w:tr>
        <w:trPr>
          <w:trHeight w:val="171"/>
        </w:trPr>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r>
      <w:tr>
        <w:trPr>
          <w:trHeight w:val="202"/>
        </w:trPr>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529"/>
              <w:spacing w:after="0"/>
              <w:rPr>
                <w:sz w:val="20"/>
                <w:szCs w:val="20"/>
                <w:color w:val="auto"/>
              </w:rPr>
            </w:pPr>
            <w:r>
              <w:rPr>
                <w:rFonts w:ascii="Arial" w:cs="Arial" w:eastAsia="Arial" w:hAnsi="Arial"/>
                <w:sz w:val="14"/>
                <w:szCs w:val="14"/>
                <w:b w:val="1"/>
                <w:bCs w:val="1"/>
                <w:color w:val="auto"/>
                <w:w w:val="94"/>
              </w:rPr>
              <w:t>Carrying Amount</w:t>
            </w:r>
          </w:p>
        </w:tc>
        <w:tc>
          <w:tcPr>
            <w:tcW w:w="940" w:type="dxa"/>
            <w:vAlign w:val="bottom"/>
            <w:tcBorders>
              <w:bottom w:val="single" w:sz="8" w:color="auto"/>
            </w:tcBorders>
          </w:tcPr>
          <w:p>
            <w:pPr>
              <w:spacing w:after="0"/>
              <w:rPr>
                <w:sz w:val="17"/>
                <w:szCs w:val="17"/>
                <w:color w:val="auto"/>
              </w:rPr>
            </w:pPr>
          </w:p>
        </w:tc>
      </w:tr>
      <w:tr>
        <w:trPr>
          <w:trHeight w:val="202"/>
        </w:trPr>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center"/>
              <w:ind w:left="509"/>
              <w:spacing w:after="0"/>
              <w:rPr>
                <w:sz w:val="20"/>
                <w:szCs w:val="20"/>
                <w:color w:val="auto"/>
              </w:rPr>
            </w:pPr>
            <w:r>
              <w:rPr>
                <w:rFonts w:ascii="Arial" w:cs="Arial" w:eastAsia="Arial" w:hAnsi="Arial"/>
                <w:sz w:val="14"/>
                <w:szCs w:val="14"/>
                <w:b w:val="1"/>
                <w:bCs w:val="1"/>
                <w:color w:val="auto"/>
                <w:w w:val="89"/>
              </w:rPr>
              <w:t>(in thousands)</w:t>
            </w:r>
          </w:p>
        </w:tc>
        <w:tc>
          <w:tcPr>
            <w:tcW w:w="940" w:type="dxa"/>
            <w:vAlign w:val="bottom"/>
          </w:tcPr>
          <w:p>
            <w:pPr>
              <w:spacing w:after="0"/>
              <w:rPr>
                <w:sz w:val="17"/>
                <w:szCs w:val="17"/>
                <w:color w:val="auto"/>
              </w:rPr>
            </w:pPr>
          </w:p>
        </w:tc>
      </w:tr>
      <w:tr>
        <w:trPr>
          <w:trHeight w:val="180"/>
        </w:trPr>
        <w:tc>
          <w:tcPr>
            <w:tcW w:w="8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center"/>
              <w:ind w:left="289"/>
              <w:spacing w:after="0"/>
              <w:rPr>
                <w:sz w:val="20"/>
                <w:szCs w:val="20"/>
                <w:color w:val="auto"/>
              </w:rPr>
            </w:pPr>
            <w:r>
              <w:rPr>
                <w:rFonts w:ascii="Arial" w:cs="Arial" w:eastAsia="Arial" w:hAnsi="Arial"/>
                <w:sz w:val="14"/>
                <w:szCs w:val="14"/>
                <w:color w:val="auto"/>
                <w:w w:val="90"/>
              </w:rPr>
              <w:t>571,168</w:t>
            </w:r>
          </w:p>
        </w:tc>
      </w:tr>
      <w:tr>
        <w:trPr>
          <w:trHeight w:val="180"/>
        </w:trPr>
        <w:tc>
          <w:tcPr>
            <w:tcW w:w="8180" w:type="dxa"/>
            <w:vAlign w:val="bottom"/>
            <w:gridSpan w:val="3"/>
          </w:tcPr>
          <w:p>
            <w:pPr>
              <w:ind w:left="20"/>
              <w:spacing w:after="0"/>
              <w:rPr>
                <w:sz w:val="20"/>
                <w:szCs w:val="20"/>
                <w:color w:val="auto"/>
              </w:rPr>
            </w:pPr>
            <w:r>
              <w:rPr>
                <w:rFonts w:ascii="Arial" w:cs="Arial" w:eastAsia="Arial" w:hAnsi="Arial"/>
                <w:sz w:val="14"/>
                <w:szCs w:val="14"/>
                <w:color w:val="auto"/>
              </w:rPr>
              <w:t>Additions to deferred revenue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412,939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center"/>
              <w:ind w:left="289"/>
              <w:spacing w:after="0"/>
              <w:rPr>
                <w:sz w:val="20"/>
                <w:szCs w:val="20"/>
                <w:color w:val="auto"/>
              </w:rPr>
            </w:pPr>
            <w:r>
              <w:rPr>
                <w:rFonts w:ascii="Arial" w:cs="Arial" w:eastAsia="Arial" w:hAnsi="Arial"/>
                <w:sz w:val="14"/>
                <w:szCs w:val="14"/>
                <w:color w:val="auto"/>
                <w:w w:val="90"/>
              </w:rPr>
              <w:t>242,883</w:t>
            </w:r>
          </w:p>
        </w:tc>
      </w:tr>
      <w:tr>
        <w:trPr>
          <w:trHeight w:val="180"/>
        </w:trPr>
        <w:tc>
          <w:tcPr>
            <w:tcW w:w="8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Recognition of deferred revenue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(302,843)</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center"/>
              <w:ind w:left="289"/>
              <w:spacing w:after="0"/>
              <w:rPr>
                <w:sz w:val="20"/>
                <w:szCs w:val="20"/>
                <w:color w:val="auto"/>
              </w:rPr>
            </w:pPr>
            <w:r>
              <w:rPr>
                <w:rFonts w:ascii="Arial" w:cs="Arial" w:eastAsia="Arial" w:hAnsi="Arial"/>
                <w:sz w:val="14"/>
                <w:szCs w:val="14"/>
                <w:color w:val="auto"/>
                <w:w w:val="90"/>
              </w:rPr>
              <w:t>(178,078)</w:t>
            </w:r>
          </w:p>
        </w:tc>
      </w:tr>
      <w:tr>
        <w:trPr>
          <w:trHeight w:val="171"/>
        </w:trPr>
        <w:tc>
          <w:tcPr>
            <w:tcW w:w="8180" w:type="dxa"/>
            <w:vAlign w:val="bottom"/>
            <w:gridSpan w:val="3"/>
          </w:tcPr>
          <w:p>
            <w:pPr>
              <w:ind w:left="20"/>
              <w:spacing w:after="0"/>
              <w:rPr>
                <w:sz w:val="20"/>
                <w:szCs w:val="20"/>
                <w:color w:val="auto"/>
              </w:rPr>
            </w:pPr>
            <w:r>
              <w:rPr>
                <w:rFonts w:ascii="Arial" w:cs="Arial" w:eastAsia="Arial" w:hAnsi="Arial"/>
                <w:sz w:val="14"/>
                <w:szCs w:val="14"/>
                <w:color w:val="auto"/>
              </w:rPr>
              <w:t>Ending Balance</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1,021,991</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w w:val="90"/>
              </w:rPr>
              <w:t>635,973</w:t>
            </w: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Remaining Performance Obligations</w:t>
      </w:r>
    </w:p>
    <w:p>
      <w:pPr>
        <w:spacing w:after="0" w:line="178" w:lineRule="exact"/>
        <w:rPr>
          <w:sz w:val="20"/>
          <w:szCs w:val="20"/>
          <w:color w:val="auto"/>
        </w:rPr>
      </w:pPr>
    </w:p>
    <w:p>
      <w:pPr>
        <w:jc w:val="both"/>
        <w:ind w:right="120" w:firstLine="508"/>
        <w:spacing w:after="0" w:line="330" w:lineRule="auto"/>
        <w:rPr>
          <w:sz w:val="20"/>
          <w:szCs w:val="20"/>
          <w:color w:val="auto"/>
        </w:rPr>
      </w:pPr>
      <w:r>
        <w:rPr>
          <w:rFonts w:ascii="Arial" w:cs="Arial" w:eastAsia="Arial" w:hAnsi="Arial"/>
          <w:sz w:val="12"/>
          <w:szCs w:val="12"/>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April 30, 2021, the aggregate amount of the transaction price allocated to remaining performance obligations was $1.5 billion. The Company expects to recognize 72% of the remaining performance obligations in the 12 months following April 30, 2021, with the remainder to be recognized thereafter.</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Costs to Obtain and Fulfill a Contract</w:t>
      </w:r>
    </w:p>
    <w:p>
      <w:pPr>
        <w:spacing w:after="0" w:line="178" w:lineRule="exact"/>
        <w:rPr>
          <w:sz w:val="20"/>
          <w:szCs w:val="20"/>
          <w:color w:val="auto"/>
        </w:rPr>
      </w:pPr>
    </w:p>
    <w:p>
      <w:pPr>
        <w:ind w:right="260" w:firstLine="508"/>
        <w:spacing w:after="0" w:line="266" w:lineRule="auto"/>
        <w:rPr>
          <w:sz w:val="20"/>
          <w:szCs w:val="20"/>
          <w:color w:val="auto"/>
        </w:rPr>
      </w:pPr>
      <w:r>
        <w:rPr>
          <w:rFonts w:ascii="Arial" w:cs="Arial" w:eastAsia="Arial" w:hAnsi="Arial"/>
          <w:sz w:val="14"/>
          <w:szCs w:val="14"/>
          <w:color w:val="auto"/>
        </w:rPr>
        <w:t>The Company capitalizes referral fees paid to partners and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42" w:lineRule="exact"/>
        <w:rPr>
          <w:sz w:val="20"/>
          <w:szCs w:val="20"/>
          <w:color w:val="auto"/>
        </w:rPr>
      </w:pPr>
    </w:p>
    <w:p>
      <w:pPr>
        <w:ind w:right="20" w:firstLine="508"/>
        <w:spacing w:after="0" w:line="304" w:lineRule="auto"/>
        <w:rPr>
          <w:sz w:val="20"/>
          <w:szCs w:val="20"/>
          <w:color w:val="auto"/>
        </w:rPr>
      </w:pPr>
      <w:r>
        <w:rPr>
          <w:rFonts w:ascii="Arial" w:cs="Arial" w:eastAsia="Arial" w:hAnsi="Arial"/>
          <w:sz w:val="12"/>
          <w:szCs w:val="12"/>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earned upon the initial acquisition of a contract or subsequent upsell are amortized over an estimated period of benefit of 4 years while commissions earned for renewal contracts are amortized over the contractual term of the renewals. Sales commissions associated with professional service contracts are amortized ratably over an estimated period of benefit of six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months ended April 30, 2021 and April 30,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60" w:type="dxa"/>
            <w:vAlign w:val="bottom"/>
          </w:tcPr>
          <w:p>
            <w:pPr>
              <w:ind w:left="520"/>
              <w:spacing w:after="0"/>
              <w:rPr>
                <w:sz w:val="20"/>
                <w:szCs w:val="20"/>
                <w:color w:val="auto"/>
              </w:rPr>
            </w:pPr>
            <w:r>
              <w:rPr>
                <w:rFonts w:ascii="Arial" w:cs="Arial" w:eastAsia="Arial" w:hAnsi="Arial"/>
                <w:sz w:val="14"/>
                <w:szCs w:val="14"/>
                <w:color w:val="auto"/>
                <w:w w:val="96"/>
              </w:rPr>
              <w:t>The following table summarizes the activity of deferred contract acquisition costs:</w:t>
            </w:r>
          </w:p>
        </w:tc>
        <w:tc>
          <w:tcPr>
            <w:tcW w:w="2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5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3"/>
          </w:tcPr>
          <w:p>
            <w:pPr>
              <w:jc w:val="right"/>
              <w:ind w:right="489"/>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760" w:type="dxa"/>
            <w:vAlign w:val="bottom"/>
            <w:gridSpan w:val="2"/>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198,756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114,206</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Capitalization of contract acquisition costs</w:t>
            </w:r>
          </w:p>
        </w:tc>
        <w:tc>
          <w:tcPr>
            <w:tcW w:w="2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22,563</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contract acquisition costs</w:t>
            </w:r>
          </w:p>
        </w:tc>
        <w:tc>
          <w:tcPr>
            <w:tcW w:w="28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(24,376)</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(13,451)</w:t>
            </w:r>
          </w:p>
        </w:tc>
        <w:tc>
          <w:tcPr>
            <w:tcW w:w="0" w:type="dxa"/>
            <w:vAlign w:val="bottom"/>
          </w:tcPr>
          <w:p>
            <w:pPr>
              <w:spacing w:after="0"/>
              <w:rPr>
                <w:sz w:val="1"/>
                <w:szCs w:val="1"/>
                <w:color w:val="auto"/>
              </w:rPr>
            </w:pPr>
          </w:p>
        </w:tc>
      </w:tr>
      <w:tr>
        <w:trPr>
          <w:trHeight w:val="170"/>
        </w:trPr>
        <w:tc>
          <w:tcPr>
            <w:tcW w:w="536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282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210,780</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123,318</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36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Deferred contract acquisition costs, current</w:t>
            </w:r>
          </w:p>
        </w:tc>
        <w:tc>
          <w:tcPr>
            <w:tcW w:w="3760" w:type="dxa"/>
            <w:vAlign w:val="bottom"/>
            <w:gridSpan w:val="2"/>
          </w:tcPr>
          <w:p>
            <w:pPr>
              <w:jc w:val="right"/>
              <w:ind w:right="78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85,388</w:t>
            </w:r>
          </w:p>
        </w:tc>
        <w:tc>
          <w:tcPr>
            <w:tcW w:w="100" w:type="dxa"/>
            <w:vAlign w:val="bottom"/>
          </w:tcPr>
          <w:p>
            <w:pPr>
              <w:spacing w:after="0"/>
              <w:rPr>
                <w:sz w:val="15"/>
                <w:szCs w:val="15"/>
                <w:color w:val="auto"/>
              </w:rPr>
            </w:pPr>
          </w:p>
        </w:tc>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53,410</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28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125,392</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69,908</w:t>
            </w:r>
          </w:p>
        </w:tc>
        <w:tc>
          <w:tcPr>
            <w:tcW w:w="0" w:type="dxa"/>
            <w:vAlign w:val="bottom"/>
          </w:tcPr>
          <w:p>
            <w:pPr>
              <w:spacing w:after="0"/>
              <w:rPr>
                <w:sz w:val="1"/>
                <w:szCs w:val="1"/>
                <w:color w:val="auto"/>
              </w:rPr>
            </w:pPr>
          </w:p>
        </w:tc>
      </w:tr>
      <w:tr>
        <w:trPr>
          <w:trHeight w:val="170"/>
        </w:trPr>
        <w:tc>
          <w:tcPr>
            <w:tcW w:w="5360" w:type="dxa"/>
            <w:vAlign w:val="bottom"/>
          </w:tcPr>
          <w:p>
            <w:pPr>
              <w:ind w:left="120"/>
              <w:spacing w:after="0"/>
              <w:rPr>
                <w:sz w:val="20"/>
                <w:szCs w:val="20"/>
                <w:color w:val="auto"/>
              </w:rPr>
            </w:pPr>
            <w:r>
              <w:rPr>
                <w:rFonts w:ascii="Arial" w:cs="Arial" w:eastAsia="Arial" w:hAnsi="Arial"/>
                <w:sz w:val="14"/>
                <w:szCs w:val="14"/>
                <w:color w:val="auto"/>
              </w:rPr>
              <w:t>Total deferred contract acquisition costs</w:t>
            </w:r>
          </w:p>
        </w:tc>
        <w:tc>
          <w:tcPr>
            <w:tcW w:w="282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210,780</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123,318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20" w:type="dxa"/>
            <w:vAlign w:val="bottom"/>
            <w:vMerge w:val="restart"/>
          </w:tcPr>
          <w:p>
            <w:pPr>
              <w:jc w:val="right"/>
              <w:ind w:right="2389"/>
              <w:spacing w:after="0"/>
              <w:rPr>
                <w:sz w:val="20"/>
                <w:szCs w:val="20"/>
                <w:color w:val="auto"/>
              </w:rPr>
            </w:pPr>
            <w:r>
              <w:rPr>
                <w:rFonts w:ascii="Arial" w:cs="Arial" w:eastAsia="Arial" w:hAnsi="Arial"/>
                <w:sz w:val="14"/>
                <w:szCs w:val="14"/>
                <w:color w:val="auto"/>
              </w:rPr>
              <w:t>24</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53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36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24" w:name="page25"/>
    <w:bookmarkEnd w:id="24"/>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right="9040" w:hanging="515"/>
        <w:spacing w:after="0" w:line="588" w:lineRule="auto"/>
        <w:tabs>
          <w:tab w:leader="none" w:pos="329" w:val="left"/>
        </w:tabs>
        <w:numPr>
          <w:ilvl w:val="0"/>
          <w:numId w:val="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Commitments and Contingencies Purchase Obligations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enters into long-term non-cancelable agreements with providers to purchase data center capacity, such as bandwidth and colocation space, for the Company’s cloud platform.</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As of April 30, 2021, the Company is committed to spend $73.6 million on such agreements through fiscal 2027. These obligations are included in purchase obligations below.</w:t>
      </w:r>
    </w:p>
    <w:p>
      <w:pPr>
        <w:spacing w:after="0" w:line="188" w:lineRule="exact"/>
        <w:rPr>
          <w:sz w:val="20"/>
          <w:szCs w:val="20"/>
          <w:color w:val="auto"/>
        </w:rPr>
      </w:pPr>
    </w:p>
    <w:p>
      <w:pPr>
        <w:ind w:right="20" w:firstLine="508"/>
        <w:spacing w:after="0" w:line="300" w:lineRule="auto"/>
        <w:rPr>
          <w:sz w:val="20"/>
          <w:szCs w:val="20"/>
          <w:color w:val="auto"/>
        </w:rPr>
      </w:pPr>
      <w:r>
        <w:rPr>
          <w:rFonts w:ascii="Arial" w:cs="Arial" w:eastAsia="Arial" w:hAnsi="Arial"/>
          <w:sz w:val="12"/>
          <w:szCs w:val="12"/>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noncancellable purchase obligations in excess of one year as of April 30, 2021 with expected date of payment is as follows:</w:t>
      </w:r>
    </w:p>
    <w:tbl>
      <w:tblPr>
        <w:tblLayout w:type="fixed"/>
        <w:tblInd w:w="0" w:type="dxa"/>
        <w:tblCellMar>
          <w:top w:w="0" w:type="dxa"/>
          <w:left w:w="0" w:type="dxa"/>
          <w:bottom w:w="0" w:type="dxa"/>
          <w:right w:w="0" w:type="dxa"/>
        </w:tblCellMar>
      </w:tblPr>
      <w:tr>
        <w:trPr>
          <w:trHeight w:val="142"/>
        </w:trPr>
        <w:tc>
          <w:tcPr>
            <w:tcW w:w="9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ind w:right="529"/>
              <w:spacing w:after="0" w:line="142" w:lineRule="exact"/>
              <w:rPr>
                <w:sz w:val="20"/>
                <w:szCs w:val="20"/>
                <w:color w:val="auto"/>
              </w:rPr>
            </w:pPr>
            <w:r>
              <w:rPr>
                <w:rFonts w:ascii="Arial" w:cs="Arial" w:eastAsia="Arial" w:hAnsi="Arial"/>
                <w:sz w:val="14"/>
                <w:szCs w:val="14"/>
                <w:b w:val="1"/>
                <w:bCs w:val="1"/>
                <w:color w:val="auto"/>
              </w:rPr>
              <w:t>Total</w:t>
            </w:r>
          </w:p>
        </w:tc>
      </w:tr>
      <w:tr>
        <w:trPr>
          <w:trHeight w:val="180"/>
        </w:trPr>
        <w:tc>
          <w:tcPr>
            <w:tcW w:w="9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Commitments</w:t>
            </w:r>
          </w:p>
        </w:tc>
      </w:tr>
      <w:tr>
        <w:trPr>
          <w:trHeight w:val="170"/>
        </w:trPr>
        <w:tc>
          <w:tcPr>
            <w:tcW w:w="9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49"/>
              <w:spacing w:after="0"/>
              <w:rPr>
                <w:sz w:val="20"/>
                <w:szCs w:val="20"/>
                <w:color w:val="auto"/>
              </w:rPr>
            </w:pPr>
            <w:r>
              <w:rPr>
                <w:rFonts w:ascii="Arial" w:cs="Arial" w:eastAsia="Arial" w:hAnsi="Arial"/>
                <w:sz w:val="14"/>
                <w:szCs w:val="14"/>
                <w:b w:val="1"/>
                <w:bCs w:val="1"/>
                <w:color w:val="auto"/>
                <w:w w:val="99"/>
              </w:rPr>
              <w:t>(in thousands)</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2022 (remaining nine months)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77,131</w:t>
            </w:r>
          </w:p>
        </w:tc>
      </w:tr>
      <w:tr>
        <w:trPr>
          <w:trHeight w:val="180"/>
        </w:trPr>
        <w:tc>
          <w:tcPr>
            <w:tcW w:w="9780" w:type="dxa"/>
            <w:vAlign w:val="bottom"/>
          </w:tcPr>
          <w:p>
            <w:pPr>
              <w:ind w:left="20"/>
              <w:spacing w:after="0"/>
              <w:rPr>
                <w:sz w:val="20"/>
                <w:szCs w:val="20"/>
                <w:color w:val="auto"/>
              </w:rPr>
            </w:pPr>
            <w:r>
              <w:rPr>
                <w:rFonts w:ascii="Arial" w:cs="Arial" w:eastAsia="Arial" w:hAnsi="Arial"/>
                <w:sz w:val="14"/>
                <w:szCs w:val="14"/>
                <w:color w:val="auto"/>
              </w:rPr>
              <w:t>Fiscal 2023</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45,395</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2024</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40,435</w:t>
            </w:r>
          </w:p>
        </w:tc>
      </w:tr>
      <w:tr>
        <w:trPr>
          <w:trHeight w:val="180"/>
        </w:trPr>
        <w:tc>
          <w:tcPr>
            <w:tcW w:w="9780" w:type="dxa"/>
            <w:vAlign w:val="bottom"/>
          </w:tcPr>
          <w:p>
            <w:pPr>
              <w:ind w:left="20"/>
              <w:spacing w:after="0"/>
              <w:rPr>
                <w:sz w:val="20"/>
                <w:szCs w:val="20"/>
                <w:color w:val="auto"/>
              </w:rPr>
            </w:pPr>
            <w:r>
              <w:rPr>
                <w:rFonts w:ascii="Arial" w:cs="Arial" w:eastAsia="Arial" w:hAnsi="Arial"/>
                <w:sz w:val="14"/>
                <w:szCs w:val="14"/>
                <w:color w:val="auto"/>
              </w:rPr>
              <w:t>Fiscal 2025</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7,060</w:t>
            </w:r>
          </w:p>
        </w:tc>
      </w:tr>
      <w:tr>
        <w:trPr>
          <w:trHeight w:val="180"/>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2026</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r>
      <w:tr>
        <w:trPr>
          <w:trHeight w:val="18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w:t>
            </w:r>
          </w:p>
        </w:tc>
      </w:tr>
      <w:tr>
        <w:trPr>
          <w:trHeight w:val="196"/>
        </w:trPr>
        <w:tc>
          <w:tcPr>
            <w:tcW w:w="9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purchase commitments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176,278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Letters of Credit</w:t>
      </w:r>
    </w:p>
    <w:p>
      <w:pPr>
        <w:spacing w:after="0" w:line="178" w:lineRule="exact"/>
        <w:rPr>
          <w:sz w:val="20"/>
          <w:szCs w:val="20"/>
          <w:color w:val="auto"/>
        </w:rPr>
      </w:pPr>
    </w:p>
    <w:p>
      <w:pPr>
        <w:ind w:right="200" w:firstLine="508"/>
        <w:spacing w:after="0" w:line="280" w:lineRule="auto"/>
        <w:rPr>
          <w:sz w:val="20"/>
          <w:szCs w:val="20"/>
          <w:color w:val="auto"/>
        </w:rPr>
      </w:pPr>
      <w:r>
        <w:rPr>
          <w:rFonts w:ascii="Arial" w:cs="Arial" w:eastAsia="Arial" w:hAnsi="Arial"/>
          <w:sz w:val="14"/>
          <w:szCs w:val="14"/>
          <w:color w:val="auto"/>
        </w:rPr>
        <w:t>As of April 30, 2021 and January 31, 2021, the Company had an unused standby letter of credit for $0.4 million, securing its headquarters facility in Sunnyvale, California. As of April 30, 2021 and January 31, 2021, the Company had an unused standby letter of credit for $1.0 million, securing its facility in Austin, Texas.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Litigation</w:t>
      </w:r>
    </w:p>
    <w:p>
      <w:pPr>
        <w:spacing w:after="0" w:line="199" w:lineRule="exact"/>
        <w:rPr>
          <w:sz w:val="20"/>
          <w:szCs w:val="20"/>
          <w:color w:val="auto"/>
        </w:rPr>
      </w:pPr>
    </w:p>
    <w:p>
      <w:pPr>
        <w:ind w:right="40" w:firstLine="508"/>
        <w:spacing w:after="0" w:line="242" w:lineRule="auto"/>
        <w:rPr>
          <w:sz w:val="20"/>
          <w:szCs w:val="20"/>
          <w:color w:val="auto"/>
        </w:rPr>
      </w:pPr>
      <w:r>
        <w:rPr>
          <w:rFonts w:ascii="Arial" w:cs="Arial" w:eastAsia="Arial" w:hAnsi="Arial"/>
          <w:sz w:val="14"/>
          <w:szCs w:val="14"/>
          <w:color w:val="auto"/>
        </w:rPr>
        <w:t>In November 2016, Fair Isaac Corporation (“FICO”) filed a petition before the Trademark Trial and Appellate Board (“TTAB”) at the U.S. Patent and Trademark Office, seeking cancellation of the Company’s registration of its “CrowdStrike Falcon” trademark, and a notice of opposition of the Company’s trademark application for “Falcon OverWatch.” The Company denies that any of the relief FICO seeks is appropriate, and has itself moved to cancel, or in the alternative amend, FICO’s “Falcon” trademark registrations before the TTAB. The proceedings have been consolidated and are in the discovery phase with trial periods scheduled to begin in December 2021. The Company is vigorously defending the case, but given the early stage, although a loss may reasonably be possible, the Company is unable to predict the likelihood of success of FICO’s claims or estimate a loss or range of loss. As a result, no liability has been recorded as of April 30, 2021 or January 31, 2021.</w:t>
      </w:r>
    </w:p>
    <w:p>
      <w:pPr>
        <w:spacing w:after="0" w:line="148" w:lineRule="exact"/>
        <w:rPr>
          <w:sz w:val="20"/>
          <w:szCs w:val="20"/>
          <w:color w:val="auto"/>
        </w:rPr>
      </w:pPr>
    </w:p>
    <w:p>
      <w:pPr>
        <w:ind w:firstLine="508"/>
        <w:spacing w:after="0" w:line="256" w:lineRule="auto"/>
        <w:rPr>
          <w:sz w:val="20"/>
          <w:szCs w:val="20"/>
          <w:color w:val="auto"/>
        </w:rPr>
      </w:pPr>
      <w:r>
        <w:rPr>
          <w:rFonts w:ascii="Arial" w:cs="Arial" w:eastAsia="Arial" w:hAnsi="Arial"/>
          <w:sz w:val="14"/>
          <w:szCs w:val="14"/>
          <w:color w:val="auto"/>
        </w:rPr>
        <w:t>In addition, the Company is involved in various other legal proceedings and subject to claims that arise in the ordinary course of business, including a letter demand from a former employee purportedly on behalf of himself and similarly situated employees alleging various wage and hour violations. The Company is vigorously defending the claim, but given the early stage, although a loss may reasonably be possible, the Company is unable to predict the likelihood of the claim’s success or estimate a loss or range of loss.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5" w:name="page26"/>
    <w:bookmarkEnd w:id="25"/>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Warranties and Indemnification</w:t>
      </w:r>
    </w:p>
    <w:p>
      <w:pPr>
        <w:spacing w:after="0" w:line="178" w:lineRule="exact"/>
        <w:rPr>
          <w:sz w:val="20"/>
          <w:szCs w:val="20"/>
          <w:color w:val="auto"/>
        </w:rPr>
      </w:pPr>
    </w:p>
    <w:p>
      <w:pPr>
        <w:ind w:right="560" w:firstLine="508"/>
        <w:spacing w:after="0" w:line="280" w:lineRule="auto"/>
        <w:rPr>
          <w:sz w:val="20"/>
          <w:szCs w:val="20"/>
          <w:color w:val="auto"/>
        </w:rPr>
      </w:pPr>
      <w:r>
        <w:rPr>
          <w:rFonts w:ascii="Arial" w:cs="Arial" w:eastAsia="Arial" w:hAnsi="Arial"/>
          <w:sz w:val="14"/>
          <w:szCs w:val="14"/>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32" w:lineRule="exact"/>
        <w:rPr>
          <w:sz w:val="20"/>
          <w:szCs w:val="20"/>
          <w:color w:val="auto"/>
        </w:rPr>
      </w:pPr>
    </w:p>
    <w:p>
      <w:pPr>
        <w:jc w:val="both"/>
        <w:ind w:right="40" w:firstLine="508"/>
        <w:spacing w:after="0" w:line="287" w:lineRule="auto"/>
        <w:rPr>
          <w:sz w:val="20"/>
          <w:szCs w:val="20"/>
          <w:color w:val="auto"/>
        </w:rPr>
      </w:pPr>
      <w:r>
        <w:rPr>
          <w:rFonts w:ascii="Arial" w:cs="Arial" w:eastAsia="Arial" w:hAnsi="Arial"/>
          <w:sz w:val="13"/>
          <w:szCs w:val="13"/>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31" w:lineRule="exact"/>
        <w:rPr>
          <w:sz w:val="20"/>
          <w:szCs w:val="20"/>
          <w:color w:val="auto"/>
        </w:rPr>
      </w:pPr>
    </w:p>
    <w:p>
      <w:pPr>
        <w:ind w:right="40" w:firstLine="508"/>
        <w:spacing w:after="0" w:line="257" w:lineRule="auto"/>
        <w:rPr>
          <w:sz w:val="20"/>
          <w:szCs w:val="20"/>
          <w:color w:val="auto"/>
        </w:rPr>
      </w:pPr>
      <w:r>
        <w:rPr>
          <w:rFonts w:ascii="Arial" w:cs="Arial" w:eastAsia="Arial" w:hAnsi="Arial"/>
          <w:sz w:val="14"/>
          <w:szCs w:val="14"/>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April 30, 2021 or January 31, 2021.</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i w:val="1"/>
          <w:iCs w:val="1"/>
          <w:color w:val="auto"/>
        </w:rPr>
        <w:t>11.</w:t>
      </w:r>
      <w:r>
        <w:rPr>
          <w:sz w:val="20"/>
          <w:szCs w:val="20"/>
          <w:color w:val="auto"/>
        </w:rPr>
        <w:tab/>
      </w:r>
      <w:r>
        <w:rPr>
          <w:rFonts w:ascii="Arial" w:cs="Arial" w:eastAsia="Arial" w:hAnsi="Arial"/>
          <w:sz w:val="12"/>
          <w:szCs w:val="12"/>
          <w:b w:val="1"/>
          <w:bCs w:val="1"/>
          <w:i w:val="1"/>
          <w:iCs w:val="1"/>
          <w:color w:val="auto"/>
        </w:rPr>
        <w:t>Related Party Transactions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Subscription and Professional Services Revenue from Related Parties</w:t>
      </w:r>
    </w:p>
    <w:p>
      <w:pPr>
        <w:spacing w:after="0" w:line="178" w:lineRule="exact"/>
        <w:rPr>
          <w:sz w:val="20"/>
          <w:szCs w:val="20"/>
          <w:color w:val="auto"/>
        </w:rPr>
      </w:pPr>
    </w:p>
    <w:p>
      <w:pPr>
        <w:ind w:right="20" w:firstLine="508"/>
        <w:spacing w:after="0" w:line="330" w:lineRule="auto"/>
        <w:rPr>
          <w:sz w:val="20"/>
          <w:szCs w:val="20"/>
          <w:color w:val="auto"/>
        </w:rPr>
      </w:pPr>
      <w:r>
        <w:rPr>
          <w:rFonts w:ascii="Arial" w:cs="Arial" w:eastAsia="Arial" w:hAnsi="Arial"/>
          <w:sz w:val="12"/>
          <w:szCs w:val="12"/>
          <w:color w:val="auto"/>
        </w:rPr>
        <w:t>During the three months ended April 30, 2021 and April 30, 2020, certain investors and companies with whom the Company’s Board of Directors are affiliated with, purchased subscriptions and professional services. The Company recorded revenue from subscriptions and professional services from related parties of $1.8 million and $0.9 million during the three months ended April 30, 2021 and April 30, 2020, respectively. Accounts receivable associated with these related parties was $0.9 million and $1.3 million as of April 30, 2021 and January 31, 2021, respectively.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Accounts Payable to Related Parties</w:t>
      </w:r>
    </w:p>
    <w:p>
      <w:pPr>
        <w:spacing w:after="0" w:line="178" w:lineRule="exact"/>
        <w:rPr>
          <w:sz w:val="20"/>
          <w:szCs w:val="20"/>
          <w:color w:val="auto"/>
        </w:rPr>
      </w:pPr>
    </w:p>
    <w:p>
      <w:pPr>
        <w:ind w:right="80" w:firstLine="508"/>
        <w:spacing w:after="0" w:line="320" w:lineRule="auto"/>
        <w:rPr>
          <w:sz w:val="20"/>
          <w:szCs w:val="20"/>
          <w:color w:val="auto"/>
        </w:rPr>
      </w:pPr>
      <w:r>
        <w:rPr>
          <w:rFonts w:ascii="Arial" w:cs="Arial" w:eastAsia="Arial" w:hAnsi="Arial"/>
          <w:sz w:val="13"/>
          <w:szCs w:val="13"/>
          <w:color w:val="auto"/>
        </w:rPr>
        <w:t>The Company purchased goods and services totaling $11.5 million and $0.8 million, respectively, from certain investors and companies with whom its Board of Directors are affiliated with during the three months ended April 30, 2021 and April 30, 2020, respectively. There were no accounts payable to such vendors as of April 30, 2021 and January 31, 2021.</w:t>
      </w:r>
    </w:p>
    <w:p>
      <w:pPr>
        <w:spacing w:after="0" w:line="109" w:lineRule="exact"/>
        <w:rPr>
          <w:sz w:val="20"/>
          <w:szCs w:val="20"/>
          <w:color w:val="auto"/>
        </w:rPr>
      </w:pPr>
    </w:p>
    <w:p>
      <w:pPr>
        <w:ind w:left="520" w:right="9820" w:hanging="515"/>
        <w:spacing w:after="0" w:line="588" w:lineRule="auto"/>
        <w:tabs>
          <w:tab w:leader="none" w:pos="324" w:val="left"/>
        </w:tabs>
        <w:numPr>
          <w:ilvl w:val="0"/>
          <w:numId w:val="1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Acquisitions Humio Limited</w:t>
      </w:r>
    </w:p>
    <w:p>
      <w:pPr>
        <w:spacing w:after="0" w:line="1" w:lineRule="exact"/>
        <w:rPr>
          <w:sz w:val="20"/>
          <w:szCs w:val="20"/>
          <w:color w:val="auto"/>
        </w:rPr>
      </w:pPr>
    </w:p>
    <w:p>
      <w:pPr>
        <w:ind w:firstLine="508"/>
        <w:spacing w:after="0" w:line="257" w:lineRule="auto"/>
        <w:rPr>
          <w:sz w:val="20"/>
          <w:szCs w:val="20"/>
          <w:color w:val="auto"/>
        </w:rPr>
      </w:pPr>
      <w:r>
        <w:rPr>
          <w:rFonts w:ascii="Arial" w:cs="Arial" w:eastAsia="Arial" w:hAnsi="Arial"/>
          <w:sz w:val="14"/>
          <w:szCs w:val="14"/>
          <w:color w:val="auto"/>
        </w:rPr>
        <w:t>On March 5, 2021, the Company acquired 100% of the equity interest of Humio Limited (“Humio”), a private company limited by shares incorporated and registered in England and Wales and a leading provider of high-performance cloud log management and observability technology. The total consideration transferred was $369.9 million which consisted of $353.4 million in cash, net of $12.5 million cash acquired, and $4.0 million representing the fair value of replacement equity awards attributable to pre-acquisition service. The purchase price was allocated, on a preliminary basis, to identified intangible assets, which include developed technology, customer relationships, and trade names, of $75.6 million, net tangible assets acquired of $3.1 million, and goodwill of $291.2 million allocated to the Company’s one reporting segment,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48" w:lineRule="exact"/>
        <w:rPr>
          <w:sz w:val="20"/>
          <w:szCs w:val="20"/>
          <w:color w:val="auto"/>
        </w:rPr>
      </w:pPr>
    </w:p>
    <w:p>
      <w:pPr>
        <w:ind w:right="40" w:firstLine="508"/>
        <w:spacing w:after="0" w:line="266" w:lineRule="auto"/>
        <w:rPr>
          <w:sz w:val="20"/>
          <w:szCs w:val="20"/>
          <w:color w:val="auto"/>
        </w:rPr>
      </w:pPr>
      <w:r>
        <w:rPr>
          <w:rFonts w:ascii="Arial" w:cs="Arial" w:eastAsia="Arial" w:hAnsi="Arial"/>
          <w:sz w:val="14"/>
          <w:szCs w:val="14"/>
          <w:color w:val="auto"/>
        </w:rPr>
        <w:t>Per the terms of the share purchase agreement with Humio, certain unvested stock options held by Humio employees were canceled and exchanged for replacement stock options under the 2019 Plan. Additionally, certain shares of stock issued pursuant to share-based compensation awards to entities affiliated with certain Humio employees were exchanged for replacement RSAs of the Company, which are subject to future vesting. The portion of the fair value of the replacement equity awards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298" w:right="379" w:bottom="1440" w:gutter="0" w:footer="0" w:header="0"/>
        </w:sectPr>
      </w:pPr>
    </w:p>
    <w:bookmarkStart w:id="26" w:name="page27"/>
    <w:bookmarkEnd w:id="26"/>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associated with pre-acquisition service of Humio’s employees represented a component of the total purchase consideration. The remaining fair value of these issued awards is subject to the recipients’ continued service and thus were excluded from the purchase price. In addition, Humio employees will be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preliminary fair value of the identifiable intangible assets acquired and their estimated useful lives as of the date of acquisition: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(in months)</w:t>
            </w: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5,400</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1"/>
        </w:trPr>
        <w:tc>
          <w:tcPr>
            <w:tcW w:w="8180" w:type="dxa"/>
            <w:vAlign w:val="bottom"/>
          </w:tcPr>
          <w:p>
            <w:pPr>
              <w:ind w:left="20"/>
              <w:spacing w:after="0"/>
              <w:rPr>
                <w:sz w:val="20"/>
                <w:szCs w:val="20"/>
                <w:color w:val="auto"/>
              </w:rPr>
            </w:pPr>
            <w:r>
              <w:rPr>
                <w:rFonts w:ascii="Arial" w:cs="Arial" w:eastAsia="Arial" w:hAnsi="Arial"/>
                <w:sz w:val="14"/>
                <w:szCs w:val="14"/>
                <w:color w:val="auto"/>
              </w:rPr>
              <w:t>Total intangible assets acquired</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75,600</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64" w:lineRule="exact"/>
        <w:rPr>
          <w:sz w:val="20"/>
          <w:szCs w:val="20"/>
          <w:color w:val="auto"/>
        </w:rPr>
      </w:pPr>
    </w:p>
    <w:p>
      <w:pPr>
        <w:ind w:right="140" w:firstLine="508"/>
        <w:spacing w:after="0" w:line="280" w:lineRule="auto"/>
        <w:rPr>
          <w:sz w:val="20"/>
          <w:szCs w:val="20"/>
          <w:color w:val="auto"/>
        </w:rPr>
      </w:pPr>
      <w:r>
        <w:rPr>
          <w:rFonts w:ascii="Arial" w:cs="Arial" w:eastAsia="Arial" w:hAnsi="Arial"/>
          <w:sz w:val="14"/>
          <w:szCs w:val="14"/>
          <w:color w:val="auto"/>
        </w:rPr>
        <w:t>The Company incurred non-consideration acquisition expense of $4.0 million during the three months ended April 30, 2021 related to Humio acquisition. The acquisition costs are recorded in general and administrative expenses on the Company’s condensed consolidated statement of operations.</w:t>
      </w:r>
    </w:p>
    <w:p>
      <w:pPr>
        <w:spacing w:after="0" w:line="153" w:lineRule="exact"/>
        <w:rPr>
          <w:sz w:val="20"/>
          <w:szCs w:val="20"/>
          <w:color w:val="auto"/>
        </w:rPr>
      </w:pPr>
    </w:p>
    <w:p>
      <w:pPr>
        <w:ind w:right="160" w:firstLine="508"/>
        <w:spacing w:after="0" w:line="280" w:lineRule="auto"/>
        <w:rPr>
          <w:sz w:val="20"/>
          <w:szCs w:val="20"/>
          <w:color w:val="auto"/>
        </w:rPr>
      </w:pPr>
      <w:r>
        <w:rPr>
          <w:rFonts w:ascii="Arial" w:cs="Arial" w:eastAsia="Arial" w:hAnsi="Arial"/>
          <w:sz w:val="14"/>
          <w:szCs w:val="14"/>
          <w:color w:val="auto"/>
        </w:rPr>
        <w:t>The results of operations of Humio have been included in the Company’s condensed consolidated financial statements from the date of acquisition. The acquisition of Humio did not have a material impact on the Company’s condensed consolidated financial statements, and therefore historical and pro forma disclosures have not been presented.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Preempt Security, Inc.</w:t>
      </w:r>
    </w:p>
    <w:p>
      <w:pPr>
        <w:spacing w:after="0" w:line="178" w:lineRule="exact"/>
        <w:rPr>
          <w:sz w:val="20"/>
          <w:szCs w:val="20"/>
          <w:color w:val="auto"/>
        </w:rPr>
      </w:pPr>
    </w:p>
    <w:p>
      <w:pPr>
        <w:ind w:right="20" w:firstLine="508"/>
        <w:spacing w:after="0" w:line="279" w:lineRule="auto"/>
        <w:rPr>
          <w:sz w:val="20"/>
          <w:szCs w:val="20"/>
          <w:color w:val="auto"/>
        </w:rPr>
      </w:pPr>
      <w:r>
        <w:rPr>
          <w:rFonts w:ascii="Arial" w:cs="Arial" w:eastAsia="Arial" w:hAnsi="Arial"/>
          <w:sz w:val="13"/>
          <w:szCs w:val="13"/>
          <w:color w:val="auto"/>
        </w:rPr>
        <w:t>On September 30, 2020, the Company acquired 100% of the equity interest of Preempt Security, Inc. (“Preempt Security”), a privately-held Delaware corporation that developed real-time access control and threat prevention technology. The acquisition has been accounted for as a business combination. The total consideration transferred was $91.2 million which consisted of $87.4 million in cash and $3.8 million representing the fair value of replacement equity awards attributable to pre-acquisition service. The Company completed the valuation of the acquired identified intangible assets as of September 30, 2020. The purchase price was allocated to identified intangible assets, which include developed technology, customer relationships and trade names, of $16.4 million, net tangible assets acquired of $(0.5) million and goodwill of $75.3 million allocated to the Company’s one reporting segment, representing the excess of the purchase price over the fair value of net tangible and intangible assets acquired. The goodwill was primarily attributable to the assembled workforce of Preempt Security, planned growth in new markets and synergies expected to be achieved from the integration of Preempt Security. Goodwill is not deductible for income tax purposes.</w:t>
      </w:r>
    </w:p>
    <w:p>
      <w:pPr>
        <w:spacing w:after="0" w:line="138" w:lineRule="exact"/>
        <w:rPr>
          <w:sz w:val="20"/>
          <w:szCs w:val="20"/>
          <w:color w:val="auto"/>
        </w:rPr>
      </w:pPr>
    </w:p>
    <w:p>
      <w:pPr>
        <w:ind w:right="20" w:firstLine="508"/>
        <w:spacing w:after="0" w:line="281" w:lineRule="auto"/>
        <w:rPr>
          <w:sz w:val="20"/>
          <w:szCs w:val="20"/>
          <w:color w:val="auto"/>
        </w:rPr>
      </w:pPr>
      <w:r>
        <w:rPr>
          <w:rFonts w:ascii="Arial" w:cs="Arial" w:eastAsia="Arial" w:hAnsi="Arial"/>
          <w:sz w:val="13"/>
          <w:szCs w:val="13"/>
          <w:color w:val="auto"/>
        </w:rPr>
        <w:t>Per the terms of the merger agreement with Preempt Security, certain unvested stock options held by Preempt Security employees were canceled and exchanged for replacement stock options under the 2019 Plan. Additionally, certain shares of stock issued pursuant to share-based compensation awards to key employees of Preempt Security were canceled and exchanged for replacement RSUs of the Company, which are subject to future vesting. The portion of the fair value of the replacement equity awards associated with pre-acquisition service of Preempt Security’s employees represented a component of the total purchase consideration. The remaining fair value of these issued awards is subject to the recipients’ continued service with the Company and the achievement of specified performance targets, and thus were excluded from the purchase price.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components of identifiable intangible assets acquired and their estimated useful lives as of the date of acquisition: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69"/>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(in months)</w:t>
            </w: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3,100</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71"/>
        </w:trPr>
        <w:tc>
          <w:tcPr>
            <w:tcW w:w="8180" w:type="dxa"/>
            <w:vAlign w:val="bottom"/>
          </w:tcPr>
          <w:p>
            <w:pPr>
              <w:ind w:left="20"/>
              <w:spacing w:after="0"/>
              <w:rPr>
                <w:sz w:val="20"/>
                <w:szCs w:val="20"/>
                <w:color w:val="auto"/>
              </w:rPr>
            </w:pPr>
            <w:r>
              <w:rPr>
                <w:rFonts w:ascii="Arial" w:cs="Arial" w:eastAsia="Arial" w:hAnsi="Arial"/>
                <w:sz w:val="14"/>
                <w:szCs w:val="14"/>
                <w:color w:val="auto"/>
              </w:rPr>
              <w:t>Total intangible assets acquired</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16,385</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788"/>
        </w:trPr>
        <w:tc>
          <w:tcPr>
            <w:tcW w:w="8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7" w:name="page28"/>
    <w:bookmarkEnd w:id="27"/>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ind w:right="220" w:firstLine="508"/>
        <w:spacing w:after="0" w:line="280" w:lineRule="auto"/>
        <w:rPr>
          <w:sz w:val="20"/>
          <w:szCs w:val="20"/>
          <w:color w:val="auto"/>
        </w:rPr>
      </w:pPr>
      <w:r>
        <w:rPr>
          <w:rFonts w:ascii="Arial" w:cs="Arial" w:eastAsia="Arial" w:hAnsi="Arial"/>
          <w:sz w:val="14"/>
          <w:szCs w:val="14"/>
          <w:color w:val="auto"/>
        </w:rPr>
        <w:t>The Company incurred acquisition expense of $0.3 million during the three months ended April 30, 2021. The acquisition costs are recorded in general and administrative expenses on the Company’s condensed consolidated statement of operations.</w:t>
      </w:r>
    </w:p>
    <w:p>
      <w:pPr>
        <w:spacing w:after="0" w:line="153" w:lineRule="exact"/>
        <w:rPr>
          <w:sz w:val="20"/>
          <w:szCs w:val="20"/>
          <w:color w:val="auto"/>
        </w:rPr>
      </w:pPr>
    </w:p>
    <w:p>
      <w:pPr>
        <w:ind w:right="320" w:firstLine="508"/>
        <w:spacing w:after="0" w:line="320" w:lineRule="auto"/>
        <w:rPr>
          <w:sz w:val="20"/>
          <w:szCs w:val="20"/>
          <w:color w:val="auto"/>
        </w:rPr>
      </w:pPr>
      <w:r>
        <w:rPr>
          <w:rFonts w:ascii="Arial" w:cs="Arial" w:eastAsia="Arial" w:hAnsi="Arial"/>
          <w:sz w:val="13"/>
          <w:szCs w:val="13"/>
          <w:color w:val="auto"/>
        </w:rPr>
        <w:t>The results of operations of Preempt Security have been included in the Company’s condensed consolidated financial statements from the date of acquisition. The acquisition of Preempt Security did not have a material impact on the Company’s condensed consolidated financial statements, and therefore historical and pro forma disclosures have not been presented.</w:t>
      </w:r>
    </w:p>
    <w:p>
      <w:pPr>
        <w:spacing w:after="0" w:line="10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i w:val="1"/>
          <w:iCs w:val="1"/>
          <w:color w:val="auto"/>
        </w:rPr>
        <w:t>13.</w:t>
      </w:r>
      <w:r>
        <w:rPr>
          <w:sz w:val="20"/>
          <w:szCs w:val="20"/>
          <w:color w:val="auto"/>
        </w:rPr>
        <w:tab/>
      </w:r>
      <w:r>
        <w:rPr>
          <w:rFonts w:ascii="Arial" w:cs="Arial" w:eastAsia="Arial" w:hAnsi="Arial"/>
          <w:sz w:val="12"/>
          <w:szCs w:val="12"/>
          <w:b w:val="1"/>
          <w:bCs w:val="1"/>
          <w:i w:val="1"/>
          <w:iCs w:val="1"/>
          <w:color w:val="auto"/>
        </w:rPr>
        <w:t>Net Loss Per Share Attributable to Common Stockholders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computation of basic and diluted net loss per share attributable to common stockholders (in thousands,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r>
      <w:tr>
        <w:trPr>
          <w:trHeight w:val="172"/>
        </w:trPr>
        <w:tc>
          <w:tcPr>
            <w:tcW w:w="8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r>
      <w:tr>
        <w:trPr>
          <w:trHeight w:val="160"/>
        </w:trPr>
        <w:tc>
          <w:tcPr>
            <w:tcW w:w="818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b w:val="1"/>
                <w:bCs w:val="1"/>
                <w:color w:val="auto"/>
              </w:rPr>
              <w:t>Class A Common Stock</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Net loss attributable to CrowdStrike</w:t>
            </w:r>
          </w:p>
        </w:tc>
        <w:tc>
          <w:tcPr>
            <w:tcW w:w="940" w:type="dxa"/>
            <w:vAlign w:val="bottom"/>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(74,574)</w:t>
            </w:r>
          </w:p>
        </w:tc>
        <w:tc>
          <w:tcPr>
            <w:tcW w:w="100" w:type="dxa"/>
            <w:vAlign w:val="bottom"/>
          </w:tcPr>
          <w:p>
            <w:pPr>
              <w:spacing w:after="0"/>
              <w:rPr>
                <w:sz w:val="15"/>
                <w:szCs w:val="15"/>
                <w:color w:val="auto"/>
              </w:rPr>
            </w:pPr>
          </w:p>
        </w:tc>
        <w:tc>
          <w:tcPr>
            <w:tcW w:w="940" w:type="dxa"/>
            <w:vAlign w:val="bottom"/>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(11,263)</w:t>
            </w: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used in computing net loss per share attributable to CrowdStrike, basic and diluted</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196,545</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124,886</w:t>
            </w:r>
          </w:p>
        </w:tc>
      </w:tr>
      <w:tr>
        <w:trPr>
          <w:trHeight w:val="171"/>
        </w:trPr>
        <w:tc>
          <w:tcPr>
            <w:tcW w:w="8180" w:type="dxa"/>
            <w:vAlign w:val="bottom"/>
          </w:tcPr>
          <w:p>
            <w:pPr>
              <w:ind w:left="20"/>
              <w:spacing w:after="0"/>
              <w:rPr>
                <w:sz w:val="20"/>
                <w:szCs w:val="20"/>
                <w:color w:val="auto"/>
              </w:rPr>
            </w:pPr>
            <w:r>
              <w:rPr>
                <w:rFonts w:ascii="Arial" w:cs="Arial" w:eastAsia="Arial" w:hAnsi="Arial"/>
                <w:sz w:val="14"/>
                <w:szCs w:val="14"/>
                <w:color w:val="auto"/>
              </w:rPr>
              <w:t>Net loss per share attributable to CrowdStrike, basic and diluted</w:t>
            </w:r>
          </w:p>
        </w:tc>
        <w:tc>
          <w:tcPr>
            <w:tcW w:w="940" w:type="dxa"/>
            <w:vAlign w:val="bottom"/>
            <w:tcBorders>
              <w:bottom w:val="single" w:sz="8" w:color="auto"/>
            </w:tcBorders>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30"/>
        </w:trPr>
        <w:tc>
          <w:tcPr>
            <w:tcW w:w="8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CrowdStrike</w:t>
            </w:r>
          </w:p>
        </w:tc>
        <w:tc>
          <w:tcPr>
            <w:tcW w:w="94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(10,475)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(7,959)</w:t>
            </w:r>
          </w:p>
        </w:tc>
      </w:tr>
      <w:tr>
        <w:trPr>
          <w:trHeight w:val="18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used in computing net loss per share attributable to CrowdStrike, basic and diluted</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27,608</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88,243</w:t>
            </w: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CrowdStrike, basic and diluted</w:t>
            </w:r>
          </w:p>
        </w:tc>
        <w:tc>
          <w:tcPr>
            <w:tcW w:w="9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80" w:firstLine="508"/>
        <w:spacing w:after="0" w:line="266" w:lineRule="auto"/>
        <w:rPr>
          <w:sz w:val="20"/>
          <w:szCs w:val="20"/>
          <w:color w:val="auto"/>
        </w:rPr>
      </w:pPr>
      <w:r>
        <w:rPr>
          <w:rFonts w:ascii="Arial" w:cs="Arial" w:eastAsia="Arial" w:hAnsi="Arial"/>
          <w:sz w:val="14"/>
          <w:szCs w:val="14"/>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1040" w:type="dxa"/>
            <w:vAlign w:val="bottom"/>
          </w:tcPr>
          <w:p>
            <w:pPr>
              <w:jc w:val="center"/>
              <w:ind w:left="389"/>
              <w:spacing w:after="0" w:line="142" w:lineRule="exact"/>
              <w:rPr>
                <w:sz w:val="20"/>
                <w:szCs w:val="20"/>
                <w:color w:val="auto"/>
              </w:rPr>
            </w:pPr>
            <w:r>
              <w:rPr>
                <w:rFonts w:ascii="Arial" w:cs="Arial" w:eastAsia="Arial" w:hAnsi="Arial"/>
                <w:sz w:val="14"/>
                <w:szCs w:val="14"/>
                <w:b w:val="1"/>
                <w:bCs w:val="1"/>
                <w:color w:val="auto"/>
                <w:w w:val="97"/>
              </w:rPr>
              <w:t>April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right"/>
              <w:ind w:right="409"/>
              <w:spacing w:after="0" w:line="142" w:lineRule="exact"/>
              <w:rPr>
                <w:sz w:val="20"/>
                <w:szCs w:val="20"/>
                <w:color w:val="auto"/>
              </w:rPr>
            </w:pPr>
            <w:r>
              <w:rPr>
                <w:rFonts w:ascii="Arial" w:cs="Arial" w:eastAsia="Arial" w:hAnsi="Arial"/>
                <w:sz w:val="14"/>
                <w:szCs w:val="14"/>
                <w:b w:val="1"/>
                <w:bCs w:val="1"/>
                <w:color w:val="auto"/>
              </w:rPr>
              <w:t>April 30,</w:t>
            </w:r>
          </w:p>
        </w:tc>
      </w:tr>
      <w:tr>
        <w:trPr>
          <w:trHeight w:val="180"/>
        </w:trPr>
        <w:tc>
          <w:tcPr>
            <w:tcW w:w="8180" w:type="dxa"/>
            <w:vAlign w:val="bottom"/>
          </w:tcPr>
          <w:p>
            <w:pPr>
              <w:spacing w:after="0"/>
              <w:rPr>
                <w:sz w:val="15"/>
                <w:szCs w:val="15"/>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r>
      <w:tr>
        <w:trPr>
          <w:trHeight w:val="202"/>
        </w:trPr>
        <w:tc>
          <w:tcPr>
            <w:tcW w:w="8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tcPr>
          <w:p>
            <w:pPr>
              <w:spacing w:after="0"/>
              <w:rPr>
                <w:sz w:val="17"/>
                <w:szCs w:val="17"/>
                <w:color w:val="auto"/>
              </w:rPr>
            </w:pPr>
          </w:p>
        </w:tc>
      </w:tr>
      <w:tr>
        <w:trPr>
          <w:trHeight w:val="180"/>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of common stock subject to repurchase from outstanding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w:t>
            </w:r>
          </w:p>
        </w:tc>
      </w:tr>
      <w:tr>
        <w:trPr>
          <w:trHeight w:val="180"/>
        </w:trPr>
        <w:tc>
          <w:tcPr>
            <w:tcW w:w="9220" w:type="dxa"/>
            <w:vAlign w:val="bottom"/>
            <w:gridSpan w:val="2"/>
          </w:tcPr>
          <w:p>
            <w:pPr>
              <w:ind w:left="20"/>
              <w:spacing w:after="0"/>
              <w:rPr>
                <w:sz w:val="20"/>
                <w:szCs w:val="20"/>
                <w:color w:val="auto"/>
              </w:rPr>
            </w:pPr>
            <w:r>
              <w:rPr>
                <w:rFonts w:ascii="Arial" w:cs="Arial" w:eastAsia="Arial" w:hAnsi="Arial"/>
                <w:sz w:val="14"/>
                <w:szCs w:val="14"/>
                <w:color w:val="auto"/>
              </w:rPr>
              <w:t>RSUs and PSUs subject to future vesting</w:t>
            </w:r>
          </w:p>
        </w:tc>
        <w:tc>
          <w:tcPr>
            <w:tcW w:w="460" w:type="dxa"/>
            <w:vAlign w:val="bottom"/>
          </w:tcPr>
          <w:p>
            <w:pPr>
              <w:jc w:val="right"/>
              <w:spacing w:after="0"/>
              <w:rPr>
                <w:sz w:val="20"/>
                <w:szCs w:val="20"/>
                <w:color w:val="auto"/>
              </w:rPr>
            </w:pPr>
            <w:r>
              <w:rPr>
                <w:rFonts w:ascii="Arial" w:cs="Arial" w:eastAsia="Arial" w:hAnsi="Arial"/>
                <w:sz w:val="14"/>
                <w:szCs w:val="14"/>
                <w:color w:val="auto"/>
              </w:rPr>
              <w:t>8,274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8,245</w:t>
            </w:r>
          </w:p>
        </w:tc>
      </w:tr>
      <w:tr>
        <w:trPr>
          <w:trHeight w:val="180"/>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of common stock issuable from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12,472</w:t>
            </w:r>
          </w:p>
        </w:tc>
      </w:tr>
      <w:tr>
        <w:trPr>
          <w:trHeight w:val="18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purchase rights under the employee stock purchase plan</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1,426</w:t>
            </w:r>
          </w:p>
        </w:tc>
      </w:tr>
      <w:tr>
        <w:trPr>
          <w:trHeight w:val="191"/>
        </w:trPr>
        <w:tc>
          <w:tcPr>
            <w:tcW w:w="9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Potential common shares excluded from diluted net loss 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15,495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right="120" w:firstLine="508"/>
        <w:spacing w:after="0" w:line="366" w:lineRule="auto"/>
        <w:rPr>
          <w:sz w:val="20"/>
          <w:szCs w:val="20"/>
          <w:color w:val="auto"/>
        </w:rPr>
      </w:pPr>
      <w:r>
        <w:rPr>
          <w:rFonts w:ascii="Arial" w:cs="Arial" w:eastAsia="Arial" w:hAnsi="Arial"/>
          <w:sz w:val="12"/>
          <w:szCs w:val="12"/>
          <w:color w:val="auto"/>
        </w:rPr>
        <w:t>The above table excludes founder holdbacks related to business combinations. A variable number of shares will be issued upon vesting to settle a fixed monetary amount of $11.4 million which are contingent upon continued employment with the Company for two years. The share price will be determined based on the Company’s average stock price 5 days prior to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398780</wp:posOffset>
            </wp:positionV>
            <wp:extent cx="71875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8" w:name="page29"/>
    <w:bookmarkEnd w:id="28"/>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2" w:lineRule="exact"/>
        <w:rPr>
          <w:sz w:val="20"/>
          <w:szCs w:val="20"/>
          <w:color w:val="auto"/>
        </w:rPr>
      </w:pPr>
    </w:p>
    <w:p>
      <w:pPr>
        <w:ind w:right="20" w:firstLine="508"/>
        <w:spacing w:after="0" w:line="257"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2021,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Overview</w:t>
      </w:r>
    </w:p>
    <w:p>
      <w:pPr>
        <w:spacing w:after="0" w:line="182" w:lineRule="exact"/>
        <w:rPr>
          <w:sz w:val="20"/>
          <w:szCs w:val="20"/>
          <w:color w:val="auto"/>
        </w:rPr>
      </w:pPr>
    </w:p>
    <w:p>
      <w:pPr>
        <w:ind w:right="20" w:firstLine="508"/>
        <w:spacing w:after="0" w:line="330" w:lineRule="auto"/>
        <w:rPr>
          <w:sz w:val="20"/>
          <w:szCs w:val="20"/>
          <w:color w:val="auto"/>
        </w:rPr>
      </w:pPr>
      <w:r>
        <w:rPr>
          <w:rFonts w:ascii="Arial" w:cs="Arial" w:eastAsia="Arial" w:hAnsi="Arial"/>
          <w:sz w:val="12"/>
          <w:szCs w:val="12"/>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08" w:lineRule="exact"/>
        <w:rPr>
          <w:sz w:val="20"/>
          <w:szCs w:val="20"/>
          <w:color w:val="auto"/>
        </w:rPr>
      </w:pPr>
    </w:p>
    <w:p>
      <w:pPr>
        <w:ind w:firstLine="508"/>
        <w:spacing w:after="0" w:line="255" w:lineRule="auto"/>
        <w:rPr>
          <w:sz w:val="20"/>
          <w:szCs w:val="20"/>
          <w:color w:val="auto"/>
        </w:rPr>
      </w:pPr>
      <w:r>
        <w:rPr>
          <w:rFonts w:ascii="Arial" w:cs="Arial" w:eastAsia="Arial" w:hAnsi="Arial"/>
          <w:sz w:val="14"/>
          <w:szCs w:val="14"/>
          <w:color w:val="auto"/>
        </w:rPr>
        <w:t>We believe we are defining a new category called the Security Cloud, with the power to transform the security industry much the same way the cloud has transformed the customer relationship management, human resources,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cloud workloads, cloud containers, mobile,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Our single lightweight agent is installed on each endpoint or the cloud workload host and provides local detection and prevention capabilities while also intelligently collecting and streaming high fidelity data to our platform for real-time decision-making. Our Threat Graph processes, correlates, and analyzes this data in the cloud using a combination of AI and behavioral pattern-matching techniques. By analyzing and correlating information across our massive, crowdsourced dataset, we are able to deploy our AI algorithms at cloud-scale and build a more intelligent, effective solution to detect threats and stop breaches that on-premise or single instance cloud products cannot match. Today, we offer 19 cloud modules via a SaaS subscription-based model that spans multiple large markets, including corporate workload security, security and vulnerability management, managed security services, IT operations management, threat intelligence services, identity protection and log management.</w:t>
      </w:r>
    </w:p>
    <w:p>
      <w:pPr>
        <w:spacing w:after="0" w:line="150" w:lineRule="exact"/>
        <w:rPr>
          <w:sz w:val="20"/>
          <w:szCs w:val="20"/>
          <w:color w:val="auto"/>
        </w:rPr>
      </w:pPr>
    </w:p>
    <w:p>
      <w:pPr>
        <w:ind w:firstLine="508"/>
        <w:spacing w:after="0" w:line="308" w:lineRule="auto"/>
        <w:rPr>
          <w:sz w:val="20"/>
          <w:szCs w:val="20"/>
          <w:color w:val="auto"/>
        </w:rPr>
      </w:pPr>
      <w:r>
        <w:rPr>
          <w:rFonts w:ascii="Arial" w:cs="Arial" w:eastAsia="Arial" w:hAnsi="Arial"/>
          <w:sz w:val="12"/>
          <w:szCs w:val="12"/>
          <w:color w:val="auto"/>
        </w:rPr>
        <w:t>In March 2020, the World Health Organization declared the COVID-19 outbreak to be a pandemic. Since then, the COVID-19 pandemic has rapidly spread across the globe and has already resulted in significant volatility, uncertainty, and economic disruption. In March 2020, we implemented several measures to help ensure the health and safety of our employees around the globe including restricting all travel and transitioning 100% of our workforce to be remote. In addition, in response to the uncertain macroeconomic environment, we converted all of our marketable securities to cash and cash equivalents during the three months ended April 30, 2020, and as of April 30, 2021, all of our investments were classified as cash and cash equivalents. Thus far, the impact of the pandemic has been modest with respect to some customers, particularly in heavily impacted industries, requesting special billing or payment terms. Our gross retention rate for the first quarter of fiscal 2022 remained consistently high and our dollar-based net retention rate once again exceeded 120 percent as we continued to expand module adoption within new and existing customers.</w:t>
      </w:r>
    </w:p>
    <w:p>
      <w:pPr>
        <w:spacing w:after="0" w:line="122" w:lineRule="exact"/>
        <w:rPr>
          <w:sz w:val="20"/>
          <w:szCs w:val="20"/>
          <w:color w:val="auto"/>
        </w:rPr>
      </w:pPr>
    </w:p>
    <w:p>
      <w:pPr>
        <w:ind w:right="100" w:firstLine="508"/>
        <w:spacing w:after="0" w:line="287" w:lineRule="auto"/>
        <w:rPr>
          <w:sz w:val="20"/>
          <w:szCs w:val="20"/>
          <w:color w:val="auto"/>
        </w:rPr>
      </w:pPr>
      <w:r>
        <w:rPr>
          <w:rFonts w:ascii="Arial" w:cs="Arial" w:eastAsia="Arial" w:hAnsi="Arial"/>
          <w:sz w:val="13"/>
          <w:szCs w:val="13"/>
          <w:color w:val="auto"/>
        </w:rPr>
        <w:t>We continue to conduct business as usual with modifications to employee travel, employee work locations, customer interactions, and cancellation of certain marketing events, among other things.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The extent to which the COVID-19 pandemic may impact our longer-term operational and financial performance remains uncertain. Furthermore, due to our subscription-based business model, the effect of the COVID-19 pandemic may not be fully reflected in our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75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298" w:right="359" w:bottom="1440" w:gutter="0" w:footer="0" w:header="0"/>
        </w:sectPr>
      </w:pPr>
    </w:p>
    <w:bookmarkStart w:id="29" w:name="page30"/>
    <w:bookmarkEnd w:id="29"/>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400"/>
        <w:spacing w:after="0" w:line="261" w:lineRule="auto"/>
        <w:rPr>
          <w:sz w:val="20"/>
          <w:szCs w:val="20"/>
          <w:color w:val="auto"/>
        </w:rPr>
      </w:pPr>
      <w:r>
        <w:rPr>
          <w:rFonts w:ascii="Arial" w:cs="Arial" w:eastAsia="Arial" w:hAnsi="Arial"/>
          <w:sz w:val="14"/>
          <w:szCs w:val="14"/>
          <w:color w:val="auto"/>
        </w:rPr>
        <w:t>operations until future periods, if at all. The extent of the impact of the COVID-19 pandemic will depend on several factors, including the pace of reopening the economy around the world; the possible resurgence in the spread of the virus; the development cycle of therapeutics and vaccines; the impact on our customers and our sales cycles; the impact on our customer, employee, and industry events; and the effect on our vendors. Please see Part II, Item IA, “Risk Factors” in this Quarterly Report on Form 10-Q for a further description of the material risks we currently face, including risks related to the COVID-19 pandemic.</w:t>
      </w:r>
    </w:p>
    <w:p>
      <w:pPr>
        <w:spacing w:after="0" w:line="146" w:lineRule="exact"/>
        <w:rPr>
          <w:sz w:val="20"/>
          <w:szCs w:val="20"/>
          <w:color w:val="auto"/>
        </w:rPr>
      </w:pPr>
    </w:p>
    <w:p>
      <w:pPr>
        <w:ind w:right="20" w:firstLine="508"/>
        <w:spacing w:after="0" w:line="279" w:lineRule="auto"/>
        <w:rPr>
          <w:sz w:val="20"/>
          <w:szCs w:val="20"/>
          <w:color w:val="auto"/>
        </w:rPr>
      </w:pPr>
      <w:r>
        <w:rPr>
          <w:rFonts w:ascii="Arial" w:cs="Arial" w:eastAsia="Arial" w:hAnsi="Arial"/>
          <w:sz w:val="13"/>
          <w:szCs w:val="13"/>
          <w:color w:val="auto"/>
        </w:rPr>
        <w:t>On March 5, 2021, the Company acquired 100% of the equity interest of Humio Limited (“Humio”), a private company limited by shares incorporated and registered in England and Wales and a leading provider of high-performance cloud log management and observability technology. The acquisition has been accounted for as a business combination. The total consideration transferred was $369.9 million which consisted of $353.4 million in cash, net of $12.5 million cash acquired, and $4.0 million representing the fair value of replacement equity awards attributable to pre-acquisition service. The purchase price was allocated, on a preliminary basis, to identified intangible assets, which include developed technology, customer relationships and trade names, of $75.6 million, net tangible assets acquired of $3.1 million and goodwill of $291.2 million allocated to the Company’s one reporting segment,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3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Our Go-To-Market Strategy</w:t>
      </w:r>
    </w:p>
    <w:p>
      <w:pPr>
        <w:spacing w:after="0" w:line="182" w:lineRule="exact"/>
        <w:rPr>
          <w:sz w:val="20"/>
          <w:szCs w:val="20"/>
          <w:color w:val="auto"/>
        </w:rPr>
      </w:pPr>
    </w:p>
    <w:p>
      <w:pPr>
        <w:ind w:right="20" w:firstLine="508"/>
        <w:spacing w:after="0" w:line="266" w:lineRule="auto"/>
        <w:rPr>
          <w:sz w:val="20"/>
          <w:szCs w:val="20"/>
          <w:color w:val="auto"/>
        </w:rPr>
      </w:pPr>
      <w:r>
        <w:rPr>
          <w:rFonts w:ascii="Arial" w:cs="Arial" w:eastAsia="Arial" w:hAnsi="Arial"/>
          <w:sz w:val="14"/>
          <w:szCs w:val="14"/>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42" w:lineRule="exact"/>
        <w:rPr>
          <w:sz w:val="20"/>
          <w:szCs w:val="20"/>
          <w:color w:val="auto"/>
        </w:rPr>
      </w:pPr>
    </w:p>
    <w:p>
      <w:pPr>
        <w:ind w:right="80" w:firstLine="508"/>
        <w:spacing w:after="0" w:line="312" w:lineRule="auto"/>
        <w:rPr>
          <w:sz w:val="20"/>
          <w:szCs w:val="20"/>
          <w:color w:val="auto"/>
        </w:rPr>
      </w:pPr>
      <w:r>
        <w:rPr>
          <w:rFonts w:ascii="Arial" w:cs="Arial" w:eastAsia="Arial" w:hAnsi="Arial"/>
          <w:sz w:val="12"/>
          <w:szCs w:val="12"/>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19" w:lineRule="exact"/>
        <w:rPr>
          <w:sz w:val="20"/>
          <w:szCs w:val="20"/>
          <w:color w:val="auto"/>
        </w:rPr>
      </w:pPr>
    </w:p>
    <w:p>
      <w:pPr>
        <w:ind w:right="40" w:firstLine="508"/>
        <w:spacing w:after="0" w:line="266" w:lineRule="auto"/>
        <w:rPr>
          <w:sz w:val="20"/>
          <w:szCs w:val="20"/>
          <w:color w:val="auto"/>
        </w:rPr>
      </w:pPr>
      <w:r>
        <w:rPr>
          <w:rFonts w:ascii="Arial" w:cs="Arial" w:eastAsia="Arial" w:hAnsi="Arial"/>
          <w:sz w:val="14"/>
          <w:szCs w:val="14"/>
          <w:color w:val="auto"/>
        </w:rPr>
        <w:t>We began as a solution for large enterprises, but the flexibility and scalability of our Falcon platform has enabled us to seamlessly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42" w:lineRule="exact"/>
        <w:rPr>
          <w:sz w:val="20"/>
          <w:szCs w:val="20"/>
          <w:color w:val="auto"/>
        </w:rPr>
      </w:pPr>
    </w:p>
    <w:p>
      <w:pPr>
        <w:ind w:right="40" w:firstLine="508"/>
        <w:spacing w:after="0" w:line="295" w:lineRule="auto"/>
        <w:rPr>
          <w:sz w:val="20"/>
          <w:szCs w:val="20"/>
          <w:color w:val="auto"/>
        </w:rPr>
      </w:pPr>
      <w:r>
        <w:rPr>
          <w:rFonts w:ascii="Arial" w:cs="Arial" w:eastAsia="Arial" w:hAnsi="Arial"/>
          <w:sz w:val="13"/>
          <w:szCs w:val="13"/>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22"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Certain Factors Affecting Our Performance</w:t>
      </w:r>
    </w:p>
    <w:p>
      <w:pPr>
        <w:spacing w:after="0" w:line="182" w:lineRule="exact"/>
        <w:rPr>
          <w:sz w:val="20"/>
          <w:szCs w:val="20"/>
          <w:color w:val="auto"/>
        </w:rPr>
      </w:pPr>
    </w:p>
    <w:p>
      <w:pPr>
        <w:jc w:val="both"/>
        <w:ind w:right="80" w:firstLine="508"/>
        <w:spacing w:after="0" w:line="266" w:lineRule="auto"/>
        <w:rPr>
          <w:sz w:val="20"/>
          <w:szCs w:val="20"/>
          <w:color w:val="auto"/>
        </w:rPr>
      </w:pPr>
      <w:r>
        <w:rPr>
          <w:rFonts w:ascii="Arial" w:cs="Arial" w:eastAsia="Arial" w:hAnsi="Arial"/>
          <w:sz w:val="14"/>
          <w:szCs w:val="14"/>
          <w:b w:val="1"/>
          <w:bCs w:val="1"/>
          <w:i w:val="1"/>
          <w:iCs w:val="1"/>
          <w:color w:val="auto"/>
        </w:rPr>
        <w:t xml:space="preserve">Adoption of Our Solutions. </w:t>
      </w:r>
      <w:r>
        <w:rPr>
          <w:rFonts w:ascii="Arial" w:cs="Arial" w:eastAsia="Arial" w:hAnsi="Arial"/>
          <w:sz w:val="14"/>
          <w:szCs w:val="14"/>
          <w:color w:val="auto"/>
        </w:rPr>
        <w:t>We believe our future success depends in large part on the growth in the market for cloud-based SaaS-delivered endpoint security solutions. Many organizations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42" w:lineRule="exact"/>
        <w:rPr>
          <w:sz w:val="20"/>
          <w:szCs w:val="20"/>
          <w:color w:val="auto"/>
        </w:rPr>
      </w:pPr>
    </w:p>
    <w:p>
      <w:pPr>
        <w:ind w:firstLine="508"/>
        <w:spacing w:after="0" w:line="259" w:lineRule="auto"/>
        <w:rPr>
          <w:sz w:val="20"/>
          <w:szCs w:val="20"/>
          <w:color w:val="auto"/>
        </w:rPr>
      </w:pPr>
      <w:r>
        <w:rPr>
          <w:rFonts w:ascii="Arial" w:cs="Arial" w:eastAsia="Arial" w:hAnsi="Arial"/>
          <w:sz w:val="14"/>
          <w:szCs w:val="14"/>
          <w:b w:val="1"/>
          <w:bCs w:val="1"/>
          <w:i w:val="1"/>
          <w:iCs w:val="1"/>
          <w:color w:val="auto"/>
        </w:rPr>
        <w:t xml:space="preserve">New Customer Acquisition. </w:t>
      </w:r>
      <w:r>
        <w:rPr>
          <w:rFonts w:ascii="Arial" w:cs="Arial" w:eastAsia="Arial" w:hAnsi="Arial"/>
          <w:sz w:val="14"/>
          <w:szCs w:val="14"/>
          <w:color w:val="auto"/>
        </w:rPr>
        <w:t>Our future growth depends in large part on our ability to acquire new customers. If our efforts to attract new customers are not successful, our revenue and rate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544195</wp:posOffset>
            </wp:positionV>
            <wp:extent cx="71875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30" w:name="page31"/>
    <w:bookmarkEnd w:id="3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ind w:right="20" w:firstLine="508"/>
        <w:spacing w:after="0" w:line="270" w:lineRule="auto"/>
        <w:rPr>
          <w:sz w:val="20"/>
          <w:szCs w:val="20"/>
          <w:color w:val="auto"/>
        </w:rPr>
      </w:pPr>
      <w:r>
        <w:rPr>
          <w:rFonts w:ascii="Arial" w:cs="Arial" w:eastAsia="Arial" w:hAnsi="Arial"/>
          <w:sz w:val="13"/>
          <w:szCs w:val="13"/>
          <w:b w:val="1"/>
          <w:bCs w:val="1"/>
          <w:i w:val="1"/>
          <w:iCs w:val="1"/>
          <w:color w:val="auto"/>
        </w:rPr>
        <w:t xml:space="preserve">Maintain Customer Retention and Increase Sales. </w:t>
      </w:r>
      <w:r>
        <w:rPr>
          <w:rFonts w:ascii="Arial" w:cs="Arial" w:eastAsia="Arial" w:hAnsi="Arial"/>
          <w:sz w:val="13"/>
          <w:szCs w:val="13"/>
          <w:color w:val="auto"/>
        </w:rPr>
        <w:t>Our ability to increase revenue depends in large part on our ability to retain our existing customers and increase the ARR of their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SKU cloud modules. We initially launched this strategy with our IT hygiene, next-generation antivirus, EDR, managed threat hunting, and intelligence modules. We currently have 19 cloud modules that span multiple large markets.</w:t>
      </w:r>
    </w:p>
    <w:p>
      <w:pPr>
        <w:spacing w:after="0" w:line="131" w:lineRule="exact"/>
        <w:rPr>
          <w:sz w:val="20"/>
          <w:szCs w:val="20"/>
          <w:color w:val="auto"/>
        </w:rPr>
      </w:pPr>
    </w:p>
    <w:p>
      <w:pPr>
        <w:ind w:right="120" w:firstLine="508"/>
        <w:spacing w:after="0" w:line="257" w:lineRule="auto"/>
        <w:rPr>
          <w:sz w:val="20"/>
          <w:szCs w:val="20"/>
          <w:color w:val="auto"/>
        </w:rPr>
      </w:pPr>
      <w:r>
        <w:rPr>
          <w:rFonts w:ascii="Arial" w:cs="Arial" w:eastAsia="Arial" w:hAnsi="Arial"/>
          <w:sz w:val="14"/>
          <w:szCs w:val="14"/>
          <w:b w:val="1"/>
          <w:bCs w:val="1"/>
          <w:i w:val="1"/>
          <w:iCs w:val="1"/>
          <w:color w:val="auto"/>
        </w:rPr>
        <w:t xml:space="preserve">Invest in Growth. </w:t>
      </w:r>
      <w:r>
        <w:rPr>
          <w:rFonts w:ascii="Arial" w:cs="Arial" w:eastAsia="Arial" w:hAnsi="Arial"/>
          <w:sz w:val="14"/>
          <w:szCs w:val="14"/>
          <w:color w:val="auto"/>
        </w:rPr>
        <w:t>We believe that our market opportunity is large and requires us to continue to invest significantly in sales and marketing efforts to further grow our customer base, both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47"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Key Metrics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monitor the following key metrics to help us evaluate our business, identify trends affecting our business, formulate business plans, and make strategic decisions.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Subscription Customers</w:t>
      </w:r>
    </w:p>
    <w:p>
      <w:pPr>
        <w:spacing w:after="0" w:line="178" w:lineRule="exact"/>
        <w:rPr>
          <w:sz w:val="20"/>
          <w:szCs w:val="20"/>
          <w:color w:val="auto"/>
        </w:rPr>
      </w:pPr>
    </w:p>
    <w:p>
      <w:pPr>
        <w:ind w:right="160" w:firstLine="508"/>
        <w:spacing w:after="0" w:line="261" w:lineRule="auto"/>
        <w:rPr>
          <w:sz w:val="20"/>
          <w:szCs w:val="20"/>
          <w:color w:val="auto"/>
        </w:rPr>
      </w:pPr>
      <w:r>
        <w:rPr>
          <w:rFonts w:ascii="Arial" w:cs="Arial" w:eastAsia="Arial" w:hAnsi="Arial"/>
          <w:sz w:val="14"/>
          <w:szCs w:val="14"/>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number of our subscription customers as of the dates presented:</w:t>
      </w:r>
    </w:p>
    <w:p>
      <w:pPr>
        <w:spacing w:after="0" w:line="76" w:lineRule="exact"/>
        <w:rPr>
          <w:sz w:val="20"/>
          <w:szCs w:val="20"/>
          <w:color w:val="auto"/>
        </w:rPr>
      </w:pPr>
    </w:p>
    <w:p>
      <w:pPr>
        <w:ind w:left="9300"/>
        <w:spacing w:after="0"/>
        <w:rPr>
          <w:sz w:val="20"/>
          <w:szCs w:val="20"/>
          <w:color w:val="auto"/>
        </w:rPr>
      </w:pPr>
      <w:r>
        <w:rPr>
          <w:rFonts w:ascii="Arial" w:cs="Arial" w:eastAsia="Arial" w:hAnsi="Arial"/>
          <w:sz w:val="11"/>
          <w:szCs w:val="11"/>
          <w:b w:val="1"/>
          <w:bCs w:val="1"/>
          <w:color w:val="auto"/>
        </w:rPr>
        <w:t>As of April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r>
      <w:tr>
        <w:trPr>
          <w:trHeight w:val="171"/>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customers</w:t>
            </w: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7"/>
              </w:rPr>
              <w:t>11,420</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6,261</w:t>
            </w:r>
          </w:p>
        </w:tc>
      </w:tr>
      <w:tr>
        <w:trPr>
          <w:trHeight w:val="180"/>
        </w:trPr>
        <w:tc>
          <w:tcPr>
            <w:tcW w:w="9000" w:type="dxa"/>
            <w:vAlign w:val="bottom"/>
            <w:gridSpan w:val="2"/>
          </w:tcPr>
          <w:p>
            <w:pPr>
              <w:ind w:left="20"/>
              <w:spacing w:after="0"/>
              <w:rPr>
                <w:sz w:val="20"/>
                <w:szCs w:val="20"/>
                <w:color w:val="auto"/>
              </w:rPr>
            </w:pPr>
            <w:r>
              <w:rPr>
                <w:rFonts w:ascii="Arial" w:cs="Arial" w:eastAsia="Arial" w:hAnsi="Arial"/>
                <w:sz w:val="14"/>
                <w:szCs w:val="14"/>
                <w:color w:val="auto"/>
              </w:rPr>
              <w:t>Year-over-year growth</w:t>
            </w:r>
          </w:p>
        </w:tc>
        <w:tc>
          <w:tcPr>
            <w:tcW w:w="620" w:type="dxa"/>
            <w:vAlign w:val="bottom"/>
          </w:tcPr>
          <w:p>
            <w:pPr>
              <w:jc w:val="right"/>
              <w:spacing w:after="0"/>
              <w:rPr>
                <w:sz w:val="20"/>
                <w:szCs w:val="20"/>
                <w:color w:val="auto"/>
              </w:rPr>
            </w:pPr>
            <w:r>
              <w:rPr>
                <w:rFonts w:ascii="Arial" w:cs="Arial" w:eastAsia="Arial" w:hAnsi="Arial"/>
                <w:sz w:val="14"/>
                <w:szCs w:val="14"/>
                <w:color w:val="auto"/>
              </w:rPr>
              <w:t>82 %</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105 %</w:t>
            </w:r>
          </w:p>
        </w:tc>
      </w:tr>
    </w:tbl>
    <w:p>
      <w:pPr>
        <w:spacing w:after="0" w:line="159" w:lineRule="exact"/>
        <w:rPr>
          <w:sz w:val="20"/>
          <w:szCs w:val="20"/>
          <w:color w:val="auto"/>
        </w:rPr>
      </w:pPr>
    </w:p>
    <w:p>
      <w:pPr>
        <w:ind w:right="280" w:firstLine="508"/>
        <w:spacing w:after="0" w:line="280" w:lineRule="auto"/>
        <w:rPr>
          <w:sz w:val="20"/>
          <w:szCs w:val="20"/>
          <w:color w:val="auto"/>
        </w:rPr>
      </w:pPr>
      <w:r>
        <w:rPr>
          <w:rFonts w:ascii="Arial" w:cs="Arial" w:eastAsia="Arial" w:hAnsi="Arial"/>
          <w:sz w:val="14"/>
          <w:szCs w:val="14"/>
          <w:color w:val="auto"/>
        </w:rPr>
        <w:t>We added 1,524 net new subscription customers in the three months ended April 30, 2021, including 119 from the acquisition of Humio, for a total of 11,420 subscription customers as of April 30, 2021, representing 82% growth year-over-year.</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Annual Recurring Revenue (“ARR”)</w:t>
      </w:r>
    </w:p>
    <w:p>
      <w:pPr>
        <w:spacing w:after="0" w:line="178" w:lineRule="exact"/>
        <w:rPr>
          <w:sz w:val="20"/>
          <w:szCs w:val="20"/>
          <w:color w:val="auto"/>
        </w:rPr>
      </w:pPr>
    </w:p>
    <w:p>
      <w:pPr>
        <w:ind w:right="40" w:firstLine="508"/>
        <w:spacing w:after="0" w:line="266" w:lineRule="auto"/>
        <w:rPr>
          <w:sz w:val="20"/>
          <w:szCs w:val="20"/>
          <w:color w:val="auto"/>
        </w:rPr>
      </w:pPr>
      <w:r>
        <w:rPr>
          <w:rFonts w:ascii="Arial" w:cs="Arial" w:eastAsia="Arial" w:hAnsi="Arial"/>
          <w:sz w:val="14"/>
          <w:szCs w:val="14"/>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our ARR as of the dates presented: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1"/>
                <w:szCs w:val="11"/>
                <w:b w:val="1"/>
                <w:bCs w:val="1"/>
                <w:color w:val="auto"/>
                <w:w w:val="94"/>
              </w:rPr>
              <w:t>As of April 30,</w:t>
            </w:r>
          </w:p>
        </w:tc>
        <w:tc>
          <w:tcPr>
            <w:tcW w:w="1020" w:type="dxa"/>
            <w:vAlign w:val="bottom"/>
            <w:tcBorders>
              <w:bottom w:val="single" w:sz="8" w:color="auto"/>
            </w:tcBorders>
          </w:tcPr>
          <w:p>
            <w:pPr>
              <w:spacing w:after="0"/>
              <w:rPr>
                <w:sz w:val="13"/>
                <w:szCs w:val="13"/>
                <w:color w:val="auto"/>
              </w:rPr>
            </w:pPr>
          </w:p>
        </w:tc>
      </w:tr>
      <w:tr>
        <w:trPr>
          <w:trHeight w:val="142"/>
        </w:trPr>
        <w:tc>
          <w:tcPr>
            <w:tcW w:w="79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8"/>
              <w:spacing w:after="0"/>
              <w:rPr>
                <w:sz w:val="20"/>
                <w:szCs w:val="20"/>
                <w:color w:val="auto"/>
              </w:rPr>
            </w:pPr>
            <w:r>
              <w:rPr>
                <w:rFonts w:ascii="Arial" w:cs="Arial" w:eastAsia="Arial" w:hAnsi="Arial"/>
                <w:sz w:val="11"/>
                <w:szCs w:val="11"/>
                <w:b w:val="1"/>
                <w:bCs w:val="1"/>
                <w:color w:val="auto"/>
              </w:rPr>
              <w:t>2021</w:t>
            </w:r>
          </w:p>
        </w:tc>
        <w:tc>
          <w:tcPr>
            <w:tcW w:w="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r>
      <w:tr>
        <w:trPr>
          <w:trHeight w:val="167"/>
        </w:trPr>
        <w:tc>
          <w:tcPr>
            <w:tcW w:w="7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jc w:val="center"/>
              <w:ind w:left="558"/>
              <w:spacing w:after="0"/>
              <w:rPr>
                <w:sz w:val="20"/>
                <w:szCs w:val="20"/>
                <w:color w:val="auto"/>
              </w:rPr>
            </w:pPr>
            <w:r>
              <w:rPr>
                <w:rFonts w:ascii="Arial" w:cs="Arial" w:eastAsia="Arial" w:hAnsi="Arial"/>
                <w:sz w:val="11"/>
                <w:szCs w:val="11"/>
                <w:b w:val="1"/>
                <w:bCs w:val="1"/>
                <w:color w:val="auto"/>
                <w:w w:val="90"/>
              </w:rPr>
              <w:t>(dollars in thousands)</w:t>
            </w:r>
          </w:p>
        </w:tc>
        <w:tc>
          <w:tcPr>
            <w:tcW w:w="1020" w:type="dxa"/>
            <w:vAlign w:val="bottom"/>
          </w:tcPr>
          <w:p>
            <w:pPr>
              <w:spacing w:after="0"/>
              <w:rPr>
                <w:sz w:val="14"/>
                <w:szCs w:val="14"/>
                <w:color w:val="auto"/>
              </w:rPr>
            </w:pPr>
          </w:p>
        </w:tc>
      </w:tr>
      <w:tr>
        <w:trPr>
          <w:trHeight w:val="184"/>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Annual recurring revenue</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118"/>
              <w:spacing w:after="0"/>
              <w:rPr>
                <w:sz w:val="20"/>
                <w:szCs w:val="20"/>
                <w:color w:val="auto"/>
              </w:rPr>
            </w:pPr>
            <w:r>
              <w:rPr>
                <w:rFonts w:ascii="Arial" w:cs="Arial" w:eastAsia="Arial" w:hAnsi="Arial"/>
                <w:sz w:val="14"/>
                <w:szCs w:val="14"/>
                <w:color w:val="auto"/>
              </w:rPr>
              <w:t>1,193,889</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686,125</w:t>
            </w: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color w:val="auto"/>
              </w:rPr>
              <w:t>Year-over-year growth</w:t>
            </w: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74 %</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88 %</w:t>
            </w: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ARR grew to $1.2 billion as of April 30, 2021, of which $143.8 million was net new ARR added in the three months ended April 30, 2021, including $3.6 million from the acquisition of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Humio.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449580</wp:posOffset>
            </wp:positionV>
            <wp:extent cx="71875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1" w:name="page32"/>
    <w:bookmarkEnd w:id="31"/>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Dollar-Based Net Retention Rate</w:t>
      </w:r>
    </w:p>
    <w:p>
      <w:pPr>
        <w:spacing w:after="0" w:line="178" w:lineRule="exact"/>
        <w:rPr>
          <w:sz w:val="20"/>
          <w:szCs w:val="20"/>
          <w:color w:val="auto"/>
        </w:rPr>
      </w:pPr>
    </w:p>
    <w:p>
      <w:pPr>
        <w:ind w:firstLine="508"/>
        <w:spacing w:after="0" w:line="283" w:lineRule="auto"/>
        <w:rPr>
          <w:sz w:val="20"/>
          <w:szCs w:val="20"/>
          <w:color w:val="auto"/>
        </w:rPr>
      </w:pPr>
      <w:r>
        <w:rPr>
          <w:rFonts w:ascii="Arial" w:cs="Arial" w:eastAsia="Arial" w:hAnsi="Arial"/>
          <w:sz w:val="13"/>
          <w:szCs w:val="13"/>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34" w:lineRule="exact"/>
        <w:rPr>
          <w:sz w:val="20"/>
          <w:szCs w:val="20"/>
          <w:color w:val="auto"/>
        </w:rPr>
      </w:pPr>
    </w:p>
    <w:p>
      <w:pPr>
        <w:jc w:val="both"/>
        <w:ind w:right="40" w:firstLine="508"/>
        <w:spacing w:after="0" w:line="266" w:lineRule="auto"/>
        <w:rPr>
          <w:sz w:val="20"/>
          <w:szCs w:val="20"/>
          <w:color w:val="auto"/>
        </w:rPr>
      </w:pPr>
      <w:r>
        <w:rPr>
          <w:rFonts w:ascii="Arial" w:cs="Arial" w:eastAsia="Arial" w:hAnsi="Arial"/>
          <w:sz w:val="14"/>
          <w:szCs w:val="14"/>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42" w:lineRule="exact"/>
        <w:rPr>
          <w:sz w:val="20"/>
          <w:szCs w:val="20"/>
          <w:color w:val="auto"/>
        </w:rPr>
      </w:pPr>
    </w:p>
    <w:p>
      <w:pPr>
        <w:ind w:right="240" w:firstLine="508"/>
        <w:spacing w:after="0" w:line="266" w:lineRule="auto"/>
        <w:rPr>
          <w:sz w:val="20"/>
          <w:szCs w:val="20"/>
          <w:color w:val="auto"/>
        </w:rPr>
      </w:pPr>
      <w:r>
        <w:rPr>
          <w:rFonts w:ascii="Arial" w:cs="Arial" w:eastAsia="Arial" w:hAnsi="Arial"/>
          <w:sz w:val="14"/>
          <w:szCs w:val="14"/>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38"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Revenue</w:t>
      </w:r>
    </w:p>
    <w:p>
      <w:pPr>
        <w:spacing w:after="0" w:line="178" w:lineRule="exact"/>
        <w:rPr>
          <w:sz w:val="20"/>
          <w:szCs w:val="20"/>
          <w:color w:val="auto"/>
        </w:rPr>
      </w:pPr>
    </w:p>
    <w:p>
      <w:pPr>
        <w:ind w:right="60" w:firstLine="508"/>
        <w:spacing w:after="0" w:line="283" w:lineRule="auto"/>
        <w:rPr>
          <w:sz w:val="20"/>
          <w:szCs w:val="20"/>
          <w:color w:val="auto"/>
        </w:rPr>
      </w:pPr>
      <w:r>
        <w:rPr>
          <w:rFonts w:ascii="Arial" w:cs="Arial" w:eastAsia="Arial" w:hAnsi="Arial"/>
          <w:sz w:val="13"/>
          <w:szCs w:val="13"/>
          <w:i w:val="1"/>
          <w:iCs w:val="1"/>
          <w:color w:val="auto"/>
        </w:rPr>
        <w:t xml:space="preserve">Subscription Revenue. </w:t>
      </w:r>
      <w:r>
        <w:rPr>
          <w:rFonts w:ascii="Arial" w:cs="Arial" w:eastAsia="Arial" w:hAnsi="Arial"/>
          <w:sz w:val="13"/>
          <w:szCs w:val="13"/>
          <w:color w:val="auto"/>
        </w:rPr>
        <w:t>Subscription revenue primarily consists of subscription fees for our Falcon platform and additional cloud modules that are supported by our cloud-based platform.</w:t>
      </w:r>
      <w:r>
        <w:rPr>
          <w:rFonts w:ascii="Arial" w:cs="Arial" w:eastAsia="Arial" w:hAnsi="Arial"/>
          <w:sz w:val="13"/>
          <w:szCs w:val="13"/>
          <w:i w:val="1"/>
          <w:iCs w:val="1"/>
          <w:color w:val="auto"/>
        </w:rPr>
        <w:t xml:space="preserve"> </w:t>
      </w:r>
      <w:r>
        <w:rPr>
          <w:rFonts w:ascii="Arial" w:cs="Arial" w:eastAsia="Arial" w:hAnsi="Arial"/>
          <w:sz w:val="13"/>
          <w:szCs w:val="13"/>
          <w:color w:val="auto"/>
        </w:rPr>
        <w:t>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34" w:lineRule="exact"/>
        <w:rPr>
          <w:sz w:val="20"/>
          <w:szCs w:val="20"/>
          <w:color w:val="auto"/>
        </w:rPr>
      </w:pPr>
    </w:p>
    <w:p>
      <w:pPr>
        <w:ind w:right="80" w:firstLine="508"/>
        <w:spacing w:after="0" w:line="259" w:lineRule="auto"/>
        <w:rPr>
          <w:sz w:val="20"/>
          <w:szCs w:val="20"/>
          <w:color w:val="auto"/>
        </w:rPr>
      </w:pPr>
      <w:r>
        <w:rPr>
          <w:rFonts w:ascii="Arial" w:cs="Arial" w:eastAsia="Arial" w:hAnsi="Arial"/>
          <w:sz w:val="14"/>
          <w:szCs w:val="14"/>
          <w:i w:val="1"/>
          <w:iCs w:val="1"/>
          <w:color w:val="auto"/>
        </w:rPr>
        <w:t xml:space="preserve">Professional Services Revenue. </w:t>
      </w:r>
      <w:r>
        <w:rPr>
          <w:rFonts w:ascii="Arial" w:cs="Arial" w:eastAsia="Arial" w:hAnsi="Arial"/>
          <w:sz w:val="14"/>
          <w:szCs w:val="14"/>
          <w:color w:val="auto"/>
        </w:rPr>
        <w:t>Professional services revenue includes incident response and proactive services, forensic and malware analysis, and attribution analysis. Professional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Cost of Revenue</w:t>
      </w:r>
    </w:p>
    <w:p>
      <w:pPr>
        <w:spacing w:after="0" w:line="178" w:lineRule="exact"/>
        <w:rPr>
          <w:sz w:val="20"/>
          <w:szCs w:val="20"/>
          <w:color w:val="auto"/>
        </w:rPr>
      </w:pPr>
    </w:p>
    <w:p>
      <w:pPr>
        <w:ind w:right="200" w:firstLine="508"/>
        <w:spacing w:after="0" w:line="295" w:lineRule="auto"/>
        <w:rPr>
          <w:sz w:val="20"/>
          <w:szCs w:val="20"/>
          <w:color w:val="auto"/>
        </w:rPr>
      </w:pPr>
      <w:r>
        <w:rPr>
          <w:rFonts w:ascii="Arial" w:cs="Arial" w:eastAsia="Arial" w:hAnsi="Arial"/>
          <w:sz w:val="13"/>
          <w:szCs w:val="13"/>
          <w:i w:val="1"/>
          <w:iCs w:val="1"/>
          <w:color w:val="auto"/>
        </w:rPr>
        <w:t xml:space="preserve">Subscription Cost of Revenue. </w:t>
      </w:r>
      <w:r>
        <w:rPr>
          <w:rFonts w:ascii="Arial" w:cs="Arial" w:eastAsia="Arial" w:hAnsi="Arial"/>
          <w:sz w:val="13"/>
          <w:szCs w:val="13"/>
          <w:color w:val="auto"/>
        </w:rPr>
        <w:t>Subscription cost of revenue consists primarily of costs related to hosting our cloud-based Falcon platform in data centers, amortization of our capitalized</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26" w:lineRule="exact"/>
        <w:rPr>
          <w:sz w:val="20"/>
          <w:szCs w:val="20"/>
          <w:color w:val="auto"/>
        </w:rPr>
      </w:pPr>
    </w:p>
    <w:p>
      <w:pPr>
        <w:ind w:right="40" w:firstLine="508"/>
        <w:spacing w:after="0" w:line="261" w:lineRule="auto"/>
        <w:rPr>
          <w:sz w:val="20"/>
          <w:szCs w:val="20"/>
          <w:color w:val="auto"/>
        </w:rPr>
      </w:pPr>
      <w:r>
        <w:rPr>
          <w:rFonts w:ascii="Arial" w:cs="Arial" w:eastAsia="Arial" w:hAnsi="Arial"/>
          <w:sz w:val="14"/>
          <w:szCs w:val="14"/>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75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2" w:name="page33"/>
    <w:bookmarkEnd w:id="32"/>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508"/>
        <w:spacing w:after="0" w:line="280" w:lineRule="auto"/>
        <w:rPr>
          <w:sz w:val="20"/>
          <w:szCs w:val="20"/>
          <w:color w:val="auto"/>
        </w:rPr>
      </w:pPr>
      <w:r>
        <w:rPr>
          <w:rFonts w:ascii="Arial" w:cs="Arial" w:eastAsia="Arial" w:hAnsi="Arial"/>
          <w:sz w:val="14"/>
          <w:szCs w:val="14"/>
          <w:i w:val="1"/>
          <w:iCs w:val="1"/>
          <w:color w:val="auto"/>
        </w:rPr>
        <w:t xml:space="preserve">Professional Services Cost of Revenue. </w:t>
      </w:r>
      <w:r>
        <w:rPr>
          <w:rFonts w:ascii="Arial" w:cs="Arial" w:eastAsia="Arial" w:hAnsi="Arial"/>
          <w:sz w:val="14"/>
          <w:szCs w:val="14"/>
          <w:color w:val="auto"/>
        </w:rPr>
        <w:t>Professional services cost of revenue consists primarily of employee-related costs, such as salaries and bonuses, stock-based compensation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property and equipment depreciation, and an allocated portion of facilities and administrative costs.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Gross Profit and Gross Margin</w:t>
      </w:r>
    </w:p>
    <w:p>
      <w:pPr>
        <w:spacing w:after="0" w:line="178" w:lineRule="exact"/>
        <w:rPr>
          <w:sz w:val="20"/>
          <w:szCs w:val="20"/>
          <w:color w:val="auto"/>
        </w:rPr>
      </w:pPr>
    </w:p>
    <w:p>
      <w:pPr>
        <w:ind w:right="60" w:firstLine="508"/>
        <w:spacing w:after="0" w:line="308" w:lineRule="auto"/>
        <w:rPr>
          <w:sz w:val="20"/>
          <w:szCs w:val="20"/>
          <w:color w:val="auto"/>
        </w:rPr>
      </w:pPr>
      <w:r>
        <w:rPr>
          <w:rFonts w:ascii="Arial" w:cs="Arial" w:eastAsia="Arial" w:hAnsi="Arial"/>
          <w:sz w:val="12"/>
          <w:szCs w:val="12"/>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8" w:lineRule="exact"/>
        <w:rPr>
          <w:sz w:val="20"/>
          <w:szCs w:val="20"/>
          <w:color w:val="auto"/>
        </w:rPr>
      </w:pPr>
    </w:p>
    <w:p>
      <w:pPr>
        <w:jc w:val="both"/>
        <w:ind w:right="140" w:firstLine="508"/>
        <w:spacing w:after="0" w:line="266" w:lineRule="auto"/>
        <w:rPr>
          <w:sz w:val="20"/>
          <w:szCs w:val="20"/>
          <w:color w:val="auto"/>
        </w:rPr>
      </w:pPr>
      <w:r>
        <w:rPr>
          <w:rFonts w:ascii="Arial" w:cs="Arial" w:eastAsia="Arial" w:hAnsi="Arial"/>
          <w:sz w:val="14"/>
          <w:szCs w:val="14"/>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42" w:lineRule="exact"/>
        <w:rPr>
          <w:sz w:val="20"/>
          <w:szCs w:val="20"/>
          <w:color w:val="auto"/>
        </w:rPr>
      </w:pPr>
    </w:p>
    <w:p>
      <w:pPr>
        <w:ind w:firstLine="508"/>
        <w:spacing w:after="0" w:line="259"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primarily consist of employee-related expenses such as salaries, commissions, and bonuses. Sales and marketing expenses also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amortize any such expenses paid for the renewal of a subscription to sales and marketing expense over the term of the renewal.</w:t>
      </w:r>
    </w:p>
    <w:p>
      <w:pPr>
        <w:spacing w:after="0" w:line="147" w:lineRule="exact"/>
        <w:rPr>
          <w:sz w:val="20"/>
          <w:szCs w:val="20"/>
          <w:color w:val="auto"/>
        </w:rPr>
      </w:pPr>
    </w:p>
    <w:p>
      <w:pPr>
        <w:ind w:firstLine="508"/>
        <w:spacing w:after="0" w:line="295" w:lineRule="auto"/>
        <w:rPr>
          <w:sz w:val="20"/>
          <w:szCs w:val="20"/>
          <w:color w:val="auto"/>
        </w:rPr>
      </w:pPr>
      <w:r>
        <w:rPr>
          <w:rFonts w:ascii="Arial" w:cs="Arial" w:eastAsia="Arial" w:hAnsi="Arial"/>
          <w:sz w:val="13"/>
          <w:szCs w:val="13"/>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period-to-period depending on the timing of these expenses.</w:t>
      </w:r>
    </w:p>
    <w:p>
      <w:pPr>
        <w:spacing w:after="0" w:line="126" w:lineRule="exact"/>
        <w:rPr>
          <w:sz w:val="20"/>
          <w:szCs w:val="20"/>
          <w:color w:val="auto"/>
        </w:rPr>
      </w:pPr>
    </w:p>
    <w:p>
      <w:pPr>
        <w:ind w:firstLine="508"/>
        <w:spacing w:after="0" w:line="295"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expenses primarily consist of employee-related expenses such as salaries and bonuses; stock-based compensation, consulting</w:t>
      </w:r>
      <w:r>
        <w:rPr>
          <w:rFonts w:ascii="Arial" w:cs="Arial" w:eastAsia="Arial" w:hAnsi="Arial"/>
          <w:sz w:val="13"/>
          <w:szCs w:val="13"/>
          <w:i w:val="1"/>
          <w:iCs w:val="1"/>
          <w:color w:val="auto"/>
        </w:rPr>
        <w:t xml:space="preserve"> </w:t>
      </w:r>
      <w:r>
        <w:rPr>
          <w:rFonts w:ascii="Arial" w:cs="Arial" w:eastAsia="Arial" w:hAnsi="Arial"/>
          <w:sz w:val="13"/>
          <w:szCs w:val="13"/>
          <w:color w:val="auto"/>
        </w:rPr>
        <w:t>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26" w:lineRule="exact"/>
        <w:rPr>
          <w:sz w:val="20"/>
          <w:szCs w:val="20"/>
          <w:color w:val="auto"/>
        </w:rPr>
      </w:pPr>
    </w:p>
    <w:p>
      <w:pPr>
        <w:ind w:right="140" w:firstLine="508"/>
        <w:spacing w:after="0" w:line="266" w:lineRule="auto"/>
        <w:rPr>
          <w:sz w:val="20"/>
          <w:szCs w:val="20"/>
          <w:color w:val="auto"/>
        </w:rPr>
      </w:pPr>
      <w:r>
        <w:rPr>
          <w:rFonts w:ascii="Arial" w:cs="Arial" w:eastAsia="Arial" w:hAnsi="Arial"/>
          <w:sz w:val="14"/>
          <w:szCs w:val="14"/>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42" w:lineRule="exact"/>
        <w:rPr>
          <w:sz w:val="20"/>
          <w:szCs w:val="20"/>
          <w:color w:val="auto"/>
        </w:rPr>
      </w:pPr>
    </w:p>
    <w:p>
      <w:pPr>
        <w:ind w:firstLine="508"/>
        <w:spacing w:after="0" w:line="266" w:lineRule="auto"/>
        <w:rPr>
          <w:sz w:val="20"/>
          <w:szCs w:val="20"/>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General and administrative expenses consist of employee-related expenses such as salaries and bonuses; stock-based compensation; and related expenses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finance, human resources, and legal organizations. In addition, general and administrative expenses include outside legal, accounting, and other professional fees; and an allocated portion of facilities and administrative expenses.</w:t>
      </w:r>
    </w:p>
    <w:p>
      <w:pPr>
        <w:spacing w:after="0" w:line="142" w:lineRule="exact"/>
        <w:rPr>
          <w:sz w:val="20"/>
          <w:szCs w:val="20"/>
          <w:color w:val="auto"/>
        </w:rPr>
      </w:pPr>
    </w:p>
    <w:p>
      <w:pPr>
        <w:ind w:right="60" w:firstLine="508"/>
        <w:spacing w:after="0" w:line="266" w:lineRule="auto"/>
        <w:rPr>
          <w:sz w:val="20"/>
          <w:szCs w:val="20"/>
          <w:color w:val="auto"/>
        </w:rPr>
      </w:pPr>
      <w:r>
        <w:rPr>
          <w:rFonts w:ascii="Arial" w:cs="Arial" w:eastAsia="Arial" w:hAnsi="Arial"/>
          <w:sz w:val="14"/>
          <w:szCs w:val="14"/>
          <w:color w:val="auto"/>
        </w:rPr>
        <w:t>As a public company, 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298" w:right="379" w:bottom="1440" w:gutter="0" w:footer="0" w:header="0"/>
        </w:sectPr>
      </w:pPr>
    </w:p>
    <w:bookmarkStart w:id="33" w:name="page34"/>
    <w:bookmarkEnd w:id="33"/>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508"/>
        <w:spacing w:after="0" w:line="320" w:lineRule="auto"/>
        <w:rPr>
          <w:sz w:val="20"/>
          <w:szCs w:val="20"/>
          <w:color w:val="auto"/>
        </w:rPr>
      </w:pPr>
      <w:r>
        <w:rPr>
          <w:rFonts w:ascii="Arial" w:cs="Arial" w:eastAsia="Arial" w:hAnsi="Arial"/>
          <w:sz w:val="13"/>
          <w:szCs w:val="13"/>
          <w:i w:val="1"/>
          <w:iCs w:val="1"/>
          <w:color w:val="auto"/>
        </w:rPr>
        <w:t>Interest Expense</w:t>
      </w:r>
      <w:r>
        <w:rPr>
          <w:rFonts w:ascii="Arial" w:cs="Arial" w:eastAsia="Arial" w:hAnsi="Arial"/>
          <w:sz w:val="13"/>
          <w:szCs w:val="13"/>
          <w:color w:val="auto"/>
        </w:rPr>
        <w:t>: Interest Expense consists primarily of interest expense from amortization of debt issuance costs, contractual interest expense for our Senior Notes issued in January 2021,</w:t>
      </w:r>
      <w:r>
        <w:rPr>
          <w:rFonts w:ascii="Arial" w:cs="Arial" w:eastAsia="Arial" w:hAnsi="Arial"/>
          <w:sz w:val="13"/>
          <w:szCs w:val="13"/>
          <w:i w:val="1"/>
          <w:iCs w:val="1"/>
          <w:color w:val="auto"/>
        </w:rPr>
        <w:t xml:space="preserve"> </w:t>
      </w:r>
      <w:r>
        <w:rPr>
          <w:rFonts w:ascii="Arial" w:cs="Arial" w:eastAsia="Arial" w:hAnsi="Arial"/>
          <w:sz w:val="13"/>
          <w:szCs w:val="13"/>
          <w:color w:val="auto"/>
        </w:rPr>
        <w:t>and interest expense on our secured revolving credit facility. We expect interest expense to increase in fiscal 2022 as a result of the issuance of our Senior Notes.</w:t>
      </w:r>
    </w:p>
    <w:p>
      <w:pPr>
        <w:spacing w:after="0" w:line="109" w:lineRule="exact"/>
        <w:rPr>
          <w:sz w:val="20"/>
          <w:szCs w:val="20"/>
          <w:color w:val="auto"/>
        </w:rPr>
      </w:pPr>
    </w:p>
    <w:p>
      <w:pPr>
        <w:ind w:right="80" w:firstLine="508"/>
        <w:spacing w:after="0" w:line="280" w:lineRule="auto"/>
        <w:rPr>
          <w:sz w:val="20"/>
          <w:szCs w:val="20"/>
          <w:color w:val="auto"/>
        </w:rPr>
      </w:pPr>
      <w:r>
        <w:rPr>
          <w:rFonts w:ascii="Arial" w:cs="Arial" w:eastAsia="Arial" w:hAnsi="Arial"/>
          <w:sz w:val="14"/>
          <w:szCs w:val="14"/>
          <w:i w:val="1"/>
          <w:iCs w:val="1"/>
          <w:color w:val="auto"/>
        </w:rPr>
        <w:t xml:space="preserve">Other Income (Expense), Net. </w:t>
      </w:r>
      <w:r>
        <w:rPr>
          <w:rFonts w:ascii="Arial" w:cs="Arial" w:eastAsia="Arial" w:hAnsi="Arial"/>
          <w:sz w:val="14"/>
          <w:szCs w:val="14"/>
          <w:color w:val="auto"/>
        </w:rPr>
        <w:t>Other income (expense), net, consists primarily of income earned on our cash equivalents and marketable securities, if any; gain (loss) on strategic investments</w:t>
      </w:r>
      <w:r>
        <w:rPr>
          <w:rFonts w:ascii="Arial" w:cs="Arial" w:eastAsia="Arial" w:hAnsi="Arial"/>
          <w:sz w:val="14"/>
          <w:szCs w:val="14"/>
          <w:i w:val="1"/>
          <w:iCs w:val="1"/>
          <w:color w:val="auto"/>
        </w:rPr>
        <w:t xml:space="preserve"> </w:t>
      </w:r>
      <w:r>
        <w:rPr>
          <w:rFonts w:ascii="Arial" w:cs="Arial" w:eastAsia="Arial" w:hAnsi="Arial"/>
          <w:sz w:val="14"/>
          <w:szCs w:val="14"/>
          <w:color w:val="auto"/>
        </w:rPr>
        <w:t>and foreign currency transaction gains and losses.</w:t>
      </w:r>
    </w:p>
    <w:p>
      <w:pPr>
        <w:spacing w:after="0" w:line="132" w:lineRule="exact"/>
        <w:rPr>
          <w:sz w:val="20"/>
          <w:szCs w:val="20"/>
          <w:color w:val="auto"/>
        </w:rPr>
      </w:pPr>
    </w:p>
    <w:p>
      <w:pPr>
        <w:ind w:firstLine="508"/>
        <w:spacing w:after="0" w:line="266" w:lineRule="auto"/>
        <w:rPr>
          <w:sz w:val="20"/>
          <w:szCs w:val="20"/>
          <w:color w:val="auto"/>
        </w:rPr>
      </w:pPr>
      <w:r>
        <w:rPr>
          <w:rFonts w:ascii="Arial" w:cs="Arial" w:eastAsia="Arial" w:hAnsi="Arial"/>
          <w:sz w:val="14"/>
          <w:szCs w:val="14"/>
          <w:i w:val="1"/>
          <w:iCs w:val="1"/>
          <w:color w:val="auto"/>
        </w:rPr>
        <w:t xml:space="preserve">Provision for Income Taxes. </w:t>
      </w:r>
      <w:r>
        <w:rPr>
          <w:rFonts w:ascii="Arial" w:cs="Arial" w:eastAsia="Arial" w:hAnsi="Arial"/>
          <w:sz w:val="14"/>
          <w:szCs w:val="14"/>
          <w:color w:val="auto"/>
        </w:rPr>
        <w:t>Provision for income taxes consists of state income taxes in the United States, foreign income taxes including taxes related to the intercompany sale of</w:t>
      </w:r>
      <w:r>
        <w:rPr>
          <w:rFonts w:ascii="Arial" w:cs="Arial" w:eastAsia="Arial" w:hAnsi="Arial"/>
          <w:sz w:val="14"/>
          <w:szCs w:val="14"/>
          <w:i w:val="1"/>
          <w:iCs w:val="1"/>
          <w:color w:val="auto"/>
        </w:rPr>
        <w:t xml:space="preserve"> </w:t>
      </w:r>
      <w:r>
        <w:rPr>
          <w:rFonts w:ascii="Arial" w:cs="Arial" w:eastAsia="Arial" w:hAnsi="Arial"/>
          <w:sz w:val="14"/>
          <w:szCs w:val="14"/>
          <w:color w:val="auto"/>
        </w:rPr>
        <w:t>intellectual property from Humio and withholding taxes related to customer payments in certain foreign jurisdictions in which we conduct business. We maintain a full valuation allowance on our U.S. federal and state and UK deferred tax assets that we have determined are not realizable on a more likely than not basis.</w:t>
      </w:r>
    </w:p>
    <w:p>
      <w:pPr>
        <w:spacing w:after="0" w:line="142" w:lineRule="exact"/>
        <w:rPr>
          <w:sz w:val="20"/>
          <w:szCs w:val="20"/>
          <w:color w:val="auto"/>
        </w:rPr>
      </w:pPr>
    </w:p>
    <w:p>
      <w:pPr>
        <w:ind w:right="60" w:firstLine="508"/>
        <w:spacing w:after="0" w:line="280" w:lineRule="auto"/>
        <w:rPr>
          <w:sz w:val="20"/>
          <w:szCs w:val="20"/>
          <w:color w:val="auto"/>
        </w:rPr>
      </w:pPr>
      <w:r>
        <w:rPr>
          <w:rFonts w:ascii="Arial" w:cs="Arial" w:eastAsia="Arial" w:hAnsi="Arial"/>
          <w:sz w:val="14"/>
          <w:szCs w:val="14"/>
          <w:i w:val="1"/>
          <w:iCs w:val="1"/>
          <w:color w:val="auto"/>
        </w:rPr>
        <w:t xml:space="preserve">Net Income Attributable to Non-controlling Interest. </w:t>
      </w:r>
      <w:r>
        <w:rPr>
          <w:rFonts w:ascii="Arial" w:cs="Arial" w:eastAsia="Arial" w:hAnsi="Arial"/>
          <w:sz w:val="14"/>
          <w:szCs w:val="14"/>
          <w:color w:val="auto"/>
        </w:rPr>
        <w:t>Net income attributable to non-controlling interest consists of Falcon Fund’s non-controlling interest share of mark-to-market gains from</w:t>
      </w:r>
      <w:r>
        <w:rPr>
          <w:rFonts w:ascii="Arial" w:cs="Arial" w:eastAsia="Arial" w:hAnsi="Arial"/>
          <w:sz w:val="14"/>
          <w:szCs w:val="14"/>
          <w:i w:val="1"/>
          <w:iCs w:val="1"/>
          <w:color w:val="auto"/>
        </w:rPr>
        <w:t xml:space="preserve"> </w:t>
      </w:r>
      <w:r>
        <w:rPr>
          <w:rFonts w:ascii="Arial" w:cs="Arial" w:eastAsia="Arial" w:hAnsi="Arial"/>
          <w:sz w:val="14"/>
          <w:szCs w:val="14"/>
          <w:color w:val="auto"/>
        </w:rPr>
        <w:t>our strategic investments.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Results of Operations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tables set forth our condensed consolidated statements of operations for each period presented: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3"/>
                <w:szCs w:val="13"/>
                <w:b w:val="1"/>
                <w:bCs w:val="1"/>
                <w:color w:val="auto"/>
                <w:w w:val="92"/>
              </w:rPr>
              <w:t>Three Months Ended April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w:t>
            </w:r>
          </w:p>
        </w:tc>
        <w:tc>
          <w:tcPr>
            <w:tcW w:w="1080" w:type="dxa"/>
            <w:vAlign w:val="bottom"/>
          </w:tcPr>
          <w:p>
            <w:pPr>
              <w:jc w:val="right"/>
              <w:ind w:right="257"/>
              <w:spacing w:after="0"/>
              <w:rPr>
                <w:sz w:val="20"/>
                <w:szCs w:val="20"/>
                <w:color w:val="auto"/>
              </w:rPr>
            </w:pPr>
            <w:r>
              <w:rPr>
                <w:rFonts w:ascii="Arial" w:cs="Arial" w:eastAsia="Arial" w:hAnsi="Arial"/>
                <w:sz w:val="13"/>
                <w:szCs w:val="13"/>
                <w:b w:val="1"/>
                <w:bCs w:val="1"/>
                <w:color w:val="auto"/>
              </w:rPr>
              <w:t>Change</w:t>
            </w:r>
          </w:p>
        </w:tc>
      </w:tr>
      <w:tr>
        <w:trPr>
          <w:trHeight w:val="181"/>
        </w:trPr>
        <w:tc>
          <w:tcPr>
            <w:tcW w:w="6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w:t>
            </w:r>
          </w:p>
        </w:tc>
      </w:tr>
      <w:tr>
        <w:trPr>
          <w:trHeight w:val="192"/>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1"/>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7"/>
        </w:trPr>
        <w:tc>
          <w:tcPr>
            <w:tcW w:w="6960" w:type="dxa"/>
            <w:vAlign w:val="bottom"/>
          </w:tcPr>
          <w:p>
            <w:pPr>
              <w:ind w:left="120"/>
              <w:spacing w:after="0"/>
              <w:rPr>
                <w:sz w:val="20"/>
                <w:szCs w:val="20"/>
                <w:color w:val="auto"/>
              </w:rPr>
            </w:pPr>
            <w:r>
              <w:rPr>
                <w:rFonts w:ascii="Arial" w:cs="Arial" w:eastAsia="Arial" w:hAnsi="Arial"/>
                <w:sz w:val="13"/>
                <w:szCs w:val="13"/>
                <w:color w:val="auto"/>
              </w:rPr>
              <w:t>Subscription</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281,228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162,222</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119,006</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73 %</w:t>
            </w:r>
          </w:p>
        </w:tc>
      </w:tr>
      <w:tr>
        <w:trPr>
          <w:trHeight w:val="171"/>
        </w:trPr>
        <w:tc>
          <w:tcPr>
            <w:tcW w:w="6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Professional services</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21,615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15,856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36 %</w:t>
            </w:r>
          </w:p>
        </w:tc>
      </w:tr>
      <w:tr>
        <w:trPr>
          <w:trHeight w:val="158"/>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revenue</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302,843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178,078</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124,765</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70 %</w:t>
            </w:r>
          </w:p>
        </w:tc>
      </w:tr>
      <w:tr>
        <w:trPr>
          <w:trHeight w:val="151"/>
        </w:trPr>
        <w:tc>
          <w:tcPr>
            <w:tcW w:w="69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revenue</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9"/>
        </w:trPr>
        <w:tc>
          <w:tcPr>
            <w:tcW w:w="6960" w:type="dxa"/>
            <w:vAlign w:val="bottom"/>
          </w:tcPr>
          <w:p>
            <w:pPr>
              <w:ind w:left="120"/>
              <w:spacing w:after="0" w:line="169" w:lineRule="exact"/>
              <w:rPr>
                <w:sz w:val="20"/>
                <w:szCs w:val="20"/>
                <w:color w:val="auto"/>
              </w:rPr>
            </w:pPr>
            <w:r>
              <w:rPr>
                <w:rFonts w:ascii="Arial" w:cs="Arial" w:eastAsia="Arial" w:hAnsi="Arial"/>
                <w:sz w:val="13"/>
                <w:szCs w:val="13"/>
                <w:color w:val="auto"/>
              </w:rPr>
              <w:t xml:space="preserve">Subscription </w:t>
            </w:r>
            <w:r>
              <w:rPr>
                <w:rFonts w:ascii="Arial" w:cs="Arial" w:eastAsia="Arial" w:hAnsi="Arial"/>
                <w:sz w:val="16"/>
                <w:szCs w:val="16"/>
                <w:color w:val="auto"/>
                <w:vertAlign w:val="superscript"/>
              </w:rPr>
              <w:t>(1) (2)</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64,903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37,244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27,659</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74 %</w:t>
            </w:r>
          </w:p>
        </w:tc>
      </w:tr>
      <w:tr>
        <w:trPr>
          <w:trHeight w:val="169"/>
        </w:trPr>
        <w:tc>
          <w:tcPr>
            <w:tcW w:w="6960" w:type="dxa"/>
            <w:vAlign w:val="bottom"/>
            <w:shd w:val="clear" w:color="auto" w:fill="CCEEFF"/>
          </w:tcPr>
          <w:p>
            <w:pPr>
              <w:ind w:left="120"/>
              <w:spacing w:after="0" w:line="169" w:lineRule="exact"/>
              <w:rPr>
                <w:sz w:val="20"/>
                <w:szCs w:val="20"/>
                <w:color w:val="auto"/>
              </w:rPr>
            </w:pPr>
            <w:r>
              <w:rPr>
                <w:rFonts w:ascii="Arial" w:cs="Arial" w:eastAsia="Arial" w:hAnsi="Arial"/>
                <w:sz w:val="13"/>
                <w:szCs w:val="13"/>
                <w:color w:val="auto"/>
              </w:rPr>
              <w:t xml:space="preserve">Professional services </w:t>
            </w:r>
            <w:r>
              <w:rPr>
                <w:rFonts w:ascii="Arial" w:cs="Arial" w:eastAsia="Arial" w:hAnsi="Arial"/>
                <w:sz w:val="16"/>
                <w:szCs w:val="16"/>
                <w:color w:val="auto"/>
                <w:vertAlign w:val="superscript"/>
              </w:rPr>
              <w:t>(1)</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13,602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41 %</w:t>
            </w:r>
          </w:p>
        </w:tc>
      </w:tr>
      <w:tr>
        <w:trPr>
          <w:trHeight w:val="158"/>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cost of revenue</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78,505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46,895</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31,610</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67 %</w:t>
            </w:r>
          </w:p>
        </w:tc>
      </w:tr>
      <w:tr>
        <w:trPr>
          <w:trHeight w:val="162"/>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131,183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93,155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r>
      <w:tr>
        <w:trPr>
          <w:trHeight w:val="167"/>
        </w:trPr>
        <w:tc>
          <w:tcPr>
            <w:tcW w:w="696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6960" w:type="dxa"/>
            <w:vAlign w:val="bottom"/>
            <w:shd w:val="clear" w:color="auto" w:fill="CCEEFF"/>
          </w:tcPr>
          <w:p>
            <w:pPr>
              <w:ind w:left="120"/>
              <w:spacing w:after="0" w:line="171" w:lineRule="exact"/>
              <w:rPr>
                <w:sz w:val="20"/>
                <w:szCs w:val="20"/>
                <w:color w:val="auto"/>
              </w:rPr>
            </w:pPr>
            <w:r>
              <w:rPr>
                <w:rFonts w:ascii="Arial" w:cs="Arial" w:eastAsia="Arial" w:hAnsi="Arial"/>
                <w:sz w:val="13"/>
                <w:szCs w:val="13"/>
                <w:color w:val="auto"/>
              </w:rPr>
              <w:t xml:space="preserve">Sales and marketing </w:t>
            </w:r>
            <w:r>
              <w:rPr>
                <w:rFonts w:ascii="Arial" w:cs="Arial" w:eastAsia="Arial" w:hAnsi="Arial"/>
                <w:sz w:val="16"/>
                <w:szCs w:val="16"/>
                <w:color w:val="auto"/>
                <w:vertAlign w:val="superscript"/>
              </w:rPr>
              <w:t>(1) (2)</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88,138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46,993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r>
      <w:tr>
        <w:trPr>
          <w:trHeight w:val="169"/>
        </w:trPr>
        <w:tc>
          <w:tcPr>
            <w:tcW w:w="6960" w:type="dxa"/>
            <w:vAlign w:val="bottom"/>
          </w:tcPr>
          <w:p>
            <w:pPr>
              <w:ind w:left="120"/>
              <w:spacing w:after="0" w:line="169" w:lineRule="exact"/>
              <w:rPr>
                <w:sz w:val="20"/>
                <w:szCs w:val="20"/>
                <w:color w:val="auto"/>
              </w:rPr>
            </w:pPr>
            <w:r>
              <w:rPr>
                <w:rFonts w:ascii="Arial" w:cs="Arial" w:eastAsia="Arial" w:hAnsi="Arial"/>
                <w:sz w:val="13"/>
                <w:szCs w:val="13"/>
                <w:color w:val="auto"/>
              </w:rPr>
              <w:t xml:space="preserve">Research and development </w:t>
            </w:r>
            <w:r>
              <w:rPr>
                <w:rFonts w:ascii="Arial" w:cs="Arial" w:eastAsia="Arial" w:hAnsi="Arial"/>
                <w:sz w:val="16"/>
                <w:szCs w:val="16"/>
                <w:color w:val="auto"/>
                <w:vertAlign w:val="superscript"/>
              </w:rPr>
              <w:t>(1) (2)</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78,180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40,578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37,602</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93 %</w:t>
            </w:r>
          </w:p>
        </w:tc>
      </w:tr>
      <w:tr>
        <w:trPr>
          <w:trHeight w:val="169"/>
        </w:trPr>
        <w:tc>
          <w:tcPr>
            <w:tcW w:w="6960" w:type="dxa"/>
            <w:vAlign w:val="bottom"/>
            <w:shd w:val="clear" w:color="auto" w:fill="CCEEFF"/>
          </w:tcPr>
          <w:p>
            <w:pPr>
              <w:ind w:left="120"/>
              <w:spacing w:after="0" w:line="169" w:lineRule="exact"/>
              <w:rPr>
                <w:sz w:val="20"/>
                <w:szCs w:val="20"/>
                <w:color w:val="auto"/>
              </w:rPr>
            </w:pPr>
            <w:r>
              <w:rPr>
                <w:rFonts w:ascii="Arial" w:cs="Arial" w:eastAsia="Arial" w:hAnsi="Arial"/>
                <w:sz w:val="13"/>
                <w:szCs w:val="13"/>
                <w:color w:val="auto"/>
              </w:rPr>
              <w:t xml:space="preserve">General and administrative </w:t>
            </w:r>
            <w:r>
              <w:rPr>
                <w:rFonts w:ascii="Arial" w:cs="Arial" w:eastAsia="Arial" w:hAnsi="Arial"/>
                <w:sz w:val="16"/>
                <w:szCs w:val="16"/>
                <w:color w:val="auto"/>
                <w:vertAlign w:val="superscript"/>
              </w:rPr>
              <w:t>(1) (3)</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42,374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25,043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69 %</w:t>
            </w:r>
          </w:p>
        </w:tc>
      </w:tr>
      <w:tr>
        <w:trPr>
          <w:trHeight w:val="158"/>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255,685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153,759</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101,926</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66 %</w:t>
            </w:r>
          </w:p>
        </w:tc>
      </w:tr>
      <w:tr>
        <w:trPr>
          <w:trHeight w:val="162"/>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operations</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r>
      <w:tr>
        <w:trPr>
          <w:trHeight w:val="169"/>
        </w:trPr>
        <w:tc>
          <w:tcPr>
            <w:tcW w:w="6960" w:type="dxa"/>
            <w:vAlign w:val="bottom"/>
          </w:tcPr>
          <w:p>
            <w:pPr>
              <w:ind w:left="120"/>
              <w:spacing w:after="0" w:line="169"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16"/>
                <w:szCs w:val="16"/>
                <w:color w:val="auto"/>
                <w:vertAlign w:val="superscript"/>
              </w:rPr>
              <w:t>(4)</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(6,087)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4,257 %</w:t>
            </w:r>
          </w:p>
        </w:tc>
      </w:tr>
      <w:tr>
        <w:trPr>
          <w:trHeight w:val="169"/>
        </w:trPr>
        <w:tc>
          <w:tcPr>
            <w:tcW w:w="6960" w:type="dxa"/>
            <w:vAlign w:val="bottom"/>
            <w:shd w:val="clear" w:color="auto" w:fill="CCEEFF"/>
          </w:tcPr>
          <w:p>
            <w:pPr>
              <w:ind w:left="120"/>
              <w:spacing w:after="0" w:line="169" w:lineRule="exact"/>
              <w:rPr>
                <w:sz w:val="20"/>
                <w:szCs w:val="20"/>
                <w:color w:val="auto"/>
              </w:rPr>
            </w:pPr>
            <w:r>
              <w:rPr>
                <w:rFonts w:ascii="Arial" w:cs="Arial" w:eastAsia="Arial" w:hAnsi="Arial"/>
                <w:sz w:val="13"/>
                <w:szCs w:val="13"/>
                <w:color w:val="auto"/>
              </w:rPr>
              <w:t>Other income, net</w:t>
            </w:r>
            <w:r>
              <w:rPr>
                <w:rFonts w:ascii="Arial" w:cs="Arial" w:eastAsia="Arial" w:hAnsi="Arial"/>
                <w:sz w:val="16"/>
                <w:szCs w:val="16"/>
                <w:color w:val="auto"/>
                <w:vertAlign w:val="superscript"/>
              </w:rPr>
              <w:t>(5)</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w:t>
            </w:r>
          </w:p>
        </w:tc>
      </w:tr>
      <w:tr>
        <w:trPr>
          <w:trHeight w:val="158"/>
        </w:trPr>
        <w:tc>
          <w:tcPr>
            <w:tcW w:w="6960" w:type="dxa"/>
            <w:vAlign w:val="bottom"/>
          </w:tcPr>
          <w:p>
            <w:pPr>
              <w:ind w:left="20"/>
              <w:spacing w:after="0"/>
              <w:rPr>
                <w:sz w:val="20"/>
                <w:szCs w:val="20"/>
                <w:color w:val="auto"/>
              </w:rPr>
            </w:pPr>
            <w:r>
              <w:rPr>
                <w:rFonts w:ascii="Arial" w:cs="Arial" w:eastAsia="Arial" w:hAnsi="Arial"/>
                <w:sz w:val="13"/>
                <w:szCs w:val="13"/>
                <w:color w:val="auto"/>
              </w:rPr>
              <w:t>Loss before provision for income taxes</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(32,809)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(18,186)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(14,623)</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80 %</w:t>
            </w:r>
          </w:p>
        </w:tc>
      </w:tr>
      <w:tr>
        <w:trPr>
          <w:trHeight w:val="171"/>
        </w:trPr>
        <w:tc>
          <w:tcPr>
            <w:tcW w:w="6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Provision for income taxes</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50,062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49,026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4,732 %</w:t>
            </w:r>
          </w:p>
        </w:tc>
      </w:tr>
      <w:tr>
        <w:trPr>
          <w:trHeight w:val="158"/>
        </w:trPr>
        <w:tc>
          <w:tcPr>
            <w:tcW w:w="69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(82,871)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(19,222)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(63,649)</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331 %</w:t>
            </w:r>
          </w:p>
        </w:tc>
      </w:tr>
      <w:tr>
        <w:trPr>
          <w:trHeight w:val="169"/>
        </w:trPr>
        <w:tc>
          <w:tcPr>
            <w:tcW w:w="6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noncontrolling interest</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2"/>
        </w:trPr>
        <w:tc>
          <w:tcPr>
            <w:tcW w:w="6960" w:type="dxa"/>
            <w:vAlign w:val="bottom"/>
          </w:tcPr>
          <w:p>
            <w:pPr>
              <w:ind w:left="20"/>
              <w:spacing w:after="0"/>
              <w:rPr>
                <w:sz w:val="20"/>
                <w:szCs w:val="20"/>
                <w:color w:val="auto"/>
              </w:rPr>
            </w:pPr>
            <w:r>
              <w:rPr>
                <w:rFonts w:ascii="Arial" w:cs="Arial" w:eastAsia="Arial" w:hAnsi="Arial"/>
                <w:sz w:val="13"/>
                <w:szCs w:val="13"/>
                <w:color w:val="auto"/>
              </w:rPr>
              <w:t>Net loss attributable to CrowdStrike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(85,049)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(19,222)</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(65,827)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342 %</w:t>
            </w: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75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4" w:name="page35"/>
    <w:bookmarkEnd w:id="34"/>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hanging="507"/>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3"/>
                <w:szCs w:val="13"/>
                <w:b w:val="1"/>
                <w:bCs w:val="1"/>
                <w:color w:val="auto"/>
              </w:rPr>
              <w:t>Three Months Ended April 30,</w:t>
            </w:r>
          </w:p>
        </w:tc>
        <w:tc>
          <w:tcPr>
            <w:tcW w:w="540" w:type="dxa"/>
            <w:vAlign w:val="bottom"/>
            <w:tcBorders>
              <w:bottom w:val="single" w:sz="8" w:color="auto"/>
            </w:tcBorders>
          </w:tcPr>
          <w:p>
            <w:pPr>
              <w:spacing w:after="0"/>
              <w:rPr>
                <w:sz w:val="14"/>
                <w:szCs w:val="14"/>
                <w:color w:val="auto"/>
              </w:rPr>
            </w:pPr>
          </w:p>
        </w:tc>
      </w:tr>
      <w:tr>
        <w:trPr>
          <w:trHeight w:val="160"/>
        </w:trPr>
        <w:tc>
          <w:tcPr>
            <w:tcW w:w="8180" w:type="dxa"/>
            <w:vAlign w:val="bottom"/>
          </w:tcPr>
          <w:p>
            <w:pPr>
              <w:spacing w:after="0"/>
              <w:rPr>
                <w:sz w:val="13"/>
                <w:szCs w:val="13"/>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80" w:type="dxa"/>
            <w:vAlign w:val="bottom"/>
            <w:gridSpan w:val="3"/>
          </w:tcPr>
          <w:p>
            <w:pPr>
              <w:jc w:val="right"/>
              <w:ind w:right="552"/>
              <w:spacing w:after="0"/>
              <w:rPr>
                <w:sz w:val="20"/>
                <w:szCs w:val="20"/>
                <w:color w:val="auto"/>
              </w:rPr>
            </w:pPr>
            <w:r>
              <w:rPr>
                <w:rFonts w:ascii="Arial" w:cs="Arial" w:eastAsia="Arial" w:hAnsi="Arial"/>
                <w:sz w:val="13"/>
                <w:szCs w:val="13"/>
                <w:b w:val="1"/>
                <w:bCs w:val="1"/>
                <w:color w:val="auto"/>
              </w:rPr>
              <w:t>(in thousands)</w:t>
            </w:r>
          </w:p>
        </w:tc>
        <w:tc>
          <w:tcPr>
            <w:tcW w:w="540" w:type="dxa"/>
            <w:vAlign w:val="bottom"/>
          </w:tcPr>
          <w:p>
            <w:pPr>
              <w:spacing w:after="0"/>
              <w:rPr>
                <w:sz w:val="16"/>
                <w:szCs w:val="16"/>
                <w:color w:val="auto"/>
              </w:rPr>
            </w:pPr>
          </w:p>
        </w:tc>
      </w:tr>
      <w:tr>
        <w:trPr>
          <w:trHeight w:val="18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cost of revenue</w:t>
            </w: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Professional services cost of revenue</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971</w:t>
            </w: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8,687</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17,801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4,900</w:t>
            </w: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12,834</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w:t>
            </w:r>
          </w:p>
        </w:tc>
      </w:tr>
      <w:tr>
        <w:trPr>
          <w:trHeight w:val="171"/>
        </w:trPr>
        <w:tc>
          <w:tcPr>
            <w:tcW w:w="8180" w:type="dxa"/>
            <w:vAlign w:val="bottom"/>
          </w:tcPr>
          <w:p>
            <w:pPr>
              <w:ind w:left="120"/>
              <w:spacing w:after="0"/>
              <w:rPr>
                <w:sz w:val="20"/>
                <w:szCs w:val="20"/>
                <w:color w:val="auto"/>
              </w:rPr>
            </w:pPr>
            <w:r>
              <w:rPr>
                <w:rFonts w:ascii="Arial" w:cs="Arial" w:eastAsia="Arial" w:hAnsi="Arial"/>
                <w:sz w:val="14"/>
                <w:szCs w:val="14"/>
                <w:color w:val="auto"/>
              </w:rPr>
              <w:t>Total stock-based compensation expense</w:t>
            </w: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54,362</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23,638</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020" w:hanging="507"/>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amortization of acquired intangible assets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3"/>
                <w:szCs w:val="13"/>
                <w:b w:val="1"/>
                <w:bCs w:val="1"/>
                <w:color w:val="auto"/>
              </w:rPr>
              <w:t>Three Months Ended April 30,</w:t>
            </w:r>
          </w:p>
        </w:tc>
        <w:tc>
          <w:tcPr>
            <w:tcW w:w="440" w:type="dxa"/>
            <w:vAlign w:val="bottom"/>
            <w:tcBorders>
              <w:bottom w:val="single" w:sz="8" w:color="auto"/>
            </w:tcBorders>
          </w:tcPr>
          <w:p>
            <w:pPr>
              <w:spacing w:after="0"/>
              <w:rPr>
                <w:sz w:val="14"/>
                <w:szCs w:val="14"/>
                <w:color w:val="auto"/>
              </w:rPr>
            </w:pPr>
          </w:p>
        </w:tc>
      </w:tr>
      <w:tr>
        <w:trPr>
          <w:trHeight w:val="160"/>
        </w:trPr>
        <w:tc>
          <w:tcPr>
            <w:tcW w:w="8180" w:type="dxa"/>
            <w:vAlign w:val="bottom"/>
          </w:tcPr>
          <w:p>
            <w:pPr>
              <w:spacing w:after="0"/>
              <w:rPr>
                <w:sz w:val="13"/>
                <w:szCs w:val="13"/>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652"/>
              <w:spacing w:after="0"/>
              <w:rPr>
                <w:sz w:val="20"/>
                <w:szCs w:val="20"/>
                <w:color w:val="auto"/>
              </w:rPr>
            </w:pPr>
            <w:r>
              <w:rPr>
                <w:rFonts w:ascii="Arial" w:cs="Arial" w:eastAsia="Arial" w:hAnsi="Arial"/>
                <w:sz w:val="13"/>
                <w:szCs w:val="13"/>
                <w:b w:val="1"/>
                <w:bCs w:val="1"/>
                <w:color w:val="auto"/>
              </w:rPr>
              <w:t>(in thousands)</w:t>
            </w:r>
          </w:p>
        </w:tc>
        <w:tc>
          <w:tcPr>
            <w:tcW w:w="440" w:type="dxa"/>
            <w:vAlign w:val="bottom"/>
          </w:tcPr>
          <w:p>
            <w:pPr>
              <w:spacing w:after="0"/>
              <w:rPr>
                <w:sz w:val="16"/>
                <w:szCs w:val="16"/>
                <w:color w:val="auto"/>
              </w:rPr>
            </w:pPr>
          </w:p>
        </w:tc>
      </w:tr>
      <w:tr>
        <w:trPr>
          <w:trHeight w:val="18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cost of revenue</w:t>
            </w:r>
          </w:p>
        </w:tc>
        <w:tc>
          <w:tcPr>
            <w:tcW w:w="1000" w:type="dxa"/>
            <w:vAlign w:val="bottom"/>
            <w:shd w:val="clear" w:color="auto" w:fill="CCEEFF"/>
          </w:tcPr>
          <w:p>
            <w:pPr>
              <w:jc w:val="right"/>
              <w:ind w:right="85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0"/>
        </w:trPr>
        <w:tc>
          <w:tcPr>
            <w:tcW w:w="8180" w:type="dxa"/>
            <w:vAlign w:val="bottom"/>
          </w:tcPr>
          <w:p>
            <w:pPr>
              <w:ind w:left="120"/>
              <w:spacing w:after="0"/>
              <w:rPr>
                <w:sz w:val="20"/>
                <w:szCs w:val="20"/>
                <w:color w:val="auto"/>
              </w:rPr>
            </w:pPr>
            <w:r>
              <w:rPr>
                <w:rFonts w:ascii="Arial" w:cs="Arial" w:eastAsia="Arial" w:hAnsi="Arial"/>
                <w:sz w:val="14"/>
                <w:szCs w:val="14"/>
                <w:color w:val="auto"/>
              </w:rPr>
              <w:t>Total amortization of purchased intangibles</w:t>
            </w:r>
          </w:p>
        </w:tc>
        <w:tc>
          <w:tcPr>
            <w:tcW w:w="100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2,417</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20"/>
        </w:trPr>
        <w:tc>
          <w:tcPr>
            <w:tcW w:w="8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020" w:hanging="507"/>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acquisition-related expenses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3"/>
                <w:szCs w:val="13"/>
                <w:b w:val="1"/>
                <w:bCs w:val="1"/>
                <w:color w:val="auto"/>
              </w:rPr>
              <w:t>Three Months Ended April 30,</w:t>
            </w:r>
          </w:p>
        </w:tc>
      </w:tr>
      <w:tr>
        <w:trPr>
          <w:trHeight w:val="160"/>
        </w:trPr>
        <w:tc>
          <w:tcPr>
            <w:tcW w:w="8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2020</w:t>
            </w:r>
          </w:p>
        </w:tc>
      </w:tr>
      <w:tr>
        <w:trPr>
          <w:trHeight w:val="192"/>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69"/>
              <w:spacing w:after="0"/>
              <w:rPr>
                <w:sz w:val="20"/>
                <w:szCs w:val="20"/>
                <w:color w:val="auto"/>
              </w:rPr>
            </w:pPr>
            <w:r>
              <w:rPr>
                <w:rFonts w:ascii="Arial" w:cs="Arial" w:eastAsia="Arial" w:hAnsi="Arial"/>
                <w:sz w:val="13"/>
                <w:szCs w:val="13"/>
                <w:b w:val="1"/>
                <w:bCs w:val="1"/>
                <w:color w:val="auto"/>
              </w:rPr>
              <w:t>(in thousands)</w:t>
            </w:r>
          </w:p>
        </w:tc>
        <w:tc>
          <w:tcPr>
            <w:tcW w:w="1020" w:type="dxa"/>
            <w:vAlign w:val="bottom"/>
          </w:tcPr>
          <w:p>
            <w:pPr>
              <w:spacing w:after="0"/>
              <w:rPr>
                <w:sz w:val="16"/>
                <w:szCs w:val="16"/>
                <w:color w:val="auto"/>
              </w:rPr>
            </w:pPr>
          </w:p>
        </w:tc>
      </w:tr>
      <w:tr>
        <w:trPr>
          <w:trHeight w:val="18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r>
      <w:tr>
        <w:trPr>
          <w:trHeight w:val="171"/>
        </w:trPr>
        <w:tc>
          <w:tcPr>
            <w:tcW w:w="8180" w:type="dxa"/>
            <w:vAlign w:val="bottom"/>
          </w:tcPr>
          <w:p>
            <w:pPr>
              <w:ind w:left="120"/>
              <w:spacing w:after="0"/>
              <w:rPr>
                <w:sz w:val="20"/>
                <w:szCs w:val="20"/>
                <w:color w:val="auto"/>
              </w:rPr>
            </w:pPr>
            <w:r>
              <w:rPr>
                <w:rFonts w:ascii="Arial" w:cs="Arial" w:eastAsia="Arial" w:hAnsi="Arial"/>
                <w:sz w:val="14"/>
                <w:szCs w:val="14"/>
                <w:color w:val="auto"/>
              </w:rPr>
              <w:t>Total acquisition-related expenses</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4,345</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020" w:hanging="507"/>
        <w:spacing w:after="0"/>
        <w:tabs>
          <w:tab w:leader="none" w:pos="10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amortization of debt issuance costs and discount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3"/>
                <w:szCs w:val="13"/>
                <w:b w:val="1"/>
                <w:bCs w:val="1"/>
                <w:color w:val="auto"/>
              </w:rPr>
              <w:t>Three Months Ended April 30,</w:t>
            </w:r>
          </w:p>
        </w:tc>
      </w:tr>
      <w:tr>
        <w:trPr>
          <w:trHeight w:val="160"/>
        </w:trPr>
        <w:tc>
          <w:tcPr>
            <w:tcW w:w="8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2020</w:t>
            </w:r>
          </w:p>
        </w:tc>
      </w:tr>
      <w:tr>
        <w:trPr>
          <w:trHeight w:val="192"/>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69"/>
              <w:spacing w:after="0"/>
              <w:rPr>
                <w:sz w:val="20"/>
                <w:szCs w:val="20"/>
                <w:color w:val="auto"/>
              </w:rPr>
            </w:pPr>
            <w:r>
              <w:rPr>
                <w:rFonts w:ascii="Arial" w:cs="Arial" w:eastAsia="Arial" w:hAnsi="Arial"/>
                <w:sz w:val="13"/>
                <w:szCs w:val="13"/>
                <w:b w:val="1"/>
                <w:bCs w:val="1"/>
                <w:color w:val="auto"/>
              </w:rPr>
              <w:t>(in thousands)</w:t>
            </w:r>
          </w:p>
        </w:tc>
        <w:tc>
          <w:tcPr>
            <w:tcW w:w="1020" w:type="dxa"/>
            <w:vAlign w:val="bottom"/>
          </w:tcPr>
          <w:p>
            <w:pPr>
              <w:spacing w:after="0"/>
              <w:rPr>
                <w:sz w:val="16"/>
                <w:szCs w:val="16"/>
                <w:color w:val="auto"/>
              </w:rPr>
            </w:pPr>
          </w:p>
        </w:tc>
      </w:tr>
      <w:tr>
        <w:trPr>
          <w:trHeight w:val="18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r>
      <w:tr>
        <w:trPr>
          <w:trHeight w:val="171"/>
        </w:trPr>
        <w:tc>
          <w:tcPr>
            <w:tcW w:w="8180" w:type="dxa"/>
            <w:vAlign w:val="bottom"/>
          </w:tcPr>
          <w:p>
            <w:pPr>
              <w:ind w:left="120"/>
              <w:spacing w:after="0"/>
              <w:rPr>
                <w:sz w:val="20"/>
                <w:szCs w:val="20"/>
                <w:color w:val="auto"/>
              </w:rPr>
            </w:pPr>
            <w:r>
              <w:rPr>
                <w:rFonts w:ascii="Arial" w:cs="Arial" w:eastAsia="Arial" w:hAnsi="Arial"/>
                <w:sz w:val="14"/>
                <w:szCs w:val="14"/>
                <w:color w:val="auto"/>
              </w:rPr>
              <w:t>Total amortization of debt issuance costs and discount</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020" w:hanging="507"/>
        <w:spacing w:after="0"/>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gains from strategic investments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3"/>
                <w:szCs w:val="13"/>
                <w:b w:val="1"/>
                <w:bCs w:val="1"/>
                <w:color w:val="auto"/>
              </w:rPr>
              <w:t>Three Months Ended April 30,</w:t>
            </w:r>
          </w:p>
        </w:tc>
      </w:tr>
      <w:tr>
        <w:trPr>
          <w:trHeight w:val="160"/>
        </w:trPr>
        <w:tc>
          <w:tcPr>
            <w:tcW w:w="8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2020</w:t>
            </w:r>
          </w:p>
        </w:tc>
      </w:tr>
      <w:tr>
        <w:trPr>
          <w:trHeight w:val="192"/>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69"/>
              <w:spacing w:after="0"/>
              <w:rPr>
                <w:sz w:val="20"/>
                <w:szCs w:val="20"/>
                <w:color w:val="auto"/>
              </w:rPr>
            </w:pPr>
            <w:r>
              <w:rPr>
                <w:rFonts w:ascii="Arial" w:cs="Arial" w:eastAsia="Arial" w:hAnsi="Arial"/>
                <w:sz w:val="13"/>
                <w:szCs w:val="13"/>
                <w:b w:val="1"/>
                <w:bCs w:val="1"/>
                <w:color w:val="auto"/>
              </w:rPr>
              <w:t>(in thousands)</w:t>
            </w:r>
          </w:p>
        </w:tc>
        <w:tc>
          <w:tcPr>
            <w:tcW w:w="1020" w:type="dxa"/>
            <w:vAlign w:val="bottom"/>
          </w:tcPr>
          <w:p>
            <w:pPr>
              <w:spacing w:after="0"/>
              <w:rPr>
                <w:sz w:val="16"/>
                <w:szCs w:val="16"/>
                <w:color w:val="auto"/>
              </w:rPr>
            </w:pPr>
          </w:p>
        </w:tc>
      </w:tr>
      <w:tr>
        <w:trPr>
          <w:trHeight w:val="18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4,356</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r>
      <w:tr>
        <w:trPr>
          <w:trHeight w:val="171"/>
        </w:trPr>
        <w:tc>
          <w:tcPr>
            <w:tcW w:w="8180" w:type="dxa"/>
            <w:vAlign w:val="bottom"/>
          </w:tcPr>
          <w:p>
            <w:pPr>
              <w:ind w:left="120"/>
              <w:spacing w:after="0"/>
              <w:rPr>
                <w:sz w:val="20"/>
                <w:szCs w:val="20"/>
                <w:color w:val="auto"/>
              </w:rPr>
            </w:pPr>
            <w:r>
              <w:rPr>
                <w:rFonts w:ascii="Arial" w:cs="Arial" w:eastAsia="Arial" w:hAnsi="Arial"/>
                <w:sz w:val="14"/>
                <w:szCs w:val="14"/>
                <w:color w:val="auto"/>
              </w:rPr>
              <w:t>Total gains from strategic investments</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4,356</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05"/>
        </w:trPr>
        <w:tc>
          <w:tcPr>
            <w:tcW w:w="8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5" w:name="page36"/>
    <w:bookmarkEnd w:id="35"/>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components of our condensed consolidated statements of operations as a percentage of total revenue for the periods presented:</w:t>
      </w:r>
    </w:p>
    <w:p>
      <w:pPr>
        <w:spacing w:after="0" w:line="82"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auto"/>
        </w:rPr>
        <w:t>Three Months Ended April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3"/>
                <w:szCs w:val="13"/>
                <w:b w:val="1"/>
                <w:bCs w:val="1"/>
                <w:color w:val="auto"/>
              </w:rPr>
              <w:t>2020</w:t>
            </w:r>
          </w:p>
        </w:tc>
      </w:tr>
      <w:tr>
        <w:trPr>
          <w:trHeight w:val="189"/>
        </w:trPr>
        <w:tc>
          <w:tcPr>
            <w:tcW w:w="8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3"/>
          </w:tcPr>
          <w:p>
            <w:pPr>
              <w:jc w:val="right"/>
              <w:ind w:right="1512"/>
              <w:spacing w:after="0"/>
              <w:rPr>
                <w:sz w:val="20"/>
                <w:szCs w:val="20"/>
                <w:color w:val="auto"/>
              </w:rPr>
            </w:pPr>
            <w:r>
              <w:rPr>
                <w:rFonts w:ascii="Arial" w:cs="Arial" w:eastAsia="Arial" w:hAnsi="Arial"/>
                <w:sz w:val="13"/>
                <w:szCs w:val="13"/>
                <w:b w:val="1"/>
                <w:bCs w:val="1"/>
                <w:color w:val="auto"/>
                <w:w w:val="86"/>
              </w:rPr>
              <w:t>%</w:t>
            </w:r>
          </w:p>
        </w:tc>
      </w:tr>
      <w:tr>
        <w:trPr>
          <w:trHeight w:val="182"/>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80"/>
        </w:trPr>
        <w:tc>
          <w:tcPr>
            <w:tcW w:w="9060" w:type="dxa"/>
            <w:vAlign w:val="bottom"/>
            <w:gridSpan w:val="2"/>
          </w:tcPr>
          <w:p>
            <w:pPr>
              <w:ind w:left="120"/>
              <w:spacing w:after="0"/>
              <w:rPr>
                <w:sz w:val="20"/>
                <w:szCs w:val="20"/>
                <w:color w:val="auto"/>
              </w:rPr>
            </w:pPr>
            <w:r>
              <w:rPr>
                <w:rFonts w:ascii="Arial" w:cs="Arial" w:eastAsia="Arial" w:hAnsi="Arial"/>
                <w:sz w:val="14"/>
                <w:szCs w:val="14"/>
                <w:color w:val="auto"/>
              </w:rPr>
              <w:t>Subscription</w:t>
            </w:r>
          </w:p>
        </w:tc>
        <w:tc>
          <w:tcPr>
            <w:tcW w:w="520" w:type="dxa"/>
            <w:vAlign w:val="bottom"/>
          </w:tcPr>
          <w:p>
            <w:pPr>
              <w:jc w:val="right"/>
              <w:spacing w:after="0"/>
              <w:rPr>
                <w:sz w:val="20"/>
                <w:szCs w:val="20"/>
                <w:color w:val="auto"/>
              </w:rPr>
            </w:pPr>
            <w:r>
              <w:rPr>
                <w:rFonts w:ascii="Arial" w:cs="Arial" w:eastAsia="Arial" w:hAnsi="Arial"/>
                <w:sz w:val="14"/>
                <w:szCs w:val="14"/>
                <w:color w:val="auto"/>
              </w:rPr>
              <w:t>93 %</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91 %</w:t>
            </w:r>
          </w:p>
        </w:tc>
      </w:tr>
      <w:tr>
        <w:trPr>
          <w:trHeight w:val="180"/>
        </w:trPr>
        <w:tc>
          <w:tcPr>
            <w:tcW w:w="9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Professional services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0"/>
        </w:trPr>
        <w:tc>
          <w:tcPr>
            <w:tcW w:w="906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520" w:type="dxa"/>
            <w:vAlign w:val="bottom"/>
          </w:tcPr>
          <w:p>
            <w:pPr>
              <w:jc w:val="right"/>
              <w:spacing w:after="0"/>
              <w:rPr>
                <w:sz w:val="20"/>
                <w:szCs w:val="20"/>
                <w:color w:val="auto"/>
              </w:rPr>
            </w:pPr>
            <w:r>
              <w:rPr>
                <w:rFonts w:ascii="Arial" w:cs="Arial" w:eastAsia="Arial" w:hAnsi="Arial"/>
                <w:sz w:val="14"/>
                <w:szCs w:val="14"/>
                <w:color w:val="auto"/>
              </w:rPr>
              <w:t>100 %</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100 %</w:t>
            </w:r>
          </w:p>
        </w:tc>
      </w:tr>
      <w:tr>
        <w:trPr>
          <w:trHeight w:val="18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80"/>
        </w:trPr>
        <w:tc>
          <w:tcPr>
            <w:tcW w:w="9060" w:type="dxa"/>
            <w:vAlign w:val="bottom"/>
            <w:gridSpan w:val="2"/>
          </w:tcPr>
          <w:p>
            <w:pPr>
              <w:ind w:left="120"/>
              <w:spacing w:after="0"/>
              <w:rPr>
                <w:sz w:val="20"/>
                <w:szCs w:val="20"/>
                <w:color w:val="auto"/>
              </w:rPr>
            </w:pPr>
            <w:r>
              <w:rPr>
                <w:rFonts w:ascii="Arial" w:cs="Arial" w:eastAsia="Arial" w:hAnsi="Arial"/>
                <w:sz w:val="14"/>
                <w:szCs w:val="14"/>
                <w:color w:val="auto"/>
              </w:rPr>
              <w:t>Subscription</w:t>
            </w:r>
          </w:p>
        </w:tc>
        <w:tc>
          <w:tcPr>
            <w:tcW w:w="520" w:type="dxa"/>
            <w:vAlign w:val="bottom"/>
          </w:tcPr>
          <w:p>
            <w:pPr>
              <w:jc w:val="right"/>
              <w:spacing w:after="0"/>
              <w:rPr>
                <w:sz w:val="20"/>
                <w:szCs w:val="20"/>
                <w:color w:val="auto"/>
              </w:rPr>
            </w:pPr>
            <w:r>
              <w:rPr>
                <w:rFonts w:ascii="Arial" w:cs="Arial" w:eastAsia="Arial" w:hAnsi="Arial"/>
                <w:sz w:val="14"/>
                <w:szCs w:val="14"/>
                <w:color w:val="auto"/>
              </w:rPr>
              <w:t>21 %</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21 %</w:t>
            </w:r>
          </w:p>
        </w:tc>
      </w:tr>
      <w:tr>
        <w:trPr>
          <w:trHeight w:val="180"/>
        </w:trPr>
        <w:tc>
          <w:tcPr>
            <w:tcW w:w="9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Professional services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0"/>
        </w:trPr>
        <w:tc>
          <w:tcPr>
            <w:tcW w:w="9060" w:type="dxa"/>
            <w:vAlign w:val="bottom"/>
            <w:gridSpan w:val="2"/>
          </w:tcPr>
          <w:p>
            <w:pPr>
              <w:ind w:left="180"/>
              <w:spacing w:after="0"/>
              <w:rPr>
                <w:sz w:val="20"/>
                <w:szCs w:val="20"/>
                <w:color w:val="auto"/>
              </w:rPr>
            </w:pPr>
            <w:r>
              <w:rPr>
                <w:rFonts w:ascii="Arial" w:cs="Arial" w:eastAsia="Arial" w:hAnsi="Arial"/>
                <w:sz w:val="14"/>
                <w:szCs w:val="14"/>
                <w:color w:val="auto"/>
              </w:rPr>
              <w:t>Total cost of revenue</w:t>
            </w:r>
          </w:p>
        </w:tc>
        <w:tc>
          <w:tcPr>
            <w:tcW w:w="520" w:type="dxa"/>
            <w:vAlign w:val="bottom"/>
          </w:tcPr>
          <w:p>
            <w:pPr>
              <w:jc w:val="right"/>
              <w:spacing w:after="0"/>
              <w:rPr>
                <w:sz w:val="20"/>
                <w:szCs w:val="20"/>
                <w:color w:val="auto"/>
              </w:rPr>
            </w:pPr>
            <w:r>
              <w:rPr>
                <w:rFonts w:ascii="Arial" w:cs="Arial" w:eastAsia="Arial" w:hAnsi="Arial"/>
                <w:sz w:val="14"/>
                <w:szCs w:val="14"/>
                <w:color w:val="auto"/>
              </w:rPr>
              <w:t>26 %</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26 %</w:t>
            </w:r>
          </w:p>
        </w:tc>
      </w:tr>
      <w:tr>
        <w:trPr>
          <w:trHeight w:val="18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74 %</w:t>
            </w:r>
          </w:p>
        </w:tc>
      </w:tr>
      <w:tr>
        <w:trPr>
          <w:trHeight w:val="18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9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49 %</w:t>
            </w:r>
          </w:p>
        </w:tc>
      </w:tr>
      <w:tr>
        <w:trPr>
          <w:trHeight w:val="180"/>
        </w:trPr>
        <w:tc>
          <w:tcPr>
            <w:tcW w:w="9060" w:type="dxa"/>
            <w:vAlign w:val="bottom"/>
            <w:gridSpan w:val="2"/>
          </w:tcPr>
          <w:p>
            <w:pPr>
              <w:ind w:left="120"/>
              <w:spacing w:after="0"/>
              <w:rPr>
                <w:sz w:val="20"/>
                <w:szCs w:val="20"/>
                <w:color w:val="auto"/>
              </w:rPr>
            </w:pPr>
            <w:r>
              <w:rPr>
                <w:rFonts w:ascii="Arial" w:cs="Arial" w:eastAsia="Arial" w:hAnsi="Arial"/>
                <w:sz w:val="14"/>
                <w:szCs w:val="14"/>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4"/>
                <w:szCs w:val="14"/>
                <w:color w:val="auto"/>
              </w:rPr>
              <w:t>26 %</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23 %</w:t>
            </w:r>
          </w:p>
        </w:tc>
      </w:tr>
      <w:tr>
        <w:trPr>
          <w:trHeight w:val="180"/>
        </w:trPr>
        <w:tc>
          <w:tcPr>
            <w:tcW w:w="9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8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Total operating expenses</w:t>
            </w:r>
          </w:p>
        </w:tc>
        <w:tc>
          <w:tcPr>
            <w:tcW w:w="520" w:type="dxa"/>
            <w:vAlign w:val="bottom"/>
          </w:tcPr>
          <w:p>
            <w:pPr>
              <w:jc w:val="right"/>
              <w:spacing w:after="0"/>
              <w:rPr>
                <w:sz w:val="20"/>
                <w:szCs w:val="20"/>
                <w:color w:val="auto"/>
              </w:rPr>
            </w:pPr>
            <w:r>
              <w:rPr>
                <w:rFonts w:ascii="Arial" w:cs="Arial" w:eastAsia="Arial" w:hAnsi="Arial"/>
                <w:sz w:val="14"/>
                <w:szCs w:val="14"/>
                <w:color w:val="auto"/>
              </w:rPr>
              <w:t>84 %</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86 %</w:t>
            </w:r>
          </w:p>
        </w:tc>
      </w:tr>
      <w:tr>
        <w:trPr>
          <w:trHeight w:val="18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9060" w:type="dxa"/>
            <w:vAlign w:val="bottom"/>
            <w:gridSpan w:val="2"/>
          </w:tcPr>
          <w:p>
            <w:pPr>
              <w:ind w:left="120"/>
              <w:spacing w:after="0"/>
              <w:rPr>
                <w:sz w:val="20"/>
                <w:szCs w:val="20"/>
                <w:color w:val="auto"/>
              </w:rPr>
            </w:pPr>
            <w:r>
              <w:rPr>
                <w:rFonts w:ascii="Arial" w:cs="Arial" w:eastAsia="Arial" w:hAnsi="Arial"/>
                <w:sz w:val="14"/>
                <w:szCs w:val="14"/>
                <w:color w:val="auto"/>
              </w:rPr>
              <w:t>Interest expense</w:t>
            </w: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9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 net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8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Loss before provision for income taxes</w:t>
            </w: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90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Pr>
          <w:p>
            <w:pPr>
              <w:jc w:val="right"/>
              <w:spacing w:after="0"/>
              <w:rPr>
                <w:sz w:val="20"/>
                <w:szCs w:val="20"/>
                <w:color w:val="auto"/>
              </w:rPr>
            </w:pPr>
            <w:r>
              <w:rPr>
                <w:rFonts w:ascii="Arial" w:cs="Arial" w:eastAsia="Arial" w:hAnsi="Arial"/>
                <w:sz w:val="14"/>
                <w:szCs w:val="14"/>
                <w:color w:val="auto"/>
              </w:rPr>
              <w:t>(27)%</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Net loss attributable to CrowdStrike</w:t>
            </w:r>
          </w:p>
        </w:tc>
        <w:tc>
          <w:tcPr>
            <w:tcW w:w="520" w:type="dxa"/>
            <w:vAlign w:val="bottom"/>
          </w:tcPr>
          <w:p>
            <w:pPr>
              <w:jc w:val="right"/>
              <w:spacing w:after="0"/>
              <w:rPr>
                <w:sz w:val="20"/>
                <w:szCs w:val="20"/>
                <w:color w:val="auto"/>
              </w:rPr>
            </w:pPr>
            <w:r>
              <w:rPr>
                <w:rFonts w:ascii="Arial" w:cs="Arial" w:eastAsia="Arial" w:hAnsi="Arial"/>
                <w:sz w:val="14"/>
                <w:szCs w:val="14"/>
                <w:color w:val="auto"/>
              </w:rPr>
              <w:t>(28)%</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(11)%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April 30, 2021 and 2020</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Revenue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shows total revenue from subscriptions and professional services for the three months ended April 30, 2021 as compared to the three months ended April 30,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44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1600" w:type="dxa"/>
            <w:vAlign w:val="bottom"/>
          </w:tcPr>
          <w:p>
            <w:pPr>
              <w:jc w:val="right"/>
              <w:ind w:right="489"/>
              <w:spacing w:after="0"/>
              <w:rPr>
                <w:sz w:val="20"/>
                <w:szCs w:val="20"/>
                <w:color w:val="auto"/>
              </w:rPr>
            </w:pPr>
            <w:r>
              <w:rPr>
                <w:rFonts w:ascii="Arial" w:cs="Arial" w:eastAsia="Arial" w:hAnsi="Arial"/>
                <w:sz w:val="14"/>
                <w:szCs w:val="14"/>
                <w:b w:val="1"/>
                <w:bCs w:val="1"/>
                <w:color w:val="auto"/>
              </w:rPr>
              <w:t>Change</w:t>
            </w:r>
          </w:p>
        </w:tc>
      </w:tr>
      <w:tr>
        <w:trPr>
          <w:trHeight w:val="170"/>
        </w:trPr>
        <w:tc>
          <w:tcPr>
            <w:tcW w:w="49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w:t>
            </w:r>
          </w:p>
        </w:tc>
      </w:tr>
      <w:tr>
        <w:trPr>
          <w:trHeight w:val="202"/>
        </w:trPr>
        <w:tc>
          <w:tcPr>
            <w:tcW w:w="4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gridSpan w:val="3"/>
          </w:tcPr>
          <w:p>
            <w:pPr>
              <w:jc w:val="right"/>
              <w:ind w:right="489"/>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281,228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162,222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119,006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73 %</w:t>
            </w:r>
          </w:p>
        </w:tc>
      </w:tr>
      <w:tr>
        <w:trPr>
          <w:trHeight w:val="18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21,615</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5,759</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36 %</w:t>
            </w:r>
          </w:p>
        </w:tc>
      </w:tr>
      <w:tr>
        <w:trPr>
          <w:trHeight w:val="196"/>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302,843</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178,078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124,765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59" w:lineRule="exact"/>
        <w:rPr>
          <w:sz w:val="20"/>
          <w:szCs w:val="20"/>
          <w:color w:val="auto"/>
        </w:rPr>
      </w:pPr>
    </w:p>
    <w:p>
      <w:pPr>
        <w:ind w:right="120" w:firstLine="508"/>
        <w:spacing w:after="0" w:line="266" w:lineRule="auto"/>
        <w:rPr>
          <w:sz w:val="20"/>
          <w:szCs w:val="20"/>
          <w:color w:val="auto"/>
        </w:rPr>
      </w:pPr>
      <w:r>
        <w:rPr>
          <w:rFonts w:ascii="Arial" w:cs="Arial" w:eastAsia="Arial" w:hAnsi="Arial"/>
          <w:sz w:val="14"/>
          <w:szCs w:val="14"/>
          <w:color w:val="auto"/>
        </w:rPr>
        <w:t>Total revenue increased by $124.8 million, or 70%, for the three months ended April 30, 2021, compared to the three months ended April 30, 2020. Subscription revenue accounted for 93% of our total revenue for the three months ended April 30, 2021, and 91% of our total revenue for the three months ended April 30, 2020. Professional services revenue accounted for 7% of our total revenue for the three months ended April 30, 2021, and 9% of our total revenue for the three months 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6" w:name="page37"/>
    <w:bookmarkEnd w:id="36"/>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508"/>
        <w:spacing w:after="0" w:line="281" w:lineRule="auto"/>
        <w:rPr>
          <w:sz w:val="20"/>
          <w:szCs w:val="20"/>
          <w:color w:val="auto"/>
        </w:rPr>
      </w:pPr>
      <w:r>
        <w:rPr>
          <w:rFonts w:ascii="Arial" w:cs="Arial" w:eastAsia="Arial" w:hAnsi="Arial"/>
          <w:sz w:val="13"/>
          <w:szCs w:val="13"/>
          <w:color w:val="auto"/>
        </w:rPr>
        <w:t>Subscription revenue increased by $119.0 million, or 73%, for the three months ended April 30, 2021, compared to the three months ended April 30, 2020. This increase was primarily attributable to the addition of new subscription customers, as we increased our customer base by 82% from 6,261 subscription customers as of April 30, 2020 to 11,420 subscription customers as of April 30, 2021. Subscription revenue from new customers, subscription revenue from the renewal of existing customers, and subscription revenue from the sale of additional endpoints and additional modules to existing customers accounted for 34%, 40%, and 25% of total subscription revenue for the three months ended April 30, 2021, respectively. Subscription revenue from new customers, subscription revenue from the renewal of existing customers, and subscription revenue from the sale of additional endpoints and additional modules to existing customers accounted for 33%, 35%, and 32% of total subscription revenue for the three months ended April 30, 2020, respectively.</w:t>
      </w:r>
    </w:p>
    <w:p>
      <w:pPr>
        <w:spacing w:after="0" w:line="135" w:lineRule="exact"/>
        <w:rPr>
          <w:sz w:val="20"/>
          <w:szCs w:val="20"/>
          <w:color w:val="auto"/>
        </w:rPr>
      </w:pPr>
    </w:p>
    <w:p>
      <w:pPr>
        <w:ind w:right="500" w:firstLine="508"/>
        <w:spacing w:after="0" w:line="280" w:lineRule="auto"/>
        <w:rPr>
          <w:sz w:val="20"/>
          <w:szCs w:val="20"/>
          <w:color w:val="auto"/>
        </w:rPr>
      </w:pPr>
      <w:r>
        <w:rPr>
          <w:rFonts w:ascii="Arial" w:cs="Arial" w:eastAsia="Arial" w:hAnsi="Arial"/>
          <w:sz w:val="14"/>
          <w:szCs w:val="14"/>
          <w:color w:val="auto"/>
        </w:rPr>
        <w:t>Professional services revenue increased by $5.8 million, or 36%, for the three months ended April 30, 2021, compared to the three months ended April 30, 2020, which was primarily attributable to an increase in the number of professional service hours performed.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Cost of Revenue, Gross Profit, and Gross Margin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shows cost of revenue related to subscriptions and professional services for the three months ended April 30, 2021 as compared to the three months ended April 30,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4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00" w:type="dxa"/>
            <w:vAlign w:val="bottom"/>
          </w:tcPr>
          <w:p>
            <w:pPr>
              <w:jc w:val="right"/>
              <w:ind w:right="489"/>
              <w:spacing w:after="0"/>
              <w:rPr>
                <w:sz w:val="20"/>
                <w:szCs w:val="20"/>
                <w:color w:val="auto"/>
              </w:rPr>
            </w:pPr>
            <w:r>
              <w:rPr>
                <w:rFonts w:ascii="Arial" w:cs="Arial" w:eastAsia="Arial" w:hAnsi="Arial"/>
                <w:sz w:val="14"/>
                <w:szCs w:val="14"/>
                <w:b w:val="1"/>
                <w:bCs w:val="1"/>
                <w:color w:val="auto"/>
              </w:rPr>
              <w:t>Change</w:t>
            </w:r>
          </w:p>
        </w:tc>
      </w:tr>
      <w:tr>
        <w:trPr>
          <w:trHeight w:val="170"/>
        </w:trPr>
        <w:tc>
          <w:tcPr>
            <w:tcW w:w="4920" w:type="dxa"/>
            <w:vAlign w:val="bottom"/>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w:t>
            </w:r>
          </w:p>
        </w:tc>
      </w:tr>
      <w:tr>
        <w:trPr>
          <w:trHeight w:val="202"/>
        </w:trPr>
        <w:tc>
          <w:tcPr>
            <w:tcW w:w="4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3"/>
          </w:tcPr>
          <w:p>
            <w:pPr>
              <w:jc w:val="right"/>
              <w:ind w:right="509"/>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64,903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37,244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74 %</w:t>
            </w:r>
          </w:p>
        </w:tc>
      </w:tr>
      <w:tr>
        <w:trPr>
          <w:trHeight w:val="18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13,602</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3,951</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41 %</w:t>
            </w:r>
          </w:p>
        </w:tc>
      </w:tr>
      <w:tr>
        <w:trPr>
          <w:trHeight w:val="196"/>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cost of revenue</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78,505</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46,895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31,610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67 %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69" w:lineRule="exact"/>
        <w:rPr>
          <w:sz w:val="20"/>
          <w:szCs w:val="20"/>
          <w:color w:val="auto"/>
        </w:rPr>
      </w:pPr>
    </w:p>
    <w:p>
      <w:pPr>
        <w:ind w:right="120" w:firstLine="508"/>
        <w:spacing w:after="0" w:line="259" w:lineRule="auto"/>
        <w:rPr>
          <w:sz w:val="20"/>
          <w:szCs w:val="20"/>
          <w:color w:val="auto"/>
        </w:rPr>
      </w:pPr>
      <w:r>
        <w:rPr>
          <w:rFonts w:ascii="Arial" w:cs="Arial" w:eastAsia="Arial" w:hAnsi="Arial"/>
          <w:sz w:val="14"/>
          <w:szCs w:val="14"/>
          <w:color w:val="auto"/>
        </w:rPr>
        <w:t>Total cost of revenue increased by $31.6 million, or 67%, for the three months ended April 30, 2021, compared to the three months ended April 30, 2020. Subscription cost of revenue increased by $27.7 million, or 74%, for the three months ended April 30, 2021, compared to the three months ended April 30, 2020. The increase in subscription cost of revenue was primarily due to an increase in cloud hosting and related services of $9.6 million driven by increased customer activity, an increase in employee-related expenses of $9.5 million driven by a 64% increase in average headcount, an increase in stock-based compensation expense of $2.3 million, an increase in depreciation of data center equipment of $2.1 million, an increase in amortization of intangible assets of $1.9 million, and an increase in allocated overhead costs of $1.1 million.</w:t>
      </w:r>
    </w:p>
    <w:p>
      <w:pPr>
        <w:spacing w:after="0" w:line="147" w:lineRule="exact"/>
        <w:rPr>
          <w:sz w:val="20"/>
          <w:szCs w:val="20"/>
          <w:color w:val="auto"/>
        </w:rPr>
      </w:pPr>
    </w:p>
    <w:p>
      <w:pPr>
        <w:ind w:right="80" w:firstLine="508"/>
        <w:spacing w:after="0" w:line="266" w:lineRule="auto"/>
        <w:rPr>
          <w:sz w:val="20"/>
          <w:szCs w:val="20"/>
          <w:color w:val="auto"/>
        </w:rPr>
      </w:pPr>
      <w:r>
        <w:rPr>
          <w:rFonts w:ascii="Arial" w:cs="Arial" w:eastAsia="Arial" w:hAnsi="Arial"/>
          <w:sz w:val="14"/>
          <w:szCs w:val="14"/>
          <w:color w:val="auto"/>
        </w:rPr>
        <w:t>Professional services cost of revenue increased by $4.0 million, or 41%, for the three months ended April 30, 2021, compared to the three months ended April 30, 2020. The increase in professional services cost of revenue was primarily due to an increase in employee-related expenses of $2.5 million driven by an increase in average headcount of 44% and an increase in stock-based compensation expense of $1.1 million.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shows gross profit and gross margin for subscriptions and professional services for the three months ended April 30, 2021 as compared to the three months ended April 30,</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1"/>
        </w:trPr>
        <w:tc>
          <w:tcPr>
            <w:tcW w:w="49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202"/>
        </w:trPr>
        <w:tc>
          <w:tcPr>
            <w:tcW w:w="4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gridSpan w:val="4"/>
          </w:tcPr>
          <w:p>
            <w:pPr>
              <w:jc w:val="right"/>
              <w:ind w:right="489"/>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gross profit</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216,325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124,978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91,347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73 %</w:t>
            </w:r>
          </w:p>
        </w:tc>
      </w:tr>
      <w:tr>
        <w:trPr>
          <w:trHeight w:val="18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 gross profit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6,205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29 %</w:t>
            </w:r>
          </w:p>
        </w:tc>
      </w:tr>
      <w:tr>
        <w:trPr>
          <w:trHeight w:val="196"/>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gross profit</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224,338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w w:val="98"/>
              </w:rPr>
              <w:t>131,183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93,155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71 %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459"/>
        </w:trPr>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129"/>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181"/>
        </w:trPr>
        <w:tc>
          <w:tcPr>
            <w:tcW w:w="4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170"/>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 gross margin</w:t>
            </w:r>
          </w:p>
        </w:tc>
        <w:tc>
          <w:tcPr>
            <w:tcW w:w="9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87"/>
              </w:rPr>
              <w:t>77 %</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77 %</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0 %</w:t>
            </w:r>
          </w:p>
        </w:tc>
      </w:tr>
      <w:tr>
        <w:trPr>
          <w:trHeight w:val="18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 gross margin</w:t>
            </w:r>
          </w:p>
        </w:tc>
        <w:tc>
          <w:tcPr>
            <w:tcW w:w="9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87"/>
              </w:rPr>
              <w:t>37 %</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39 %</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gross margin</w:t>
            </w: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87"/>
              </w:rPr>
              <w:t>74 %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74 %</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768"/>
        </w:trPr>
        <w:tc>
          <w:tcPr>
            <w:tcW w:w="4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7" w:name="page38"/>
    <w:bookmarkEnd w:id="37"/>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ind w:right="20" w:firstLine="508"/>
        <w:spacing w:after="0" w:line="275" w:lineRule="auto"/>
        <w:rPr>
          <w:sz w:val="20"/>
          <w:szCs w:val="20"/>
          <w:color w:val="auto"/>
        </w:rPr>
      </w:pPr>
      <w:r>
        <w:rPr>
          <w:rFonts w:ascii="Arial" w:cs="Arial" w:eastAsia="Arial" w:hAnsi="Arial"/>
          <w:sz w:val="12"/>
          <w:szCs w:val="12"/>
          <w:color w:val="auto"/>
        </w:rPr>
        <w:t>Subscription gross margin was relatively flat for the three months ended April 30, 2021, compared to the three months ended April 30, 2020. This was a result of continuing to shift more of our operations from third-party cloud service providers to colocation data centers, continued optimization of our software development and our cloud database systems and continued expansion of module adoption by our customer base. The above were offset by higher intangibles amortization resulted from acquisitions and higher stock-based compensation expense. As of April 30, 2021, 64% of our customer base had adopted four or more modules, 50% of our customer base had adopted five or more modules and 27% of our customer base had adopted six or more modules. As of April 30, 2020, 55% of our customer base had adopted four or more modules, 36% of our customer base had adopted five or more modules and 16% of our customer base had adopted six or more modules.</w:t>
      </w:r>
    </w:p>
    <w:p>
      <w:pPr>
        <w:spacing w:after="0" w:line="130" w:lineRule="exact"/>
        <w:rPr>
          <w:sz w:val="20"/>
          <w:szCs w:val="20"/>
          <w:color w:val="auto"/>
        </w:rPr>
      </w:pPr>
    </w:p>
    <w:p>
      <w:pPr>
        <w:jc w:val="both"/>
        <w:ind w:right="220" w:firstLine="508"/>
        <w:spacing w:after="0" w:line="266" w:lineRule="auto"/>
        <w:rPr>
          <w:sz w:val="20"/>
          <w:szCs w:val="20"/>
          <w:color w:val="auto"/>
        </w:rPr>
      </w:pPr>
      <w:r>
        <w:rPr>
          <w:rFonts w:ascii="Arial" w:cs="Arial" w:eastAsia="Arial" w:hAnsi="Arial"/>
          <w:sz w:val="14"/>
          <w:szCs w:val="14"/>
          <w:color w:val="auto"/>
        </w:rPr>
        <w:t>Professional services gross margin decreased by 2% for the three months ended April 30, 2021, compared to the three months ended April 30, 2020. The decrease in professional services gross margin resulted from a decrease in utilization due to ramp up time required for additional headcount added during the three months ended April 30, 2021 compared to the three months ended April 30, 2020.</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Sales and Marketing</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shows sales and marketing expenses for the three months ended April 30, 2021 as compared to the three months ended April 30,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April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70"/>
        </w:trPr>
        <w:tc>
          <w:tcPr>
            <w:tcW w:w="4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w:t>
            </w:r>
          </w:p>
        </w:tc>
      </w:tr>
      <w:tr>
        <w:trPr>
          <w:trHeight w:val="202"/>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ind w:left="760"/>
              <w:spacing w:after="0"/>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 expenses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135,131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88,138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46,993</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53 %</w:t>
            </w:r>
          </w:p>
        </w:tc>
      </w:tr>
    </w:tbl>
    <w:p>
      <w:pPr>
        <w:spacing w:after="0" w:line="159" w:lineRule="exact"/>
        <w:rPr>
          <w:sz w:val="20"/>
          <w:szCs w:val="20"/>
          <w:color w:val="auto"/>
        </w:rPr>
      </w:pPr>
    </w:p>
    <w:p>
      <w:pPr>
        <w:ind w:right="20" w:firstLine="508"/>
        <w:spacing w:after="0" w:line="259" w:lineRule="auto"/>
        <w:rPr>
          <w:sz w:val="20"/>
          <w:szCs w:val="20"/>
          <w:color w:val="auto"/>
        </w:rPr>
      </w:pPr>
      <w:r>
        <w:rPr>
          <w:rFonts w:ascii="Arial" w:cs="Arial" w:eastAsia="Arial" w:hAnsi="Arial"/>
          <w:sz w:val="14"/>
          <w:szCs w:val="14"/>
          <w:color w:val="auto"/>
        </w:rPr>
        <w:t>Sales and marketing expenses increased by $47.0 million, or 53%, for the three months ended April 30, 2021, compared to the three months ended April 30, 2020. The increase in sales and marketing expenses was primarily due to an increase in employee-related expenses of $28.0 million driven by an increase in sales and marketing average headcount of 35%, an increase in stock-based compensation of $8.7 million, an increase in marketing programs of $8.1 million, an increase in allocated overhead costs of $1.5 million, partially offset by a decrease in company events expenses of $2.8 million, and a decrease in travel-related costs of $1.3 million due to the fact that, as a result of the COVID-19 pandemic, a majority of our workforce was working remotely and incurred limited travel costs since fiscal 2021.</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Research and Development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shows research and development expenses for the three months ended April 30, 2021 as compared to the three months ended April 30,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April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70"/>
        </w:trPr>
        <w:tc>
          <w:tcPr>
            <w:tcW w:w="4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w:t>
            </w:r>
          </w:p>
        </w:tc>
      </w:tr>
      <w:tr>
        <w:trPr>
          <w:trHeight w:val="202"/>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ind w:left="760"/>
              <w:spacing w:after="0"/>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78,180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37,602</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93 %</w:t>
            </w:r>
          </w:p>
        </w:tc>
      </w:tr>
    </w:tbl>
    <w:p>
      <w:pPr>
        <w:spacing w:after="0" w:line="159" w:lineRule="exact"/>
        <w:rPr>
          <w:sz w:val="20"/>
          <w:szCs w:val="20"/>
          <w:color w:val="auto"/>
        </w:rPr>
      </w:pPr>
    </w:p>
    <w:p>
      <w:pPr>
        <w:ind w:right="100" w:firstLine="508"/>
        <w:spacing w:after="0" w:line="266" w:lineRule="auto"/>
        <w:rPr>
          <w:sz w:val="20"/>
          <w:szCs w:val="20"/>
          <w:color w:val="auto"/>
        </w:rPr>
      </w:pPr>
      <w:r>
        <w:rPr>
          <w:rFonts w:ascii="Arial" w:cs="Arial" w:eastAsia="Arial" w:hAnsi="Arial"/>
          <w:sz w:val="14"/>
          <w:szCs w:val="14"/>
          <w:color w:val="auto"/>
        </w:rPr>
        <w:t>Research and development expenses increased by $37.6 million, or 93%, for the three months ended April 30, 2021, compared to the three months ended April 30, 2020. This increase was primarily due to an increase in employee-related expenses of $20.7 million driven by an increase in research and development average headcount of 66%, an increase in stock-based compensation of $12.9 million, an increase in allocated overhead costs of $1.9 million, and an increase in cloud hosting and related costs of $1.6 million.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General and Administrative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shows general and administrative expenses for the three months ended April 30, 2021 as compared to the three months ended April 30,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April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70"/>
        </w:trPr>
        <w:tc>
          <w:tcPr>
            <w:tcW w:w="4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w:t>
            </w:r>
          </w:p>
        </w:tc>
      </w:tr>
      <w:tr>
        <w:trPr>
          <w:trHeight w:val="202"/>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ind w:left="760"/>
              <w:spacing w:after="0"/>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42,374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17,331</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r>
      <w:tr>
        <w:trPr>
          <w:trHeight w:val="805"/>
        </w:trPr>
        <w:tc>
          <w:tcPr>
            <w:tcW w:w="4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8" w:name="page39"/>
    <w:bookmarkEnd w:id="38"/>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firstLine="508"/>
        <w:spacing w:after="0" w:line="261" w:lineRule="auto"/>
        <w:rPr>
          <w:sz w:val="20"/>
          <w:szCs w:val="20"/>
          <w:color w:val="auto"/>
        </w:rPr>
      </w:pPr>
      <w:r>
        <w:rPr>
          <w:rFonts w:ascii="Arial" w:cs="Arial" w:eastAsia="Arial" w:hAnsi="Arial"/>
          <w:sz w:val="14"/>
          <w:szCs w:val="14"/>
          <w:color w:val="auto"/>
        </w:rPr>
        <w:t>General and administrative expenses increased by $17.3 million, or 69%, for the three months ended April 30, 2021, compared to the three months ended April 30, 2020. The increase in general and administrative expenses was primarily due to an increase in stock-based compensation expense of $5.7 million, an increase in consulting expense of $5.0 million primarily due to acquisition related expenses, an increase in employee-related expenses of $4.6 million driven by an increase in general and administrative average headcount of 42%, and an increase in allocated overhead costs of $0.5 million.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Interest Expense and Other Income, Net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shows Interest expense and Other income, net, for the three months ended April 30, 2021 as compared to the three months ended April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April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right"/>
              <w:ind w:right="489"/>
              <w:spacing w:after="0"/>
              <w:rPr>
                <w:sz w:val="20"/>
                <w:szCs w:val="20"/>
                <w:color w:val="auto"/>
              </w:rPr>
            </w:pPr>
            <w:r>
              <w:rPr>
                <w:rFonts w:ascii="Arial" w:cs="Arial" w:eastAsia="Arial" w:hAnsi="Arial"/>
                <w:sz w:val="14"/>
                <w:szCs w:val="14"/>
                <w:b w:val="1"/>
                <w:bCs w:val="1"/>
                <w:color w:val="auto"/>
              </w:rPr>
              <w:t>Change</w:t>
            </w:r>
          </w:p>
        </w:tc>
      </w:tr>
      <w:tr>
        <w:trPr>
          <w:trHeight w:val="181"/>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w:t>
            </w:r>
          </w:p>
        </w:tc>
      </w:tr>
      <w:tr>
        <w:trPr>
          <w:trHeight w:val="202"/>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ind w:left="760"/>
              <w:spacing w:after="0"/>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0"/>
              </w:rPr>
              <w:t>(6,230)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(6,087)</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4,257 %</w:t>
            </w:r>
          </w:p>
        </w:tc>
      </w:tr>
      <w:tr>
        <w:trPr>
          <w:trHeight w:val="180"/>
        </w:trPr>
        <w:tc>
          <w:tcPr>
            <w:tcW w:w="492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780"/>
              <w:spacing w:after="0"/>
              <w:rPr>
                <w:sz w:val="20"/>
                <w:szCs w:val="20"/>
                <w:color w:val="auto"/>
              </w:rPr>
            </w:pPr>
            <w:r>
              <w:rPr>
                <w:rFonts w:ascii="Arial" w:cs="Arial" w:eastAsia="Arial" w:hAnsi="Arial"/>
                <w:sz w:val="14"/>
                <w:szCs w:val="14"/>
                <w:color w:val="auto"/>
                <w:w w:val="96"/>
              </w:rPr>
              <w:t>4,768</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4,533</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5 %</w:t>
            </w:r>
          </w:p>
        </w:tc>
      </w:tr>
    </w:tbl>
    <w:p>
      <w:pPr>
        <w:spacing w:after="0" w:line="159" w:lineRule="exact"/>
        <w:rPr>
          <w:sz w:val="20"/>
          <w:szCs w:val="20"/>
          <w:color w:val="auto"/>
        </w:rPr>
      </w:pPr>
    </w:p>
    <w:p>
      <w:pPr>
        <w:ind w:right="100" w:firstLine="508"/>
        <w:spacing w:after="0" w:line="280" w:lineRule="auto"/>
        <w:rPr>
          <w:sz w:val="20"/>
          <w:szCs w:val="20"/>
          <w:color w:val="auto"/>
        </w:rPr>
      </w:pPr>
      <w:r>
        <w:rPr>
          <w:rFonts w:ascii="Arial" w:cs="Arial" w:eastAsia="Arial" w:hAnsi="Arial"/>
          <w:sz w:val="14"/>
          <w:szCs w:val="14"/>
          <w:color w:val="auto"/>
        </w:rPr>
        <w:t>Interest expense consists primarily of interest expense from the amortization of debt issuance costs, contractual interest expense and accretion of debt discount for our Senior Notes issued in January 2021.</w:t>
      </w:r>
    </w:p>
    <w:p>
      <w:pPr>
        <w:spacing w:after="0" w:line="132" w:lineRule="exact"/>
        <w:rPr>
          <w:sz w:val="20"/>
          <w:szCs w:val="20"/>
          <w:color w:val="auto"/>
        </w:rPr>
      </w:pPr>
    </w:p>
    <w:p>
      <w:pPr>
        <w:ind w:right="420" w:firstLine="508"/>
        <w:spacing w:after="0" w:line="280" w:lineRule="auto"/>
        <w:rPr>
          <w:sz w:val="20"/>
          <w:szCs w:val="20"/>
          <w:color w:val="auto"/>
        </w:rPr>
      </w:pPr>
      <w:r>
        <w:rPr>
          <w:rFonts w:ascii="Arial" w:cs="Arial" w:eastAsia="Arial" w:hAnsi="Arial"/>
          <w:sz w:val="14"/>
          <w:szCs w:val="14"/>
          <w:color w:val="auto"/>
        </w:rPr>
        <w:t>The change in other income, net, for the three months ended April 30, 2021 compared to the three months ended April 30, 2020, was primarily due to the fair value adjustments for our strategic investments, offset by the lower interest income earned on our cash, cash equivalents and investments.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shows the provision for income taxes for the three months ended April 30, 2021 as compared to the three months ended April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April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1"/>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w:t>
            </w:r>
          </w:p>
        </w:tc>
      </w:tr>
      <w:tr>
        <w:trPr>
          <w:trHeight w:val="202"/>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ind w:left="760"/>
              <w:spacing w:after="0"/>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49,026</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4,732 %</w:t>
            </w:r>
          </w:p>
        </w:tc>
      </w:tr>
    </w:tbl>
    <w:p>
      <w:pPr>
        <w:spacing w:after="0" w:line="159" w:lineRule="exact"/>
        <w:rPr>
          <w:sz w:val="20"/>
          <w:szCs w:val="20"/>
          <w:color w:val="auto"/>
        </w:rPr>
      </w:pPr>
    </w:p>
    <w:p>
      <w:pPr>
        <w:ind w:right="120" w:firstLine="508"/>
        <w:spacing w:after="0" w:line="280" w:lineRule="auto"/>
        <w:rPr>
          <w:sz w:val="20"/>
          <w:szCs w:val="20"/>
          <w:color w:val="auto"/>
        </w:rPr>
      </w:pPr>
      <w:r>
        <w:rPr>
          <w:rFonts w:ascii="Arial" w:cs="Arial" w:eastAsia="Arial" w:hAnsi="Arial"/>
          <w:sz w:val="14"/>
          <w:szCs w:val="14"/>
          <w:color w:val="auto"/>
        </w:rPr>
        <w:t>The increase in provision for income taxes of $49.0 million during the three months ended April 30, 2021 compared to the three months ended April 30, 2020 was primarily driven by $48.8 million from the intercompany sale of intellectual property from Humio.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Non-GAAP Financial Measures</w:t>
      </w:r>
    </w:p>
    <w:p>
      <w:pPr>
        <w:spacing w:after="0" w:line="182" w:lineRule="exact"/>
        <w:rPr>
          <w:sz w:val="20"/>
          <w:szCs w:val="20"/>
          <w:color w:val="auto"/>
        </w:rPr>
      </w:pPr>
    </w:p>
    <w:p>
      <w:pPr>
        <w:ind w:right="40" w:firstLine="508"/>
        <w:spacing w:after="0" w:line="276" w:lineRule="auto"/>
        <w:rPr>
          <w:sz w:val="20"/>
          <w:szCs w:val="20"/>
          <w:color w:val="auto"/>
        </w:rPr>
      </w:pPr>
      <w:r>
        <w:rPr>
          <w:rFonts w:ascii="Arial" w:cs="Arial" w:eastAsia="Arial" w:hAnsi="Arial"/>
          <w:sz w:val="13"/>
          <w:szCs w:val="13"/>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measures, may be helpful to investors because such measures provide consistency and comparability with past financial performance and,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432435</wp:posOffset>
            </wp:positionV>
            <wp:extent cx="71875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9" w:name="page40"/>
    <w:bookmarkEnd w:id="39"/>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Non-GAAP Subscription Gross Profit and Non-GAAP Subscription Gross Margin</w:t>
      </w:r>
    </w:p>
    <w:p>
      <w:pPr>
        <w:spacing w:after="0" w:line="178" w:lineRule="exact"/>
        <w:rPr>
          <w:sz w:val="20"/>
          <w:szCs w:val="20"/>
          <w:color w:val="auto"/>
        </w:rPr>
      </w:pPr>
    </w:p>
    <w:p>
      <w:pPr>
        <w:ind w:right="40" w:firstLine="508"/>
        <w:spacing w:after="0" w:line="261" w:lineRule="auto"/>
        <w:rPr>
          <w:sz w:val="20"/>
          <w:szCs w:val="20"/>
          <w:color w:val="auto"/>
        </w:rPr>
      </w:pPr>
      <w:r>
        <w:rPr>
          <w:rFonts w:ascii="Arial" w:cs="Arial" w:eastAsia="Arial" w:hAnsi="Arial"/>
          <w:sz w:val="14"/>
          <w:szCs w:val="14"/>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46" w:lineRule="exact"/>
        <w:rPr>
          <w:sz w:val="20"/>
          <w:szCs w:val="20"/>
          <w:color w:val="auto"/>
        </w:rPr>
      </w:pPr>
    </w:p>
    <w:p>
      <w:pPr>
        <w:ind w:right="20" w:firstLine="508"/>
        <w:spacing w:after="0" w:line="280" w:lineRule="auto"/>
        <w:rPr>
          <w:sz w:val="20"/>
          <w:szCs w:val="20"/>
          <w:color w:val="auto"/>
        </w:rPr>
      </w:pPr>
      <w:r>
        <w:rPr>
          <w:rFonts w:ascii="Arial" w:cs="Arial" w:eastAsia="Arial" w:hAnsi="Arial"/>
          <w:sz w:val="14"/>
          <w:szCs w:val="14"/>
          <w:color w:val="auto"/>
        </w:rPr>
        <w:t>The following table presents a reconciliation of our non-GAAP subscription gross profit to our GAAP subscription gross profit and of our non-GAAP subscription gross margin to our GAAP subscription gross margin as of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Three Months Ended April 30,</w:t>
            </w:r>
          </w:p>
        </w:tc>
        <w:tc>
          <w:tcPr>
            <w:tcW w:w="640" w:type="dxa"/>
            <w:vAlign w:val="bottom"/>
            <w:tcBorders>
              <w:bottom w:val="single" w:sz="8" w:color="auto"/>
            </w:tcBorders>
          </w:tcPr>
          <w:p>
            <w:pPr>
              <w:spacing w:after="0"/>
              <w:rPr>
                <w:sz w:val="15"/>
                <w:szCs w:val="15"/>
                <w:color w:val="auto"/>
              </w:rPr>
            </w:pPr>
          </w:p>
        </w:tc>
      </w:tr>
      <w:tr>
        <w:trPr>
          <w:trHeight w:val="171"/>
        </w:trPr>
        <w:tc>
          <w:tcPr>
            <w:tcW w:w="80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r>
      <w:tr>
        <w:trPr>
          <w:trHeight w:val="202"/>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00" w:type="dxa"/>
            <w:vAlign w:val="bottom"/>
            <w:gridSpan w:val="3"/>
          </w:tcPr>
          <w:p>
            <w:pPr>
              <w:jc w:val="right"/>
              <w:ind w:right="269"/>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7"/>
                <w:szCs w:val="17"/>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subscription revenue</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0"/>
              </w:rPr>
              <w:t>281,228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90"/>
              </w:rPr>
              <w:t>162,222</w:t>
            </w:r>
          </w:p>
        </w:tc>
      </w:tr>
      <w:tr>
        <w:trPr>
          <w:trHeight w:val="169"/>
        </w:trPr>
        <w:tc>
          <w:tcPr>
            <w:tcW w:w="8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subscription gross profit</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0"/>
              </w:rPr>
              <w:t>216,325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90"/>
              </w:rPr>
              <w:t>124,978</w:t>
            </w:r>
          </w:p>
        </w:tc>
      </w:tr>
      <w:tr>
        <w:trPr>
          <w:trHeight w:val="180"/>
        </w:trPr>
        <w:tc>
          <w:tcPr>
            <w:tcW w:w="8000" w:type="dxa"/>
            <w:vAlign w:val="bottom"/>
          </w:tcPr>
          <w:p>
            <w:pPr>
              <w:ind w:left="120"/>
              <w:spacing w:after="0"/>
              <w:rPr>
                <w:sz w:val="20"/>
                <w:szCs w:val="20"/>
                <w:color w:val="auto"/>
              </w:rPr>
            </w:pPr>
            <w:r>
              <w:rPr>
                <w:rFonts w:ascii="Arial" w:cs="Arial" w:eastAsia="Arial" w:hAnsi="Arial"/>
                <w:sz w:val="14"/>
                <w:szCs w:val="14"/>
                <w:color w:val="auto"/>
              </w:rPr>
              <w:t>Add: Stock-based compensation expense</w:t>
            </w:r>
          </w:p>
        </w:tc>
        <w:tc>
          <w:tcPr>
            <w:tcW w:w="94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4,285</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1,995</w:t>
            </w:r>
          </w:p>
        </w:tc>
      </w:tr>
      <w:tr>
        <w:trPr>
          <w:trHeight w:val="180"/>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 Amortization of acquired intangible assets</w:t>
            </w:r>
          </w:p>
        </w:tc>
        <w:tc>
          <w:tcPr>
            <w:tcW w:w="9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1,995</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62</w:t>
            </w:r>
          </w:p>
        </w:tc>
      </w:tr>
      <w:tr>
        <w:trPr>
          <w:trHeight w:val="171"/>
        </w:trPr>
        <w:tc>
          <w:tcPr>
            <w:tcW w:w="8000" w:type="dxa"/>
            <w:vAlign w:val="bottom"/>
          </w:tcPr>
          <w:p>
            <w:pPr>
              <w:ind w:left="20"/>
              <w:spacing w:after="0"/>
              <w:rPr>
                <w:sz w:val="20"/>
                <w:szCs w:val="20"/>
                <w:color w:val="auto"/>
              </w:rPr>
            </w:pPr>
            <w:r>
              <w:rPr>
                <w:rFonts w:ascii="Arial" w:cs="Arial" w:eastAsia="Arial" w:hAnsi="Arial"/>
                <w:sz w:val="14"/>
                <w:szCs w:val="14"/>
                <w:color w:val="auto"/>
              </w:rPr>
              <w:t>Non-GAAP subscription gross profit</w:t>
            </w: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90"/>
              </w:rPr>
              <w:t>222,605</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90"/>
              </w:rPr>
              <w:t>127,035</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30"/>
        </w:trPr>
        <w:tc>
          <w:tcPr>
            <w:tcW w:w="8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80"/>
        </w:trPr>
        <w:tc>
          <w:tcPr>
            <w:tcW w:w="8000" w:type="dxa"/>
            <w:vAlign w:val="bottom"/>
          </w:tcPr>
          <w:p>
            <w:pPr>
              <w:ind w:left="20"/>
              <w:spacing w:after="0"/>
              <w:rPr>
                <w:sz w:val="20"/>
                <w:szCs w:val="20"/>
                <w:color w:val="auto"/>
              </w:rPr>
            </w:pPr>
            <w:r>
              <w:rPr>
                <w:rFonts w:ascii="Arial" w:cs="Arial" w:eastAsia="Arial" w:hAnsi="Arial"/>
                <w:sz w:val="14"/>
                <w:szCs w:val="14"/>
                <w:color w:val="auto"/>
              </w:rPr>
              <w:t>GAAP subscription gross margin</w:t>
            </w:r>
          </w:p>
        </w:tc>
        <w:tc>
          <w:tcPr>
            <w:tcW w:w="9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77 %</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77 %</w:t>
            </w:r>
          </w:p>
        </w:tc>
      </w:tr>
      <w:tr>
        <w:trPr>
          <w:trHeight w:val="169"/>
        </w:trPr>
        <w:tc>
          <w:tcPr>
            <w:tcW w:w="80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0"/>
        </w:trPr>
        <w:tc>
          <w:tcPr>
            <w:tcW w:w="8000" w:type="dxa"/>
            <w:vAlign w:val="bottom"/>
          </w:tcPr>
          <w:p>
            <w:pPr>
              <w:ind w:left="20"/>
              <w:spacing w:after="0"/>
              <w:rPr>
                <w:sz w:val="20"/>
                <w:szCs w:val="20"/>
                <w:color w:val="auto"/>
              </w:rPr>
            </w:pPr>
            <w:r>
              <w:rPr>
                <w:rFonts w:ascii="Arial" w:cs="Arial" w:eastAsia="Arial" w:hAnsi="Arial"/>
                <w:sz w:val="14"/>
                <w:szCs w:val="14"/>
                <w:color w:val="auto"/>
              </w:rPr>
              <w:t>Non-GAAP subscription gross margin</w:t>
            </w:r>
          </w:p>
        </w:tc>
        <w:tc>
          <w:tcPr>
            <w:tcW w:w="9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79 %</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78 %</w:t>
            </w: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Non-GAAP Income from Operations and Non-GAAP Operating Margin</w:t>
      </w:r>
    </w:p>
    <w:p>
      <w:pPr>
        <w:spacing w:after="0" w:line="178" w:lineRule="exact"/>
        <w:rPr>
          <w:sz w:val="20"/>
          <w:szCs w:val="20"/>
          <w:color w:val="auto"/>
        </w:rPr>
      </w:pPr>
    </w:p>
    <w:p>
      <w:pPr>
        <w:ind w:right="20" w:firstLine="508"/>
        <w:spacing w:after="0" w:line="261" w:lineRule="auto"/>
        <w:rPr>
          <w:sz w:val="20"/>
          <w:szCs w:val="20"/>
          <w:color w:val="auto"/>
        </w:rPr>
      </w:pPr>
      <w:r>
        <w:rPr>
          <w:rFonts w:ascii="Arial" w:cs="Arial" w:eastAsia="Arial" w:hAnsi="Arial"/>
          <w:sz w:val="14"/>
          <w:szCs w:val="14"/>
          <w:color w:val="auto"/>
        </w:rPr>
        <w:t>We define non-GAAP income from operations and non-GAAP operating margin as GAAP loss from operations and GAAP operating margin, respectively, excluding stock-based compensation expense, amortization of acquired intangible assets, and acquisition-related expenses. We believe non-GAAP income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146" w:lineRule="exact"/>
        <w:rPr>
          <w:sz w:val="20"/>
          <w:szCs w:val="20"/>
          <w:color w:val="auto"/>
        </w:rPr>
      </w:pPr>
    </w:p>
    <w:p>
      <w:pPr>
        <w:ind w:right="340" w:firstLine="508"/>
        <w:spacing w:after="0" w:line="280" w:lineRule="auto"/>
        <w:rPr>
          <w:sz w:val="20"/>
          <w:szCs w:val="20"/>
          <w:color w:val="auto"/>
        </w:rPr>
      </w:pPr>
      <w:r>
        <w:rPr>
          <w:rFonts w:ascii="Arial" w:cs="Arial" w:eastAsia="Arial" w:hAnsi="Arial"/>
          <w:sz w:val="14"/>
          <w:szCs w:val="14"/>
          <w:color w:val="auto"/>
        </w:rPr>
        <w:t>The following table presents a reconciliation of our non-GAAP income from operations to our GAAP loss from operations and our non-GAAP operating margin to our GAAP operating margin as of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Three Months Ended April 30,</w:t>
            </w:r>
          </w:p>
        </w:tc>
        <w:tc>
          <w:tcPr>
            <w:tcW w:w="640" w:type="dxa"/>
            <w:vAlign w:val="bottom"/>
            <w:tcBorders>
              <w:bottom w:val="single" w:sz="8" w:color="auto"/>
            </w:tcBorders>
          </w:tcPr>
          <w:p>
            <w:pPr>
              <w:spacing w:after="0"/>
              <w:rPr>
                <w:sz w:val="15"/>
                <w:szCs w:val="15"/>
                <w:color w:val="auto"/>
              </w:rPr>
            </w:pPr>
          </w:p>
        </w:tc>
      </w:tr>
      <w:tr>
        <w:trPr>
          <w:trHeight w:val="171"/>
        </w:trPr>
        <w:tc>
          <w:tcPr>
            <w:tcW w:w="80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r>
      <w:tr>
        <w:trPr>
          <w:trHeight w:val="202"/>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00" w:type="dxa"/>
            <w:vAlign w:val="bottom"/>
            <w:gridSpan w:val="3"/>
          </w:tcPr>
          <w:p>
            <w:pPr>
              <w:jc w:val="right"/>
              <w:ind w:right="269"/>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7"/>
                <w:szCs w:val="17"/>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total revenue</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0"/>
              </w:rPr>
              <w:t>302,843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90"/>
              </w:rPr>
              <w:t>178,078</w:t>
            </w:r>
          </w:p>
        </w:tc>
      </w:tr>
      <w:tr>
        <w:trPr>
          <w:trHeight w:val="169"/>
        </w:trPr>
        <w:tc>
          <w:tcPr>
            <w:tcW w:w="8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loss from operations</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5"/>
              </w:rPr>
              <w:t>(31,347)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1"/>
              </w:rPr>
              <w:t>(22,576)</w:t>
            </w:r>
          </w:p>
        </w:tc>
      </w:tr>
      <w:tr>
        <w:trPr>
          <w:trHeight w:val="180"/>
        </w:trPr>
        <w:tc>
          <w:tcPr>
            <w:tcW w:w="8000" w:type="dxa"/>
            <w:vAlign w:val="bottom"/>
          </w:tcPr>
          <w:p>
            <w:pPr>
              <w:ind w:left="120"/>
              <w:spacing w:after="0"/>
              <w:rPr>
                <w:sz w:val="20"/>
                <w:szCs w:val="20"/>
                <w:color w:val="auto"/>
              </w:rPr>
            </w:pPr>
            <w:r>
              <w:rPr>
                <w:rFonts w:ascii="Arial" w:cs="Arial" w:eastAsia="Arial" w:hAnsi="Arial"/>
                <w:sz w:val="14"/>
                <w:szCs w:val="14"/>
                <w:color w:val="auto"/>
              </w:rPr>
              <w:t>Add: Stock-based compensation expense</w:t>
            </w:r>
          </w:p>
        </w:tc>
        <w:tc>
          <w:tcPr>
            <w:tcW w:w="94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54,362</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23,638</w:t>
            </w:r>
          </w:p>
        </w:tc>
      </w:tr>
      <w:tr>
        <w:trPr>
          <w:trHeight w:val="180"/>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 Amortization of acquired intangible assets</w:t>
            </w: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2,417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103</w:t>
            </w:r>
          </w:p>
        </w:tc>
      </w:tr>
      <w:tr>
        <w:trPr>
          <w:trHeight w:val="180"/>
        </w:trPr>
        <w:tc>
          <w:tcPr>
            <w:tcW w:w="8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Add: Acquisition-related expenses</w:t>
            </w:r>
          </w:p>
        </w:tc>
        <w:tc>
          <w:tcPr>
            <w:tcW w:w="9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4,345</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r>
      <w:tr>
        <w:trPr>
          <w:trHeight w:val="19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Non-GAAP income from operations</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29,777</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1,165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0"/>
        </w:trPr>
        <w:tc>
          <w:tcPr>
            <w:tcW w:w="8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operating margin</w:t>
            </w: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69"/>
        </w:trPr>
        <w:tc>
          <w:tcPr>
            <w:tcW w:w="8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operating margin</w:t>
            </w: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805"/>
        </w:trPr>
        <w:tc>
          <w:tcPr>
            <w:tcW w:w="8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0" w:name="page41"/>
    <w:bookmarkEnd w:id="4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Free Cash Flow and Free Cash Flow Margin</w:t>
      </w:r>
    </w:p>
    <w:p>
      <w:pPr>
        <w:spacing w:after="0" w:line="178" w:lineRule="exact"/>
        <w:rPr>
          <w:sz w:val="20"/>
          <w:szCs w:val="20"/>
          <w:color w:val="auto"/>
        </w:rPr>
      </w:pPr>
    </w:p>
    <w:p>
      <w:pPr>
        <w:ind w:right="140" w:firstLine="508"/>
        <w:spacing w:after="0" w:line="257" w:lineRule="auto"/>
        <w:rPr>
          <w:sz w:val="20"/>
          <w:szCs w:val="20"/>
          <w:color w:val="auto"/>
        </w:rPr>
      </w:pPr>
      <w:r>
        <w:rPr>
          <w:rFonts w:ascii="Arial" w:cs="Arial" w:eastAsia="Arial" w:hAnsi="Arial"/>
          <w:sz w:val="14"/>
          <w:szCs w:val="14"/>
          <w:color w:val="auto"/>
        </w:rPr>
        <w:t>Free cash flow is a non-GAAP financial measure that we define as net cash provided by (used in) operating activities less purchases of property and equipment and capitalized internal-use software and website development. Free cash flow margin is calculated as free cash flow divided by total revenue. We believe that free cash flow and free cash flow margin are useful indicators of liquidity that provide useful information to management and investors about the amount of cash consumed by our operating activities that is therefore not available to be used for other strategic initiatives. One limitation of free cash flow and free cash flow margin is that they do not reflect our future contractual commitments. Additionally, free cash flow does not represent the total increase or decrease in our cash balance for a given period. In addition, other companies may calculate free cash flow differently or not at all, which reduces the usefulness of free cash flow as a tool for comparison.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a reconciliation of free cash flow and free cash flow margin to net cash provided by (used in) operating activities: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4"/>
                <w:szCs w:val="14"/>
                <w:b w:val="1"/>
                <w:bCs w:val="1"/>
                <w:color w:val="auto"/>
              </w:rPr>
              <w:t>Three Months Ended April 30,</w:t>
            </w:r>
          </w:p>
        </w:tc>
      </w:tr>
      <w:tr>
        <w:trPr>
          <w:trHeight w:val="171"/>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w w:val="89"/>
              </w:rPr>
              <w:t>2020</w:t>
            </w:r>
          </w:p>
        </w:tc>
      </w:tr>
      <w:tr>
        <w:trPr>
          <w:trHeight w:val="202"/>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7"/>
                <w:szCs w:val="17"/>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total revenue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302,843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178,078</w:t>
            </w:r>
          </w:p>
        </w:tc>
      </w:tr>
      <w:tr>
        <w:trPr>
          <w:trHeight w:val="212"/>
        </w:trPr>
        <w:tc>
          <w:tcPr>
            <w:tcW w:w="8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cash provided by operating activities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147,533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98,577</w:t>
            </w:r>
          </w:p>
        </w:tc>
      </w:tr>
      <w:tr>
        <w:trPr>
          <w:trHeight w:val="180"/>
        </w:trPr>
        <w:tc>
          <w:tcPr>
            <w:tcW w:w="8000" w:type="dxa"/>
            <w:vAlign w:val="bottom"/>
          </w:tcPr>
          <w:p>
            <w:pPr>
              <w:ind w:left="120"/>
              <w:spacing w:after="0"/>
              <w:rPr>
                <w:sz w:val="20"/>
                <w:szCs w:val="20"/>
                <w:color w:val="auto"/>
              </w:rPr>
            </w:pPr>
            <w:r>
              <w:rPr>
                <w:rFonts w:ascii="Arial" w:cs="Arial" w:eastAsia="Arial" w:hAnsi="Arial"/>
                <w:sz w:val="14"/>
                <w:szCs w:val="14"/>
                <w:color w:val="auto"/>
              </w:rPr>
              <w:t>Less: Purchases of property and equipment</w:t>
            </w:r>
          </w:p>
        </w:tc>
        <w:tc>
          <w:tcPr>
            <w:tcW w:w="360" w:type="dxa"/>
            <w:vAlign w:val="bottom"/>
          </w:tcPr>
          <w:p>
            <w:pPr>
              <w:spacing w:after="0"/>
              <w:rPr>
                <w:sz w:val="15"/>
                <w:szCs w:val="15"/>
                <w:color w:val="auto"/>
              </w:rPr>
            </w:pP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(25,796)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(9,694)</w:t>
            </w:r>
          </w:p>
        </w:tc>
      </w:tr>
      <w:tr>
        <w:trPr>
          <w:trHeight w:val="180"/>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Capitalized internal-use software and website development</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(4,434)</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(1,882)</w:t>
            </w:r>
          </w:p>
        </w:tc>
      </w:tr>
      <w:tr>
        <w:trPr>
          <w:trHeight w:val="171"/>
        </w:trPr>
        <w:tc>
          <w:tcPr>
            <w:tcW w:w="800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117,303</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87,001</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3"/>
        </w:trPr>
        <w:tc>
          <w:tcPr>
            <w:tcW w:w="8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8000" w:type="dxa"/>
            <w:vAlign w:val="bottom"/>
          </w:tcPr>
          <w:p>
            <w:pPr>
              <w:ind w:left="20"/>
              <w:spacing w:after="0"/>
              <w:rPr>
                <w:sz w:val="20"/>
                <w:szCs w:val="20"/>
                <w:color w:val="auto"/>
              </w:rPr>
            </w:pPr>
            <w:r>
              <w:rPr>
                <w:rFonts w:ascii="Arial" w:cs="Arial" w:eastAsia="Arial" w:hAnsi="Arial"/>
                <w:sz w:val="14"/>
                <w:szCs w:val="14"/>
                <w:color w:val="auto"/>
              </w:rPr>
              <w:t>GAAP net cash (used in) provided by investing activities</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(384,946)</w:t>
            </w:r>
          </w:p>
        </w:tc>
        <w:tc>
          <w:tcPr>
            <w:tcW w:w="80" w:type="dxa"/>
            <w:vAlign w:val="bottom"/>
          </w:tcPr>
          <w:p>
            <w:pPr>
              <w:spacing w:after="0"/>
              <w:rPr>
                <w:sz w:val="15"/>
                <w:szCs w:val="15"/>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634,711</w:t>
            </w:r>
          </w:p>
        </w:tc>
      </w:tr>
      <w:tr>
        <w:trPr>
          <w:trHeight w:val="18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cash provided by financing activities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2,609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6,893</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cash provided by operating activities as a percentage of revenue</w:t>
            </w:r>
          </w:p>
        </w:tc>
        <w:tc>
          <w:tcPr>
            <w:tcW w:w="29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rPr>
              <w:t>49 %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r>
      <w:tr>
        <w:trPr>
          <w:trHeight w:val="180"/>
        </w:trPr>
        <w:tc>
          <w:tcPr>
            <w:tcW w:w="7300" w:type="dxa"/>
            <w:vAlign w:val="bottom"/>
          </w:tcPr>
          <w:p>
            <w:pPr>
              <w:ind w:left="120"/>
              <w:spacing w:after="0"/>
              <w:rPr>
                <w:sz w:val="20"/>
                <w:szCs w:val="20"/>
                <w:color w:val="auto"/>
              </w:rPr>
            </w:pPr>
            <w:r>
              <w:rPr>
                <w:rFonts w:ascii="Arial" w:cs="Arial" w:eastAsia="Arial" w:hAnsi="Arial"/>
                <w:sz w:val="14"/>
                <w:szCs w:val="14"/>
                <w:color w:val="auto"/>
              </w:rPr>
              <w:t>Less: Purchases of property and equipment as a percentage of revenue</w:t>
            </w:r>
          </w:p>
        </w:tc>
        <w:tc>
          <w:tcPr>
            <w:tcW w:w="2980" w:type="dxa"/>
            <w:vAlign w:val="bottom"/>
          </w:tcPr>
          <w:p>
            <w:pPr>
              <w:jc w:val="right"/>
              <w:ind w:right="629"/>
              <w:spacing w:after="0"/>
              <w:rPr>
                <w:sz w:val="20"/>
                <w:szCs w:val="20"/>
                <w:color w:val="auto"/>
              </w:rPr>
            </w:pPr>
            <w:r>
              <w:rPr>
                <w:rFonts w:ascii="Arial" w:cs="Arial" w:eastAsia="Arial" w:hAnsi="Arial"/>
                <w:sz w:val="14"/>
                <w:szCs w:val="14"/>
                <w:color w:val="auto"/>
              </w:rPr>
              <w:t>(9)%</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7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Capitalized internal-use software and website development as a percentage of revenue</w:t>
            </w:r>
          </w:p>
        </w:tc>
        <w:tc>
          <w:tcPr>
            <w:tcW w:w="2980" w:type="dxa"/>
            <w:vAlign w:val="bottom"/>
            <w:shd w:val="clear" w:color="auto" w:fill="CCEEFF"/>
          </w:tcPr>
          <w:p>
            <w:pPr>
              <w:jc w:val="right"/>
              <w:ind w:right="629"/>
              <w:spacing w:after="0"/>
              <w:rPr>
                <w:sz w:val="20"/>
                <w:szCs w:val="20"/>
                <w:color w:val="auto"/>
              </w:rPr>
            </w:pPr>
            <w:r>
              <w:rPr>
                <w:rFonts w:ascii="Arial" w:cs="Arial" w:eastAsia="Arial" w:hAnsi="Arial"/>
                <w:sz w:val="14"/>
                <w:szCs w:val="14"/>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Free cash flow margin</w:t>
            </w:r>
          </w:p>
        </w:tc>
        <w:tc>
          <w:tcPr>
            <w:tcW w:w="2980" w:type="dxa"/>
            <w:vAlign w:val="bottom"/>
          </w:tcPr>
          <w:p>
            <w:pPr>
              <w:jc w:val="right"/>
              <w:ind w:right="629"/>
              <w:spacing w:after="0"/>
              <w:rPr>
                <w:sz w:val="20"/>
                <w:szCs w:val="20"/>
                <w:color w:val="auto"/>
              </w:rPr>
            </w:pPr>
            <w:r>
              <w:rPr>
                <w:rFonts w:ascii="Arial" w:cs="Arial" w:eastAsia="Arial" w:hAnsi="Arial"/>
                <w:sz w:val="14"/>
                <w:szCs w:val="14"/>
                <w:color w:val="auto"/>
              </w:rPr>
              <w:t>39 %</w:t>
            </w:r>
          </w:p>
        </w:tc>
        <w:tc>
          <w:tcPr>
            <w:tcW w:w="1000" w:type="dxa"/>
            <w:vAlign w:val="bottom"/>
          </w:tcPr>
          <w:p>
            <w:pPr>
              <w:jc w:val="right"/>
              <w:spacing w:after="0"/>
              <w:rPr>
                <w:sz w:val="20"/>
                <w:szCs w:val="20"/>
                <w:color w:val="auto"/>
              </w:rPr>
            </w:pPr>
            <w:r>
              <w:rPr>
                <w:rFonts w:ascii="Arial" w:cs="Arial" w:eastAsia="Arial" w:hAnsi="Arial"/>
                <w:sz w:val="14"/>
                <w:szCs w:val="14"/>
                <w:color w:val="auto"/>
              </w:rPr>
              <w:t>49 %</w:t>
            </w: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Liquidity and Capital Resources</w:t>
      </w:r>
    </w:p>
    <w:p>
      <w:pPr>
        <w:spacing w:after="0" w:line="182" w:lineRule="exact"/>
        <w:rPr>
          <w:sz w:val="20"/>
          <w:szCs w:val="20"/>
          <w:color w:val="auto"/>
        </w:rPr>
      </w:pPr>
    </w:p>
    <w:p>
      <w:pPr>
        <w:ind w:right="240" w:firstLine="508"/>
        <w:spacing w:after="0" w:line="280" w:lineRule="auto"/>
        <w:rPr>
          <w:sz w:val="20"/>
          <w:szCs w:val="20"/>
          <w:color w:val="auto"/>
        </w:rPr>
      </w:pPr>
      <w:r>
        <w:rPr>
          <w:rFonts w:ascii="Arial" w:cs="Arial" w:eastAsia="Arial" w:hAnsi="Arial"/>
          <w:sz w:val="14"/>
          <w:szCs w:val="14"/>
          <w:color w:val="auto"/>
        </w:rPr>
        <w:t>In January 2021, we issued and sold an aggregate principal amount of $750.0 million of 3.000% Senior Notes due 2029. The net proceeds from the debt offering were $738.0 million after deducting the underwriting commissions of $9.4 million and $2.6 million of issuance costs, which were paid as of April 30, 2021.</w:t>
      </w:r>
    </w:p>
    <w:p>
      <w:pPr>
        <w:spacing w:after="0" w:line="132" w:lineRule="exact"/>
        <w:rPr>
          <w:sz w:val="20"/>
          <w:szCs w:val="20"/>
          <w:color w:val="auto"/>
        </w:rPr>
      </w:pPr>
    </w:p>
    <w:p>
      <w:pPr>
        <w:jc w:val="both"/>
        <w:ind w:right="140" w:firstLine="508"/>
        <w:spacing w:after="0" w:line="266" w:lineRule="auto"/>
        <w:rPr>
          <w:sz w:val="20"/>
          <w:szCs w:val="20"/>
          <w:color w:val="auto"/>
        </w:rPr>
      </w:pPr>
      <w:r>
        <w:rPr>
          <w:rFonts w:ascii="Arial" w:cs="Arial" w:eastAsia="Arial" w:hAnsi="Arial"/>
          <w:sz w:val="14"/>
          <w:szCs w:val="14"/>
          <w:color w:val="auto"/>
        </w:rPr>
        <w:t>In January 2021, we amended and restated our existing senior secured revolving credit facility and increased the size of the credit facility from $150.0 million to $750.0 million, including a letter of credit sub-facility in the aggregate amount of $100.0 million, and a swingline sub-facility in the aggregate amount of $50.0 million. No amounts were outstanding under the credit facility as of April 30, 2021.</w:t>
      </w:r>
    </w:p>
    <w:p>
      <w:pPr>
        <w:spacing w:after="0" w:line="142" w:lineRule="exact"/>
        <w:rPr>
          <w:sz w:val="20"/>
          <w:szCs w:val="20"/>
          <w:color w:val="auto"/>
        </w:rPr>
      </w:pPr>
    </w:p>
    <w:p>
      <w:pPr>
        <w:jc w:val="both"/>
        <w:ind w:right="420" w:firstLine="508"/>
        <w:spacing w:after="0" w:line="261" w:lineRule="auto"/>
        <w:rPr>
          <w:sz w:val="20"/>
          <w:szCs w:val="20"/>
          <w:color w:val="auto"/>
        </w:rPr>
      </w:pPr>
      <w:r>
        <w:rPr>
          <w:rFonts w:ascii="Arial" w:cs="Arial" w:eastAsia="Arial" w:hAnsi="Arial"/>
          <w:sz w:val="14"/>
          <w:szCs w:val="14"/>
          <w:color w:val="auto"/>
        </w:rPr>
        <w:t>As of April 30, 2021, we had cash and cash equivalents, consisting of highly liquid money market funds, of $1.7 billion. During the first quarter of fiscal 2021, we liquidated our entire portfolio of marketable securities largely in response to the global economic uncertainty in conjunction with the COVID-19 pandemic. This resulted in the recognition of a realized gain of $1.3 million during the three months ended April 30, 2020. We expect that our existing cash and cash equivalents will be sufficient to meet our anticipated cash needs for working capital and capital expenditures for at least the next 12 months.</w:t>
      </w:r>
    </w:p>
    <w:p>
      <w:pPr>
        <w:spacing w:after="0" w:line="146" w:lineRule="exact"/>
        <w:rPr>
          <w:sz w:val="20"/>
          <w:szCs w:val="20"/>
          <w:color w:val="auto"/>
        </w:rPr>
      </w:pPr>
    </w:p>
    <w:p>
      <w:pPr>
        <w:jc w:val="both"/>
        <w:ind w:right="60" w:firstLine="508"/>
        <w:spacing w:after="0" w:line="266" w:lineRule="auto"/>
        <w:rPr>
          <w:sz w:val="20"/>
          <w:szCs w:val="20"/>
          <w:color w:val="auto"/>
        </w:rPr>
      </w:pPr>
      <w:r>
        <w:rPr>
          <w:rFonts w:ascii="Arial" w:cs="Arial" w:eastAsia="Arial" w:hAnsi="Arial"/>
          <w:sz w:val="14"/>
          <w:szCs w:val="14"/>
          <w:color w:val="auto"/>
        </w:rPr>
        <w:t>Since our inception, we have generated operating losses, as reflected in our accumulated deficit of $815.2 million as of April 30, 2021.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1" w:name="page42"/>
    <w:bookmarkEnd w:id="41"/>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508"/>
        <w:spacing w:after="0" w:line="261" w:lineRule="auto"/>
        <w:rPr>
          <w:sz w:val="20"/>
          <w:szCs w:val="20"/>
          <w:color w:val="auto"/>
        </w:rPr>
      </w:pPr>
      <w:r>
        <w:rPr>
          <w:rFonts w:ascii="Arial" w:cs="Arial" w:eastAsia="Arial" w:hAnsi="Arial"/>
          <w:sz w:val="14"/>
          <w:szCs w:val="14"/>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April 30, 2021, we had deferred revenue of $1.0 billion, of which $786.8 million was recorded as a current liability and is expected to be recorded as revenue in the next 12 months, provided all other revenue recognition criteria have been met.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0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Cash Flows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39"/>
        </w:trPr>
        <w:tc>
          <w:tcPr>
            <w:tcW w:w="8200" w:type="dxa"/>
            <w:vAlign w:val="bottom"/>
          </w:tcPr>
          <w:p>
            <w:pPr>
              <w:ind w:left="520"/>
              <w:spacing w:after="0"/>
              <w:rPr>
                <w:sz w:val="20"/>
                <w:szCs w:val="20"/>
                <w:color w:val="auto"/>
              </w:rPr>
            </w:pPr>
            <w:r>
              <w:rPr>
                <w:rFonts w:ascii="Arial" w:cs="Arial" w:eastAsia="Arial" w:hAnsi="Arial"/>
                <w:sz w:val="14"/>
                <w:szCs w:val="14"/>
                <w:color w:val="auto"/>
              </w:rPr>
              <w:t>The following table summarizes our cash flows for the periods presented:</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6"/>
        </w:trPr>
        <w:tc>
          <w:tcPr>
            <w:tcW w:w="8200" w:type="dxa"/>
            <w:vAlign w:val="bottom"/>
          </w:tcPr>
          <w:p>
            <w:pPr>
              <w:spacing w:after="0"/>
              <w:rPr>
                <w:sz w:val="24"/>
                <w:szCs w:val="24"/>
                <w:color w:val="auto"/>
              </w:rPr>
            </w:pPr>
          </w:p>
        </w:tc>
        <w:tc>
          <w:tcPr>
            <w:tcW w:w="25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5"/>
              </w:rPr>
              <w:t>Three Months Ended April 30,</w:t>
            </w:r>
          </w:p>
        </w:tc>
        <w:tc>
          <w:tcPr>
            <w:tcW w:w="560" w:type="dxa"/>
            <w:vAlign w:val="bottom"/>
            <w:tcBorders>
              <w:bottom w:val="single" w:sz="8" w:color="auto"/>
            </w:tcBorders>
          </w:tcPr>
          <w:p>
            <w:pPr>
              <w:spacing w:after="0"/>
              <w:rPr>
                <w:sz w:val="24"/>
                <w:szCs w:val="24"/>
                <w:color w:val="auto"/>
              </w:rPr>
            </w:pPr>
          </w:p>
        </w:tc>
      </w:tr>
      <w:tr>
        <w:trPr>
          <w:trHeight w:val="171"/>
        </w:trPr>
        <w:tc>
          <w:tcPr>
            <w:tcW w:w="8200" w:type="dxa"/>
            <w:vAlign w:val="bottom"/>
          </w:tcPr>
          <w:p>
            <w:pPr>
              <w:spacing w:after="0"/>
              <w:rPr>
                <w:sz w:val="14"/>
                <w:szCs w:val="14"/>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89"/>
              </w:rPr>
              <w:t>2021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r>
      <w:tr>
        <w:trPr>
          <w:trHeight w:val="202"/>
        </w:trPr>
        <w:tc>
          <w:tcPr>
            <w:tcW w:w="8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gridSpan w:val="3"/>
          </w:tcPr>
          <w:p>
            <w:pPr>
              <w:jc w:val="right"/>
              <w:ind w:right="469"/>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147,533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98,577</w:t>
            </w: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(384,946)</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634,711</w:t>
            </w: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6,893</w:t>
            </w:r>
          </w:p>
        </w:tc>
      </w:tr>
    </w:tbl>
    <w:p>
      <w:pPr>
        <w:spacing w:after="0" w:line="15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78" w:lineRule="exact"/>
        <w:rPr>
          <w:sz w:val="20"/>
          <w:szCs w:val="20"/>
          <w:color w:val="auto"/>
        </w:rPr>
      </w:pPr>
    </w:p>
    <w:p>
      <w:pPr>
        <w:ind w:firstLine="508"/>
        <w:spacing w:after="0" w:line="279" w:lineRule="auto"/>
        <w:rPr>
          <w:sz w:val="20"/>
          <w:szCs w:val="20"/>
          <w:color w:val="auto"/>
        </w:rPr>
      </w:pPr>
      <w:r>
        <w:rPr>
          <w:rFonts w:ascii="Arial" w:cs="Arial" w:eastAsia="Arial" w:hAnsi="Arial"/>
          <w:sz w:val="13"/>
          <w:szCs w:val="13"/>
          <w:color w:val="auto"/>
        </w:rPr>
        <w:t>Net cash provided by operating activities during the three months ended April 30, 2021 was $147.5 million, which resulted from a net loss of $82.9 million, adjusted for non-cash charges of $91.8 million and net cash inflow of $138.6 million from changes in operating assets and liabilities. Non-cash charges primarily consisted of $54.4 million in stock-based compensation expense, $24.4 million of amortization of deferred contract acquisition costs, $12.0 million of depreciation and amortization, $2.4 million of amortization for intangibles assets and $2.2 million of non-cash operating lease costs, offset by $4.4 million change in fair value of strategic investments. The net cash inflow from changes in operating assets and liabilities was primarily due to a $109.4 million increase in deferred revenue, a $31.5 million decrease in accounts receivable, a $29.2 million increase in accrued expenses and other current liabilities, a $12.8 million increase in other liabilities, and a $6.0 million increase in accrued payroll and benefits, partially offset by $36.4 million increase in deferred contract acquisition costs, a $10.6 million decrease in accounts payable, a $6.0 million increase in prepaid expenses and other assets and a $2.6 million decrease from operating lease liabilities.</w:t>
      </w:r>
    </w:p>
    <w:p>
      <w:pPr>
        <w:spacing w:after="0" w:line="138" w:lineRule="exact"/>
        <w:rPr>
          <w:sz w:val="20"/>
          <w:szCs w:val="20"/>
          <w:color w:val="auto"/>
        </w:rPr>
      </w:pPr>
    </w:p>
    <w:p>
      <w:pPr>
        <w:ind w:right="60" w:firstLine="508"/>
        <w:spacing w:after="0" w:line="287" w:lineRule="auto"/>
        <w:rPr>
          <w:sz w:val="20"/>
          <w:szCs w:val="20"/>
          <w:color w:val="auto"/>
        </w:rPr>
      </w:pPr>
      <w:r>
        <w:rPr>
          <w:rFonts w:ascii="Arial" w:cs="Arial" w:eastAsia="Arial" w:hAnsi="Arial"/>
          <w:sz w:val="13"/>
          <w:szCs w:val="13"/>
          <w:color w:val="auto"/>
        </w:rPr>
        <w:t>Net cash provided by operating activities during the three months ended April 30, 2020 was $98.6 million, which resulted from a net loss of $19.2 million, adjusted for non-cash charges of $47.2 million and net cash inflow of $70.6 million from changes in operating assets and liabilities. Non-cash charges primarily consisted of $23.6 million in stock-based compensation expense, $13.5 million of amortization of deferred contract acquisition costs, and $8.2 million of depreciation and amortization. The net cash inflow from changes in operating assets and liabilities was primarily due to a $64.8 million increase in deferred revenue and a $20.7 million decrease in accounts receivable, partially offset by a $22.6 million increase in deferred contract acquisition costs.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78" w:lineRule="exact"/>
        <w:rPr>
          <w:sz w:val="20"/>
          <w:szCs w:val="20"/>
          <w:color w:val="auto"/>
        </w:rPr>
      </w:pPr>
    </w:p>
    <w:p>
      <w:pPr>
        <w:ind w:right="180" w:firstLine="508"/>
        <w:spacing w:after="0" w:line="280" w:lineRule="auto"/>
        <w:rPr>
          <w:sz w:val="20"/>
          <w:szCs w:val="20"/>
          <w:color w:val="auto"/>
        </w:rPr>
      </w:pPr>
      <w:r>
        <w:rPr>
          <w:rFonts w:ascii="Arial" w:cs="Arial" w:eastAsia="Arial" w:hAnsi="Arial"/>
          <w:sz w:val="14"/>
          <w:szCs w:val="14"/>
          <w:color w:val="auto"/>
        </w:rPr>
        <w:t>Net cash used in investing activities during the three months ended April 30, 2021 of $384.9 million was primarily due to the acquisition of Humio, net of cash acquired, of $353.4 million, purchases of property and equipment of $25.8 million and capitalized internal-use software and website development of $4.4 million.</w:t>
      </w:r>
    </w:p>
    <w:p>
      <w:pPr>
        <w:spacing w:after="0" w:line="132" w:lineRule="exact"/>
        <w:rPr>
          <w:sz w:val="20"/>
          <w:szCs w:val="20"/>
          <w:color w:val="auto"/>
        </w:rPr>
      </w:pPr>
    </w:p>
    <w:p>
      <w:pPr>
        <w:ind w:firstLine="508"/>
        <w:spacing w:after="0" w:line="320" w:lineRule="auto"/>
        <w:rPr>
          <w:sz w:val="20"/>
          <w:szCs w:val="20"/>
          <w:color w:val="auto"/>
        </w:rPr>
      </w:pPr>
      <w:r>
        <w:rPr>
          <w:rFonts w:ascii="Arial" w:cs="Arial" w:eastAsia="Arial" w:hAnsi="Arial"/>
          <w:sz w:val="13"/>
          <w:szCs w:val="13"/>
          <w:color w:val="auto"/>
        </w:rPr>
        <w:t>Net cash used in investing activities during the three months ended April 30, 2020 of $634.7 million was primarily due to the sale of marketable securities of $639.6 million and the maturities of marketable securities of $91.6 million, partially offset by purchases of marketable securities of $84.9 million and purchases of property and equipment of $9.7 million.</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78" w:lineRule="exact"/>
        <w:rPr>
          <w:sz w:val="20"/>
          <w:szCs w:val="20"/>
          <w:color w:val="auto"/>
        </w:rPr>
      </w:pPr>
    </w:p>
    <w:p>
      <w:pPr>
        <w:ind w:right="20" w:firstLine="508"/>
        <w:spacing w:after="0" w:line="280" w:lineRule="auto"/>
        <w:rPr>
          <w:sz w:val="20"/>
          <w:szCs w:val="20"/>
          <w:color w:val="auto"/>
        </w:rPr>
      </w:pPr>
      <w:r>
        <w:rPr>
          <w:rFonts w:ascii="Arial" w:cs="Arial" w:eastAsia="Arial" w:hAnsi="Arial"/>
          <w:sz w:val="14"/>
          <w:szCs w:val="14"/>
          <w:color w:val="auto"/>
        </w:rPr>
        <w:t>Net cash provided by financing activities of $2.6 million during the three months ended April 30, 2021 was primarily due to proceeds from the exercise of stock options of $3.8 million, offset by $1.6 million of debt issuance costs paid during the three months ended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427355</wp:posOffset>
            </wp:positionV>
            <wp:extent cx="71875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2" w:name="page43"/>
    <w:bookmarkEnd w:id="42"/>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cash provided by financing activities of $6.9 million during the three months ended April 30, 2020 was primarily due to proceeds from the exercise of stock options of $6.4 million.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Obligations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Revolving Credit Facility</w:t>
      </w:r>
    </w:p>
    <w:p>
      <w:pPr>
        <w:spacing w:after="0" w:line="178" w:lineRule="exact"/>
        <w:rPr>
          <w:sz w:val="20"/>
          <w:szCs w:val="20"/>
          <w:color w:val="auto"/>
        </w:rPr>
      </w:pPr>
    </w:p>
    <w:p>
      <w:pPr>
        <w:ind w:right="300" w:firstLine="508"/>
        <w:spacing w:after="0" w:line="280" w:lineRule="auto"/>
        <w:rPr>
          <w:sz w:val="20"/>
          <w:szCs w:val="20"/>
          <w:color w:val="auto"/>
        </w:rPr>
      </w:pPr>
      <w:r>
        <w:rPr>
          <w:rFonts w:ascii="Arial" w:cs="Arial" w:eastAsia="Arial" w:hAnsi="Arial"/>
          <w:sz w:val="14"/>
          <w:szCs w:val="14"/>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32" w:lineRule="exact"/>
        <w:rPr>
          <w:sz w:val="20"/>
          <w:szCs w:val="20"/>
          <w:color w:val="auto"/>
        </w:rPr>
      </w:pPr>
    </w:p>
    <w:p>
      <w:pPr>
        <w:ind w:right="80" w:firstLine="508"/>
        <w:spacing w:after="0" w:line="297" w:lineRule="auto"/>
        <w:rPr>
          <w:sz w:val="20"/>
          <w:szCs w:val="20"/>
          <w:color w:val="auto"/>
        </w:rPr>
      </w:pPr>
      <w:r>
        <w:rPr>
          <w:rFonts w:ascii="Arial" w:cs="Arial" w:eastAsia="Arial" w:hAnsi="Arial"/>
          <w:sz w:val="12"/>
          <w:szCs w:val="12"/>
          <w:color w:val="auto"/>
        </w:rPr>
        <w:t>On January 4, 2021, we amended and restated our existing credit agreement (the “A&amp;R Credit Agreement” and the facility thereunder the “Revolving Facility”) among CrowdStrike, Inc., as borrower, CrowdStrike Holdings, Inc., as guarantor, and Silicon Valley Bank and the other lenders party thereto, providing us with a revolving line of credit of up to $750.0 million, including a letter of credit sub-facility in the aggregate amount of $100.0 million, and a swingline sub-facility in the aggregate amount of $50.0 million. We also have the option to request an incremental facility of up to an additional $250.0 million from one or more of the lenders under the A&amp;R Credit Agreement. The A&amp;R Credit Agreement is guaranteed by all of our material domestic subsidiaries. The A&amp;R Credit Agreement extended the maturity date of April 19, 2022 to January 2, 2026. Under the A&amp;R Credit Agreement, revolving loans may be either Eurodollar Loans or Alternate Base Rate (“ABR”) Loans. Outstanding Eurodollar Loans incur interest at the Eurodollar Rate, which is defined as LIBOR (or any successor thereto), subject to a 0.00% LIBOR floor, plus a margin between</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1.50% and 2.00%, depending on our senior secured leverage ratio. Outstanding ABR Loans incur interest at the highest of (a) the Prime Rate, as published by the Wall Street Journal, (b) the federal funds rate in effect for such day plus 0.50%, and (c) the Eurodollar Rate plus 1.00%, in each case plus a margin between (0.25%) and 0.25%, depending on the senior secured leverage ratio. We will be charged a commitment fee of 0.15% to 0.25% per year for committed but unused amounts, depending on the senior secured leverage ratio. The financial covenants require us to maintain a minimum consolidated interest coverage ratio of 3.00:1.00, a maximum senior secured leverage ratio of 3.00:1.00 (through January 31, 2023), and a maximum total leverage ratio of 5.50:1.00 stepping down to 3.50:1.00 over time. We were in compliance with the financial covenants as of April 30, 2021.</w:t>
      </w:r>
    </w:p>
    <w:p>
      <w:pPr>
        <w:spacing w:after="0" w:line="150" w:lineRule="exact"/>
        <w:rPr>
          <w:sz w:val="20"/>
          <w:szCs w:val="20"/>
          <w:color w:val="auto"/>
        </w:rPr>
      </w:pPr>
    </w:p>
    <w:p>
      <w:pPr>
        <w:ind w:right="60" w:firstLine="508"/>
        <w:spacing w:after="0" w:line="261" w:lineRule="auto"/>
        <w:rPr>
          <w:sz w:val="20"/>
          <w:szCs w:val="20"/>
          <w:color w:val="auto"/>
        </w:rPr>
      </w:pPr>
      <w:r>
        <w:rPr>
          <w:rFonts w:ascii="Arial" w:cs="Arial" w:eastAsia="Arial" w:hAnsi="Arial"/>
          <w:sz w:val="14"/>
          <w:szCs w:val="14"/>
          <w:color w:val="auto"/>
        </w:rPr>
        <w:t>The A&amp;R Credit Agreement is secured by substantially all of our current and future consolidated assets, property and rights, including, but not limited to, intellectual property, cash, goods, equipment, contractual rights, financial assets, and intangible assets of us and certain of our subsidiaries. The A&amp;R Credit Agreement contains customary covenants limiting our ability and the ability of our subsidiaries to, among other things, dispose of assets, undergo a change in control, merge or consolidate, make acquisitions, incur debt, incur liens, pay dividends, repurchase stock, and make investments, in each case subject to certain exceptions.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 amounts were outstanding under the Credit Agreement as of April 30, 2021.</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Senior Notes</w:t>
      </w:r>
    </w:p>
    <w:p>
      <w:pPr>
        <w:spacing w:after="0" w:line="178" w:lineRule="exact"/>
        <w:rPr>
          <w:sz w:val="20"/>
          <w:szCs w:val="20"/>
          <w:color w:val="auto"/>
        </w:rPr>
      </w:pPr>
    </w:p>
    <w:p>
      <w:pPr>
        <w:ind w:firstLine="508"/>
        <w:spacing w:after="0" w:line="278" w:lineRule="auto"/>
        <w:rPr>
          <w:sz w:val="20"/>
          <w:szCs w:val="20"/>
          <w:color w:val="auto"/>
        </w:rPr>
      </w:pPr>
      <w:r>
        <w:rPr>
          <w:rFonts w:ascii="Arial" w:cs="Arial" w:eastAsia="Arial" w:hAnsi="Arial"/>
          <w:sz w:val="13"/>
          <w:szCs w:val="13"/>
          <w:color w:val="auto"/>
        </w:rPr>
        <w:t>On January 20, 2021, we issued $750.0 million aggregate principal amount of 3.00% Senior Notes maturing in February 2029. The Senior Notes are guaranteed by our subsidiary, CrowdStrike, Inc. and will be guaranteed by each of our existing and future domestic subsidiaries that becomes a borrower or guarantor under our A&amp;R Credit Agreement. The Senior Notes were issued at par and bear interest at a rate of 3.00% per annum. Interest payments are payable semiannually on February 15 and August 15 of each year, commencing on August 15, 2021. We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38" w:lineRule="exact"/>
        <w:rPr>
          <w:sz w:val="20"/>
          <w:szCs w:val="20"/>
          <w:color w:val="auto"/>
        </w:rPr>
      </w:pPr>
    </w:p>
    <w:p>
      <w:pPr>
        <w:ind w:right="40" w:firstLine="508"/>
        <w:spacing w:after="0" w:line="266" w:lineRule="auto"/>
        <w:rPr>
          <w:sz w:val="20"/>
          <w:szCs w:val="20"/>
          <w:color w:val="auto"/>
        </w:rPr>
      </w:pPr>
      <w:r>
        <w:rPr>
          <w:rFonts w:ascii="Arial" w:cs="Arial" w:eastAsia="Arial" w:hAnsi="Arial"/>
          <w:sz w:val="14"/>
          <w:szCs w:val="14"/>
          <w:color w:val="auto"/>
        </w:rPr>
        <w:t>The net proceeds from the debt offering were $738.0 million after deducting the underwriting commissions of $9.4 million and $2.6 million of issuance costs, which were paid as of April 30, 2021. Debt issuance costs of $2.6 million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3" w:name="page44"/>
    <w:bookmarkEnd w:id="43"/>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firstLine="508"/>
        <w:spacing w:after="0" w:line="280" w:lineRule="auto"/>
        <w:rPr>
          <w:sz w:val="20"/>
          <w:szCs w:val="20"/>
          <w:color w:val="auto"/>
        </w:rPr>
      </w:pPr>
      <w:r>
        <w:rPr>
          <w:rFonts w:ascii="Arial" w:cs="Arial" w:eastAsia="Arial" w:hAnsi="Arial"/>
          <w:sz w:val="14"/>
          <w:szCs w:val="14"/>
          <w:color w:val="auto"/>
        </w:rPr>
        <w:t>In certain circumstances involving change of control events, we will be required to make an offer to repurchase all or, at the holder’s option, any part, of each holder’s Senior Notes at 101% of the aggregate principal amount thereof, plus accrued and unpaid interest, if any, to, but excluding, the repurchase date.</w:t>
      </w:r>
    </w:p>
    <w:p>
      <w:pPr>
        <w:spacing w:after="0" w:line="153" w:lineRule="exact"/>
        <w:rPr>
          <w:sz w:val="20"/>
          <w:szCs w:val="20"/>
          <w:color w:val="auto"/>
        </w:rPr>
      </w:pPr>
    </w:p>
    <w:p>
      <w:pPr>
        <w:ind w:right="20" w:firstLine="508"/>
        <w:spacing w:after="0" w:line="261" w:lineRule="auto"/>
        <w:rPr>
          <w:sz w:val="20"/>
          <w:szCs w:val="20"/>
          <w:color w:val="auto"/>
        </w:rPr>
      </w:pPr>
      <w:r>
        <w:rPr>
          <w:rFonts w:ascii="Arial" w:cs="Arial" w:eastAsia="Arial" w:hAnsi="Arial"/>
          <w:sz w:val="14"/>
          <w:szCs w:val="14"/>
          <w:color w:val="auto"/>
        </w:rPr>
        <w:t>The indenture governing the Senior Notes (the “Indenture”) contain covenants limiting our ability and the ability of our subsidiaries to create liens on certain assets to secure debt; grant a subsidiary guarantee of certain debt without also providing a guarantee of the Senior Notes; and consolidate or merge with or into, or sell or otherwise dispose of all or substantially all of our assets to, another person. These covenants are subject to a number of important limitations and exceptions. Certain of these covenants will not apply during any period in which the notes are rated investment grade by two of Fitch Ratings, Inc., Moody’s Investors Service, Inc. and Standard &amp; Poor’s Ratings Services.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April 30, 2021, we were in compliance with all of our financial covenants under the Indenture associated with the Senior Notes.</w:t>
      </w: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Supplemental Guarantor Financial Information</w:t>
      </w:r>
    </w:p>
    <w:p>
      <w:pPr>
        <w:spacing w:after="0" w:line="182"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For a brief description of the Senior Notes, see the section of this Quarterly Report on Form 10-Q titled “Liquidity and Capital Resources—Senior Notes.”</w:t>
      </w:r>
    </w:p>
    <w:p>
      <w:pPr>
        <w:spacing w:after="0" w:line="142" w:lineRule="exact"/>
        <w:rPr>
          <w:sz w:val="20"/>
          <w:szCs w:val="20"/>
          <w:color w:val="auto"/>
        </w:rPr>
      </w:pPr>
    </w:p>
    <w:p>
      <w:pPr>
        <w:ind w:right="220" w:firstLine="254"/>
        <w:spacing w:after="0" w:line="266" w:lineRule="auto"/>
        <w:rPr>
          <w:sz w:val="20"/>
          <w:szCs w:val="20"/>
          <w:color w:val="auto"/>
        </w:rPr>
      </w:pPr>
      <w:r>
        <w:rPr>
          <w:rFonts w:ascii="Arial" w:cs="Arial" w:eastAsia="Arial" w:hAnsi="Arial"/>
          <w:sz w:val="14"/>
          <w:szCs w:val="14"/>
          <w:color w:val="auto"/>
        </w:rPr>
        <w:t>The Company conducts its operations almost entirely through its subsidiaries. Accordingly, the Obligor Group’s cash flow and ability to service the notes will depend on the earnings of the Company’s subsidiaries and the distribution of those earnings to the Obligor Group, whether by dividends, loans or otherwise. Holders of the guaranteed registered debt securities will have a direct claim only against the Obligor Group.</w:t>
      </w:r>
    </w:p>
    <w:p>
      <w:pPr>
        <w:spacing w:after="0" w:line="142" w:lineRule="exact"/>
        <w:rPr>
          <w:sz w:val="20"/>
          <w:szCs w:val="20"/>
          <w:color w:val="auto"/>
        </w:rPr>
      </w:pPr>
    </w:p>
    <w:p>
      <w:pPr>
        <w:ind w:right="40" w:firstLine="254"/>
        <w:spacing w:after="0" w:line="281" w:lineRule="auto"/>
        <w:rPr>
          <w:sz w:val="20"/>
          <w:szCs w:val="20"/>
          <w:color w:val="auto"/>
        </w:rPr>
      </w:pPr>
      <w:r>
        <w:rPr>
          <w:rFonts w:ascii="Arial" w:cs="Arial" w:eastAsia="Arial" w:hAnsi="Arial"/>
          <w:sz w:val="13"/>
          <w:szCs w:val="13"/>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summarized financial information of the Obligor Group also includes the amounts of CrowdStrike Services, Inc. which was a separate wholly owned subsidiary of the Company that was merged into CrowdStrike, Inc. on December 31, 2020, therefore becoming part of the Obligor Group prior to the issuance of the Senior Notes. The revenue amounts presented in the summarized financial information include substantially all of the Company’s consolidated revenues, and there are no intercompany revenues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w:t>
            </w:r>
          </w:p>
        </w:tc>
        <w:tc>
          <w:tcPr>
            <w:tcW w:w="260" w:type="dxa"/>
            <w:vAlign w:val="bottom"/>
          </w:tcPr>
          <w:p>
            <w:pPr>
              <w:spacing w:after="0"/>
              <w:rPr>
                <w:sz w:val="14"/>
                <w:szCs w:val="14"/>
                <w:color w:val="auto"/>
              </w:rPr>
            </w:pPr>
          </w:p>
        </w:tc>
        <w:tc>
          <w:tcPr>
            <w:tcW w:w="1840" w:type="dxa"/>
            <w:vAlign w:val="bottom"/>
          </w:tcPr>
          <w:p>
            <w:pPr>
              <w:jc w:val="right"/>
              <w:ind w:right="32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918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April 30, 2021</w:t>
            </w:r>
          </w:p>
        </w:tc>
        <w:tc>
          <w:tcPr>
            <w:tcW w:w="0" w:type="dxa"/>
            <w:vAlign w:val="bottom"/>
          </w:tcPr>
          <w:p>
            <w:pPr>
              <w:spacing w:after="0"/>
              <w:rPr>
                <w:sz w:val="1"/>
                <w:szCs w:val="1"/>
                <w:color w:val="auto"/>
              </w:rPr>
            </w:pPr>
          </w:p>
        </w:tc>
      </w:tr>
      <w:tr>
        <w:trPr>
          <w:trHeight w:val="170"/>
        </w:trPr>
        <w:tc>
          <w:tcPr>
            <w:tcW w:w="9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549"/>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0"/>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302,649</w:t>
            </w:r>
          </w:p>
        </w:tc>
        <w:tc>
          <w:tcPr>
            <w:tcW w:w="0" w:type="dxa"/>
            <w:vAlign w:val="bottom"/>
          </w:tcPr>
          <w:p>
            <w:pPr>
              <w:spacing w:after="0"/>
              <w:rPr>
                <w:sz w:val="1"/>
                <w:szCs w:val="1"/>
                <w:color w:val="auto"/>
              </w:rPr>
            </w:pPr>
          </w:p>
        </w:tc>
      </w:tr>
      <w:tr>
        <w:trPr>
          <w:trHeight w:val="180"/>
        </w:trPr>
        <w:tc>
          <w:tcPr>
            <w:tcW w:w="91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79,255</w:t>
            </w:r>
          </w:p>
        </w:tc>
        <w:tc>
          <w:tcPr>
            <w:tcW w:w="0" w:type="dxa"/>
            <w:vAlign w:val="bottom"/>
          </w:tcPr>
          <w:p>
            <w:pPr>
              <w:spacing w:after="0"/>
              <w:rPr>
                <w:sz w:val="1"/>
                <w:szCs w:val="1"/>
                <w:color w:val="auto"/>
              </w:rPr>
            </w:pPr>
          </w:p>
        </w:tc>
      </w:tr>
      <w:tr>
        <w:trPr>
          <w:trHeight w:val="180"/>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255,410</w:t>
            </w:r>
          </w:p>
        </w:tc>
        <w:tc>
          <w:tcPr>
            <w:tcW w:w="0" w:type="dxa"/>
            <w:vAlign w:val="bottom"/>
          </w:tcPr>
          <w:p>
            <w:pPr>
              <w:spacing w:after="0"/>
              <w:rPr>
                <w:sz w:val="1"/>
                <w:szCs w:val="1"/>
                <w:color w:val="auto"/>
              </w:rPr>
            </w:pPr>
          </w:p>
        </w:tc>
      </w:tr>
      <w:tr>
        <w:trPr>
          <w:trHeight w:val="180"/>
        </w:trPr>
        <w:tc>
          <w:tcPr>
            <w:tcW w:w="91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(32,016)</w:t>
            </w:r>
          </w:p>
        </w:tc>
        <w:tc>
          <w:tcPr>
            <w:tcW w:w="0" w:type="dxa"/>
            <w:vAlign w:val="bottom"/>
          </w:tcPr>
          <w:p>
            <w:pPr>
              <w:spacing w:after="0"/>
              <w:rPr>
                <w:sz w:val="1"/>
                <w:szCs w:val="1"/>
                <w:color w:val="auto"/>
              </w:rPr>
            </w:pPr>
          </w:p>
        </w:tc>
      </w:tr>
      <w:tr>
        <w:trPr>
          <w:trHeight w:val="180"/>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(38,594)</w:t>
            </w:r>
          </w:p>
        </w:tc>
        <w:tc>
          <w:tcPr>
            <w:tcW w:w="0" w:type="dxa"/>
            <w:vAlign w:val="bottom"/>
          </w:tcPr>
          <w:p>
            <w:pPr>
              <w:spacing w:after="0"/>
              <w:rPr>
                <w:sz w:val="1"/>
                <w:szCs w:val="1"/>
                <w:color w:val="auto"/>
              </w:rPr>
            </w:pPr>
          </w:p>
        </w:tc>
      </w:tr>
      <w:tr>
        <w:trPr>
          <w:trHeight w:val="180"/>
        </w:trPr>
        <w:tc>
          <w:tcPr>
            <w:tcW w:w="9180" w:type="dxa"/>
            <w:vAlign w:val="bottom"/>
          </w:tcPr>
          <w:p>
            <w:pPr>
              <w:ind w:left="20"/>
              <w:spacing w:after="0"/>
              <w:rPr>
                <w:sz w:val="20"/>
                <w:szCs w:val="20"/>
                <w:color w:val="auto"/>
              </w:rPr>
            </w:pPr>
            <w:r>
              <w:rPr>
                <w:rFonts w:ascii="Arial" w:cs="Arial" w:eastAsia="Arial" w:hAnsi="Arial"/>
                <w:sz w:val="14"/>
                <w:szCs w:val="14"/>
                <w:color w:val="auto"/>
              </w:rPr>
              <w:t>Net loss attributable to CrowdStrike</w:t>
            </w:r>
          </w:p>
        </w:tc>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(38,594)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Balance Sheets</w:t>
            </w: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w w:val="96"/>
              </w:rPr>
              <w:t>January 31, 2021</w:t>
            </w:r>
          </w:p>
        </w:tc>
      </w:tr>
      <w:tr>
        <w:trPr>
          <w:trHeight w:val="202"/>
        </w:trPr>
        <w:tc>
          <w:tcPr>
            <w:tcW w:w="7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7"/>
                <w:szCs w:val="17"/>
                <w:color w:val="auto"/>
              </w:rPr>
            </w:pPr>
          </w:p>
        </w:tc>
      </w:tr>
      <w:tr>
        <w:trPr>
          <w:trHeight w:val="18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(excluding intercompany receivables from non-Guarantors)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1,931,103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2,249,834</w:t>
            </w:r>
          </w:p>
        </w:tc>
      </w:tr>
      <w:tr>
        <w:trPr>
          <w:trHeight w:val="180"/>
        </w:trPr>
        <w:tc>
          <w:tcPr>
            <w:tcW w:w="7080" w:type="dxa"/>
            <w:vAlign w:val="bottom"/>
          </w:tcPr>
          <w:p>
            <w:pPr>
              <w:ind w:left="20"/>
              <w:spacing w:after="0"/>
              <w:rPr>
                <w:sz w:val="20"/>
                <w:szCs w:val="20"/>
                <w:color w:val="auto"/>
              </w:rPr>
            </w:pPr>
            <w:r>
              <w:rPr>
                <w:rFonts w:ascii="Arial" w:cs="Arial" w:eastAsia="Arial" w:hAnsi="Arial"/>
                <w:sz w:val="14"/>
                <w:szCs w:val="14"/>
                <w:color w:val="auto"/>
              </w:rPr>
              <w:t>Intercompany receivables from non-Guarantors</w:t>
            </w: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6,144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8,822</w:t>
            </w:r>
          </w:p>
        </w:tc>
      </w:tr>
      <w:tr>
        <w:trPr>
          <w:trHeight w:val="18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902,348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398,656</w:t>
            </w:r>
          </w:p>
        </w:tc>
      </w:tr>
      <w:tr>
        <w:trPr>
          <w:trHeight w:val="180"/>
        </w:trPr>
        <w:tc>
          <w:tcPr>
            <w:tcW w:w="70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905,360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834,462</w:t>
            </w:r>
          </w:p>
        </w:tc>
      </w:tr>
      <w:tr>
        <w:trPr>
          <w:trHeight w:val="18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 (excluding intercompany payable to non-Guarantors)</w:t>
            </w:r>
          </w:p>
        </w:tc>
        <w:tc>
          <w:tcPr>
            <w:tcW w:w="3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1,013,819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988,391</w:t>
            </w:r>
          </w:p>
        </w:tc>
      </w:tr>
      <w:tr>
        <w:trPr>
          <w:trHeight w:val="180"/>
        </w:trPr>
        <w:tc>
          <w:tcPr>
            <w:tcW w:w="7080" w:type="dxa"/>
            <w:vAlign w:val="bottom"/>
          </w:tcPr>
          <w:p>
            <w:pPr>
              <w:ind w:left="20"/>
              <w:spacing w:after="0"/>
              <w:rPr>
                <w:sz w:val="20"/>
                <w:szCs w:val="20"/>
                <w:color w:val="auto"/>
              </w:rPr>
            </w:pPr>
            <w:r>
              <w:rPr>
                <w:rFonts w:ascii="Arial" w:cs="Arial" w:eastAsia="Arial" w:hAnsi="Arial"/>
                <w:sz w:val="14"/>
                <w:szCs w:val="14"/>
                <w:color w:val="auto"/>
              </w:rPr>
              <w:t>Intercompany payable to non-Guarantors</w:t>
            </w:r>
          </w:p>
        </w:tc>
        <w:tc>
          <w:tcPr>
            <w:tcW w:w="3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155,497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721"/>
        </w:trPr>
        <w:tc>
          <w:tcPr>
            <w:tcW w:w="7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4" w:name="page45"/>
    <w:bookmarkEnd w:id="44"/>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178" w:lineRule="exact"/>
        <w:rPr>
          <w:sz w:val="20"/>
          <w:szCs w:val="20"/>
          <w:color w:val="auto"/>
        </w:rPr>
      </w:pPr>
    </w:p>
    <w:p>
      <w:pPr>
        <w:ind w:right="20" w:firstLine="508"/>
        <w:spacing w:after="0" w:line="257" w:lineRule="auto"/>
        <w:rPr>
          <w:sz w:val="20"/>
          <w:szCs w:val="20"/>
          <w:color w:val="auto"/>
        </w:rPr>
      </w:pPr>
      <w:r>
        <w:rPr>
          <w:rFonts w:ascii="Arial" w:cs="Arial" w:eastAsia="Arial" w:hAnsi="Arial"/>
          <w:sz w:val="14"/>
          <w:szCs w:val="14"/>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We have made contributions totaling $1.9 million to Falcon Fund as of April 30, 2021.</w:t>
      </w:r>
    </w:p>
    <w:p>
      <w:pPr>
        <w:spacing w:after="0" w:line="147"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contractual obligations as of April 30, 2021 and the fiscal years in which these obligations are due: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r>
              <w:rPr>
                <w:rFonts w:ascii="Arial" w:cs="Arial" w:eastAsia="Arial" w:hAnsi="Arial"/>
                <w:sz w:val="16"/>
                <w:szCs w:val="16"/>
                <w:b w:val="1"/>
                <w:bCs w:val="1"/>
                <w:color w:val="auto"/>
                <w:vertAlign w:val="superscript"/>
              </w:rPr>
              <w:t>(6)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Thereafter</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Real estate arrangements</w:t>
            </w:r>
            <w:r>
              <w:rPr>
                <w:rFonts w:ascii="Arial" w:cs="Arial" w:eastAsia="Arial" w:hAnsi="Arial"/>
                <w:sz w:val="16"/>
                <w:szCs w:val="16"/>
                <w:color w:val="auto"/>
                <w:vertAlign w:val="superscript"/>
              </w:rPr>
              <w:t>(1)</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45,657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69"/>
        </w:trPr>
        <w:tc>
          <w:tcPr>
            <w:tcW w:w="2380" w:type="dxa"/>
            <w:vAlign w:val="bottom"/>
          </w:tcPr>
          <w:p>
            <w:pPr>
              <w:ind w:left="20"/>
              <w:spacing w:after="0" w:line="169" w:lineRule="exact"/>
              <w:rPr>
                <w:sz w:val="20"/>
                <w:szCs w:val="20"/>
                <w:color w:val="auto"/>
              </w:rPr>
            </w:pPr>
            <w:r>
              <w:rPr>
                <w:rFonts w:ascii="Arial" w:cs="Arial" w:eastAsia="Arial" w:hAnsi="Arial"/>
                <w:sz w:val="13"/>
                <w:szCs w:val="13"/>
                <w:color w:val="auto"/>
              </w:rPr>
              <w:t>Data center commitments</w:t>
            </w:r>
            <w:r>
              <w:rPr>
                <w:rFonts w:ascii="Arial" w:cs="Arial" w:eastAsia="Arial" w:hAnsi="Arial"/>
                <w:sz w:val="16"/>
                <w:szCs w:val="16"/>
                <w:color w:val="auto"/>
                <w:vertAlign w:val="superscript"/>
              </w:rPr>
              <w:t>(2)</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81,688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43,826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13,410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12,323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979</w:t>
            </w: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Arial" w:cs="Arial" w:eastAsia="Arial" w:hAnsi="Arial"/>
                <w:sz w:val="13"/>
                <w:szCs w:val="13"/>
                <w:color w:val="auto"/>
              </w:rPr>
              <w:t>Other purchase obligations</w:t>
            </w:r>
            <w:r>
              <w:rPr>
                <w:rFonts w:ascii="Arial" w:cs="Arial" w:eastAsia="Arial" w:hAnsi="Arial"/>
                <w:sz w:val="16"/>
                <w:szCs w:val="16"/>
                <w:color w:val="auto"/>
                <w:vertAlign w:val="superscript"/>
              </w:rPr>
              <w:t>(3)</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9"/>
        </w:trPr>
        <w:tc>
          <w:tcPr>
            <w:tcW w:w="2380" w:type="dxa"/>
            <w:vAlign w:val="bottom"/>
          </w:tcPr>
          <w:p>
            <w:pPr>
              <w:ind w:left="20"/>
              <w:spacing w:after="0" w:line="169" w:lineRule="exact"/>
              <w:rPr>
                <w:sz w:val="20"/>
                <w:szCs w:val="20"/>
                <w:color w:val="auto"/>
              </w:rPr>
            </w:pPr>
            <w:r>
              <w:rPr>
                <w:rFonts w:ascii="Arial" w:cs="Arial" w:eastAsia="Arial" w:hAnsi="Arial"/>
                <w:sz w:val="13"/>
                <w:szCs w:val="13"/>
                <w:color w:val="auto"/>
              </w:rPr>
              <w:t>Debt obligations</w:t>
            </w:r>
            <w:r>
              <w:rPr>
                <w:rFonts w:ascii="Arial" w:cs="Arial" w:eastAsia="Arial" w:hAnsi="Arial"/>
                <w:sz w:val="16"/>
                <w:szCs w:val="16"/>
                <w:color w:val="auto"/>
                <w:vertAlign w:val="superscript"/>
              </w:rPr>
              <w:t>(4)</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750,000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31"/>
        </w:trPr>
        <w:tc>
          <w:tcPr>
            <w:tcW w:w="2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w w:val="96"/>
              </w:rPr>
              <w:t>Interest payments associated with all debt</w:t>
            </w: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175,313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16,875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22,500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68,438</w:t>
            </w: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20"/>
              <w:spacing w:after="0" w:line="165" w:lineRule="exact"/>
              <w:rPr>
                <w:sz w:val="20"/>
                <w:szCs w:val="20"/>
                <w:color w:val="auto"/>
              </w:rPr>
            </w:pPr>
            <w:r>
              <w:rPr>
                <w:rFonts w:ascii="Arial" w:cs="Arial" w:eastAsia="Arial" w:hAnsi="Arial"/>
                <w:sz w:val="13"/>
                <w:szCs w:val="13"/>
                <w:color w:val="auto"/>
              </w:rPr>
              <w:t>obligations</w:t>
            </w:r>
            <w:r>
              <w:rPr>
                <w:rFonts w:ascii="Arial" w:cs="Arial" w:eastAsia="Arial" w:hAnsi="Arial"/>
                <w:sz w:val="16"/>
                <w:szCs w:val="16"/>
                <w:color w:val="auto"/>
                <w:vertAlign w:val="superscript"/>
              </w:rPr>
              <w:t>(5)</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0"/>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1,160,321</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114,358</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79,473</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74,474</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39,981</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31,825</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820,210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right="20" w:hanging="515"/>
        <w:spacing w:after="0" w:line="214" w:lineRule="auto"/>
        <w:tabs>
          <w:tab w:leader="none" w:pos="516" w:val="left"/>
        </w:tabs>
        <w:numPr>
          <w:ilvl w:val="0"/>
          <w:numId w:val="20"/>
        </w:numPr>
        <w:rPr>
          <w:rFonts w:ascii="Arial" w:cs="Arial" w:eastAsia="Arial" w:hAnsi="Arial"/>
          <w:sz w:val="17"/>
          <w:szCs w:val="17"/>
          <w:color w:val="auto"/>
        </w:rPr>
      </w:pPr>
      <w:r>
        <w:rPr>
          <w:rFonts w:ascii="Arial" w:cs="Arial" w:eastAsia="Arial" w:hAnsi="Arial"/>
          <w:sz w:val="14"/>
          <w:szCs w:val="14"/>
          <w:color w:val="auto"/>
        </w:rPr>
        <w:t>Relates to non-cancellable real estate arrangements where the amounts are reflected on an undiscounted basis. For additional information refer to Note 7, “Leases”, in our Notes to Condensed Consolidated Financial Statements in Part I, Item 1 of this Quarterly Report on Form 10-Q.</w:t>
      </w:r>
    </w:p>
    <w:p>
      <w:pPr>
        <w:ind w:left="500" w:hanging="495"/>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Relates to non-cancelable commitments to data center vendors.</w:t>
      </w:r>
    </w:p>
    <w:p>
      <w:pPr>
        <w:spacing w:after="0" w:line="6" w:lineRule="exact"/>
        <w:rPr>
          <w:rFonts w:ascii="Arial" w:cs="Arial" w:eastAsia="Arial" w:hAnsi="Arial"/>
          <w:sz w:val="14"/>
          <w:szCs w:val="14"/>
          <w:color w:val="auto"/>
        </w:rPr>
      </w:pPr>
    </w:p>
    <w:p>
      <w:pPr>
        <w:ind w:left="500" w:hanging="495"/>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Relates to non-cancelable purchase commitments with various parties to purchase products and services entered into in the normal course of business.</w:t>
      </w:r>
    </w:p>
    <w:p>
      <w:pPr>
        <w:spacing w:after="0" w:line="8" w:lineRule="exact"/>
        <w:rPr>
          <w:rFonts w:ascii="Arial" w:cs="Arial" w:eastAsia="Arial" w:hAnsi="Arial"/>
          <w:sz w:val="14"/>
          <w:szCs w:val="14"/>
          <w:color w:val="auto"/>
        </w:rPr>
      </w:pPr>
    </w:p>
    <w:p>
      <w:pPr>
        <w:ind w:left="500" w:hanging="495"/>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Relates to $750.0 million aggregate principal amount of Senior Notes due in fiscal 2030.</w:t>
      </w:r>
    </w:p>
    <w:p>
      <w:pPr>
        <w:spacing w:after="0" w:line="19" w:lineRule="exact"/>
        <w:rPr>
          <w:rFonts w:ascii="Arial" w:cs="Arial" w:eastAsia="Arial" w:hAnsi="Arial"/>
          <w:sz w:val="14"/>
          <w:szCs w:val="14"/>
          <w:color w:val="auto"/>
        </w:rPr>
      </w:pPr>
    </w:p>
    <w:p>
      <w:pPr>
        <w:ind w:left="520" w:right="120" w:hanging="515"/>
        <w:spacing w:after="0" w:line="214" w:lineRule="auto"/>
        <w:tabs>
          <w:tab w:leader="none" w:pos="516" w:val="left"/>
        </w:tabs>
        <w:numPr>
          <w:ilvl w:val="0"/>
          <w:numId w:val="20"/>
        </w:numPr>
        <w:rPr>
          <w:rFonts w:ascii="Arial" w:cs="Arial" w:eastAsia="Arial" w:hAnsi="Arial"/>
          <w:sz w:val="17"/>
          <w:szCs w:val="17"/>
          <w:color w:val="auto"/>
        </w:rPr>
      </w:pPr>
      <w:r>
        <w:rPr>
          <w:rFonts w:ascii="Arial" w:cs="Arial" w:eastAsia="Arial" w:hAnsi="Arial"/>
          <w:sz w:val="14"/>
          <w:szCs w:val="14"/>
          <w:color w:val="auto"/>
        </w:rPr>
        <w:t>Relates to the interest payments associated with the Senior Notes based on the principal amount multiplied by the applicable interest rate. For additional information refer to Note 5, “Debt”, in our Notes to Condensed Consolidated Financial Statements in Part I, Item 1 of this Quarterly Report on Form 10-Q.</w:t>
      </w:r>
    </w:p>
    <w:p>
      <w:pPr>
        <w:ind w:left="500" w:hanging="495"/>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remaining nine months of fiscal year 2022.</w:t>
      </w:r>
    </w:p>
    <w:p>
      <w:pPr>
        <w:spacing w:after="0" w:line="187" w:lineRule="exact"/>
        <w:rPr>
          <w:sz w:val="20"/>
          <w:szCs w:val="20"/>
          <w:color w:val="auto"/>
        </w:rPr>
      </w:pPr>
    </w:p>
    <w:p>
      <w:pPr>
        <w:ind w:right="40" w:firstLine="508"/>
        <w:spacing w:after="0" w:line="280" w:lineRule="auto"/>
        <w:rPr>
          <w:sz w:val="20"/>
          <w:szCs w:val="20"/>
          <w:color w:val="auto"/>
        </w:rPr>
      </w:pPr>
      <w:r>
        <w:rPr>
          <w:rFonts w:ascii="Arial" w:cs="Arial" w:eastAsia="Arial" w:hAnsi="Arial"/>
          <w:sz w:val="14"/>
          <w:szCs w:val="14"/>
          <w:color w:val="auto"/>
        </w:rPr>
        <w:t>As of April 30, 2021, our unrecognized tax benefits were $23.2 million, which were classified as long-term liabilities. Due to the inherent uncertainty with respect to the timing of future cash outflows associated with our unrecognized tax benefits, the liabilities have been excluded from the contractual obligation table above.</w:t>
      </w:r>
    </w:p>
    <w:p>
      <w:pPr>
        <w:spacing w:after="0" w:line="153" w:lineRule="exact"/>
        <w:rPr>
          <w:sz w:val="20"/>
          <w:szCs w:val="20"/>
          <w:color w:val="auto"/>
        </w:rPr>
      </w:pPr>
    </w:p>
    <w:p>
      <w:pPr>
        <w:ind w:right="100" w:firstLine="508"/>
        <w:spacing w:after="0" w:line="266" w:lineRule="auto"/>
        <w:rPr>
          <w:sz w:val="20"/>
          <w:szCs w:val="20"/>
          <w:color w:val="auto"/>
        </w:rPr>
      </w:pPr>
      <w:r>
        <w:rPr>
          <w:rFonts w:ascii="Arial" w:cs="Arial" w:eastAsia="Arial" w:hAnsi="Arial"/>
          <w:sz w:val="14"/>
          <w:szCs w:val="14"/>
          <w:color w:val="auto"/>
        </w:rPr>
        <w:t>The contractual commitment amounts in the table above are associated with agreements that are enforceable and legally binding. Obligations under contracts, including purchase orders, that we can cancel without a significant penalty are not included in the table above. Purchase orders issued in the ordinary course of business are not included in the table above, as such purchase orders represent authorizations to purchase rather than binding agreements.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Indemnification</w:t>
      </w:r>
    </w:p>
    <w:p>
      <w:pPr>
        <w:spacing w:after="0" w:line="178" w:lineRule="exact"/>
        <w:rPr>
          <w:sz w:val="20"/>
          <w:szCs w:val="20"/>
          <w:color w:val="auto"/>
        </w:rPr>
      </w:pPr>
    </w:p>
    <w:p>
      <w:pPr>
        <w:ind w:right="40" w:firstLine="508"/>
        <w:spacing w:after="0" w:line="287" w:lineRule="auto"/>
        <w:rPr>
          <w:sz w:val="20"/>
          <w:szCs w:val="20"/>
          <w:color w:val="auto"/>
        </w:rPr>
      </w:pPr>
      <w:r>
        <w:rPr>
          <w:rFonts w:ascii="Arial" w:cs="Arial" w:eastAsia="Arial" w:hAnsi="Arial"/>
          <w:sz w:val="13"/>
          <w:szCs w:val="13"/>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75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5" w:name="page46"/>
    <w:bookmarkEnd w:id="45"/>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However, in the past we have not been obligated to make significant payments for these obligations and no liabilities have been recorded for these obligations on our condensed consolidated balance sheets as of April 30, 2021 or January 31, 2021.</w:t>
      </w:r>
    </w:p>
    <w:p>
      <w:pPr>
        <w:spacing w:after="0" w:line="132" w:lineRule="exact"/>
        <w:rPr>
          <w:sz w:val="20"/>
          <w:szCs w:val="20"/>
          <w:color w:val="auto"/>
        </w:rPr>
      </w:pPr>
    </w:p>
    <w:p>
      <w:pPr>
        <w:ind w:right="200" w:firstLine="508"/>
        <w:spacing w:after="0" w:line="261" w:lineRule="auto"/>
        <w:rPr>
          <w:sz w:val="20"/>
          <w:szCs w:val="20"/>
          <w:color w:val="auto"/>
        </w:rPr>
      </w:pPr>
      <w:r>
        <w:rPr>
          <w:rFonts w:ascii="Arial" w:cs="Arial" w:eastAsia="Arial" w:hAnsi="Arial"/>
          <w:sz w:val="14"/>
          <w:szCs w:val="14"/>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condensed consolidated balance sheets as of April 30, 2021 or January 31, 2021.</w:t>
      </w:r>
    </w:p>
    <w:p>
      <w:pPr>
        <w:spacing w:after="0" w:line="142"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2" w:lineRule="exact"/>
        <w:rPr>
          <w:sz w:val="20"/>
          <w:szCs w:val="20"/>
          <w:color w:val="auto"/>
        </w:rPr>
      </w:pPr>
    </w:p>
    <w:p>
      <w:pPr>
        <w:ind w:firstLine="508"/>
        <w:spacing w:after="0" w:line="281" w:lineRule="auto"/>
        <w:rPr>
          <w:sz w:val="20"/>
          <w:szCs w:val="20"/>
          <w:color w:val="auto"/>
        </w:rPr>
      </w:pPr>
      <w:r>
        <w:rPr>
          <w:rFonts w:ascii="Arial" w:cs="Arial" w:eastAsia="Arial" w:hAnsi="Arial"/>
          <w:sz w:val="13"/>
          <w:szCs w:val="13"/>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and useful lives of long-lived assets, the fair value of financial instruments, the recognition and disclosure of contingent liabilities, income taxes, and stock-based compensation, and the fair value of assets acquired and liabilities assumed for business combinations.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35" w:lineRule="exact"/>
        <w:rPr>
          <w:sz w:val="20"/>
          <w:szCs w:val="20"/>
          <w:color w:val="auto"/>
        </w:rPr>
      </w:pPr>
    </w:p>
    <w:p>
      <w:pPr>
        <w:ind w:right="100" w:firstLine="508"/>
        <w:spacing w:after="0" w:line="287" w:lineRule="auto"/>
        <w:rPr>
          <w:sz w:val="20"/>
          <w:szCs w:val="20"/>
          <w:color w:val="auto"/>
        </w:rPr>
      </w:pPr>
      <w:r>
        <w:rPr>
          <w:rFonts w:ascii="Arial" w:cs="Arial" w:eastAsia="Arial" w:hAnsi="Arial"/>
          <w:sz w:val="13"/>
          <w:szCs w:val="13"/>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31" w:lineRule="exact"/>
        <w:rPr>
          <w:sz w:val="20"/>
          <w:szCs w:val="20"/>
          <w:color w:val="auto"/>
        </w:rPr>
      </w:pPr>
    </w:p>
    <w:p>
      <w:pPr>
        <w:jc w:val="both"/>
        <w:ind w:right="440" w:firstLine="508"/>
        <w:spacing w:after="0" w:line="261" w:lineRule="auto"/>
        <w:rPr>
          <w:sz w:val="20"/>
          <w:szCs w:val="20"/>
          <w:color w:val="auto"/>
        </w:rPr>
      </w:pPr>
      <w:r>
        <w:rPr>
          <w:rFonts w:ascii="Arial" w:cs="Arial" w:eastAsia="Arial" w:hAnsi="Arial"/>
          <w:sz w:val="14"/>
          <w:szCs w:val="14"/>
          <w:color w:val="auto"/>
        </w:rPr>
        <w:t>Our significant accounting policies are more fully described in Note 2, “Summary of Significant Accounting Policies”, to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Annual Report on Form 10-K for the fiscal year ended January 31, 2021, filed with the SEC on March 18, 2021, and there have been no significant changes to these policies for the three months ended April 30, 2021.</w:t>
      </w:r>
    </w:p>
    <w:p>
      <w:pPr>
        <w:spacing w:after="0" w:line="142"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Backlog</w:t>
      </w:r>
    </w:p>
    <w:p>
      <w:pPr>
        <w:spacing w:after="0" w:line="182" w:lineRule="exact"/>
        <w:rPr>
          <w:sz w:val="20"/>
          <w:szCs w:val="20"/>
          <w:color w:val="auto"/>
        </w:rPr>
      </w:pPr>
    </w:p>
    <w:p>
      <w:pPr>
        <w:ind w:right="60" w:firstLine="508"/>
        <w:spacing w:after="0" w:line="257" w:lineRule="auto"/>
        <w:rPr>
          <w:sz w:val="20"/>
          <w:szCs w:val="20"/>
          <w:color w:val="auto"/>
        </w:rPr>
      </w:pPr>
      <w:r>
        <w:rPr>
          <w:rFonts w:ascii="Arial" w:cs="Arial" w:eastAsia="Arial" w:hAnsi="Arial"/>
          <w:sz w:val="14"/>
          <w:szCs w:val="14"/>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condensed consolidated financial statements, and are considered by us to be backlog. As of April 30, 2021, we had backlog of approximately $449.7 million. Of this amount, approximately $167.4 million is not reasonably expected to be billed in the next twelve months.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4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Seasonality</w:t>
      </w:r>
    </w:p>
    <w:p>
      <w:pPr>
        <w:spacing w:after="0" w:line="182" w:lineRule="exact"/>
        <w:rPr>
          <w:sz w:val="20"/>
          <w:szCs w:val="20"/>
          <w:color w:val="auto"/>
        </w:rPr>
      </w:pPr>
    </w:p>
    <w:p>
      <w:pPr>
        <w:ind w:firstLine="508"/>
        <w:spacing w:after="0" w:line="261" w:lineRule="auto"/>
        <w:rPr>
          <w:sz w:val="20"/>
          <w:szCs w:val="20"/>
          <w:color w:val="auto"/>
        </w:rPr>
      </w:pPr>
      <w:r>
        <w:rPr>
          <w:rFonts w:ascii="Arial" w:cs="Arial" w:eastAsia="Arial" w:hAnsi="Arial"/>
          <w:sz w:val="14"/>
          <w:szCs w:val="14"/>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 and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75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6" w:name="page47"/>
    <w:bookmarkEnd w:id="46"/>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Employees</w:t>
      </w:r>
    </w:p>
    <w:p>
      <w:pPr>
        <w:spacing w:after="0" w:line="182" w:lineRule="exact"/>
        <w:rPr>
          <w:sz w:val="20"/>
          <w:szCs w:val="20"/>
          <w:color w:val="auto"/>
        </w:rPr>
      </w:pPr>
    </w:p>
    <w:p>
      <w:pPr>
        <w:ind w:right="60" w:firstLine="508"/>
        <w:spacing w:after="0" w:line="261" w:lineRule="auto"/>
        <w:rPr>
          <w:sz w:val="20"/>
          <w:szCs w:val="20"/>
          <w:color w:val="auto"/>
        </w:rPr>
      </w:pPr>
      <w:r>
        <w:rPr>
          <w:rFonts w:ascii="Arial" w:cs="Arial" w:eastAsia="Arial" w:hAnsi="Arial"/>
          <w:sz w:val="14"/>
          <w:szCs w:val="14"/>
          <w:color w:val="auto"/>
        </w:rPr>
        <w:t>As of April 30, 2021, we had 3,871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142"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Corporate Information</w:t>
      </w:r>
    </w:p>
    <w:p>
      <w:pPr>
        <w:spacing w:after="0" w:line="182" w:lineRule="exact"/>
        <w:rPr>
          <w:sz w:val="20"/>
          <w:szCs w:val="20"/>
          <w:color w:val="auto"/>
        </w:rPr>
      </w:pPr>
    </w:p>
    <w:p>
      <w:pPr>
        <w:ind w:right="840" w:firstLine="508"/>
        <w:spacing w:after="0" w:line="320" w:lineRule="auto"/>
        <w:rPr>
          <w:sz w:val="20"/>
          <w:szCs w:val="20"/>
          <w:color w:val="auto"/>
        </w:rPr>
      </w:pPr>
      <w:r>
        <w:rPr>
          <w:rFonts w:ascii="Arial" w:cs="Arial" w:eastAsia="Arial" w:hAnsi="Arial"/>
          <w:sz w:val="13"/>
          <w:szCs w:val="13"/>
          <w:color w:val="auto"/>
        </w:rPr>
        <w:t>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Quarterly Report on Form 10-Q.</w:t>
      </w:r>
    </w:p>
    <w:p>
      <w:pPr>
        <w:spacing w:after="0" w:line="105"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Off-Balance Sheet Arrangements</w:t>
      </w:r>
    </w:p>
    <w:p>
      <w:pPr>
        <w:spacing w:after="0" w:line="182" w:lineRule="exact"/>
        <w:rPr>
          <w:sz w:val="20"/>
          <w:szCs w:val="20"/>
          <w:color w:val="auto"/>
        </w:rPr>
      </w:pPr>
    </w:p>
    <w:p>
      <w:pPr>
        <w:ind w:right="80" w:firstLine="508"/>
        <w:spacing w:after="0" w:line="280" w:lineRule="auto"/>
        <w:rPr>
          <w:sz w:val="20"/>
          <w:szCs w:val="20"/>
          <w:color w:val="auto"/>
        </w:rPr>
      </w:pPr>
      <w:r>
        <w:rPr>
          <w:rFonts w:ascii="Arial" w:cs="Arial" w:eastAsia="Arial" w:hAnsi="Arial"/>
          <w:sz w:val="14"/>
          <w:szCs w:val="14"/>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28"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82" w:lineRule="exact"/>
        <w:rPr>
          <w:sz w:val="20"/>
          <w:szCs w:val="20"/>
          <w:color w:val="auto"/>
        </w:rPr>
      </w:pPr>
    </w:p>
    <w:p>
      <w:pPr>
        <w:ind w:right="560" w:firstLine="508"/>
        <w:spacing w:after="0" w:line="280" w:lineRule="auto"/>
        <w:rPr>
          <w:sz w:val="20"/>
          <w:szCs w:val="20"/>
          <w:color w:val="auto"/>
        </w:rPr>
      </w:pPr>
      <w:r>
        <w:rPr>
          <w:rFonts w:ascii="Arial" w:cs="Arial" w:eastAsia="Arial" w:hAnsi="Arial"/>
          <w:sz w:val="14"/>
          <w:szCs w:val="14"/>
          <w:color w:val="auto"/>
        </w:rPr>
        <w:t>See Note 2, “Summary of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operations in the United States and internationally, and we are exposed to market risk in the ordinary course of business.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78" w:lineRule="exact"/>
        <w:rPr>
          <w:sz w:val="20"/>
          <w:szCs w:val="20"/>
          <w:color w:val="auto"/>
        </w:rPr>
      </w:pPr>
    </w:p>
    <w:p>
      <w:pPr>
        <w:ind w:right="40" w:firstLine="508"/>
        <w:spacing w:after="0" w:line="281" w:lineRule="auto"/>
        <w:rPr>
          <w:sz w:val="20"/>
          <w:szCs w:val="20"/>
          <w:color w:val="auto"/>
        </w:rPr>
      </w:pPr>
      <w:r>
        <w:rPr>
          <w:rFonts w:ascii="Arial" w:cs="Arial" w:eastAsia="Arial" w:hAnsi="Arial"/>
          <w:sz w:val="13"/>
          <w:szCs w:val="13"/>
          <w:color w:val="auto"/>
        </w:rPr>
        <w:t>Our cash and cash equivalents primarily consist of cash on hand and highly liquid investments in bank deposits and money market funds. Our investments are exposed to market risk due to fluctuations in interest rates, which may affect our interest income and the fair value of our investments. As of April 30, 2021, we had cash and cash equivalents of $1.7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April 30, 2021. We therefore do not expect our results of operations or cash flows to be materially affected by a sudden change in market interest rates.</w:t>
      </w:r>
    </w:p>
    <w:p>
      <w:pPr>
        <w:spacing w:after="0" w:line="135" w:lineRule="exact"/>
        <w:rPr>
          <w:sz w:val="20"/>
          <w:szCs w:val="20"/>
          <w:color w:val="auto"/>
        </w:rPr>
      </w:pPr>
    </w:p>
    <w:p>
      <w:pPr>
        <w:ind w:right="160" w:firstLine="508"/>
        <w:spacing w:after="0" w:line="280" w:lineRule="auto"/>
        <w:rPr>
          <w:sz w:val="20"/>
          <w:szCs w:val="20"/>
          <w:color w:val="auto"/>
        </w:rPr>
      </w:pPr>
      <w:r>
        <w:rPr>
          <w:rFonts w:ascii="Arial" w:cs="Arial" w:eastAsia="Arial" w:hAnsi="Arial"/>
          <w:sz w:val="14"/>
          <w:szCs w:val="14"/>
          <w:color w:val="auto"/>
        </w:rPr>
        <w:t>Our debt obligations consist of variety of financial instruments that expose us to interest rate risk, including, but not limited to our revolving credit facility and the Senior Notes. Interest on the revolving credit facility is tied to short term interest rate benchmarks including prime rate or LIBOR. Interest on the Senior Notes is fixed.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78" w:lineRule="exact"/>
        <w:rPr>
          <w:sz w:val="20"/>
          <w:szCs w:val="20"/>
          <w:color w:val="auto"/>
        </w:rPr>
      </w:pPr>
    </w:p>
    <w:p>
      <w:pPr>
        <w:ind w:firstLine="508"/>
        <w:spacing w:after="0" w:line="259" w:lineRule="auto"/>
        <w:rPr>
          <w:sz w:val="20"/>
          <w:szCs w:val="20"/>
          <w:color w:val="auto"/>
        </w:rPr>
      </w:pPr>
      <w:r>
        <w:rPr>
          <w:rFonts w:ascii="Arial" w:cs="Arial" w:eastAsia="Arial" w:hAnsi="Arial"/>
          <w:sz w:val="14"/>
          <w:szCs w:val="14"/>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During the three months ended April 30, 2021, foreign currency exchange rate loss recorded to Other comprehensive income (loss) was $0.2 million. A hypothetical 10% decrease in the U.S. dollar against other currencies would have resulted in an increase in operating loss of approximately $6.5 million for the three months ended April 30, 2021.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436880</wp:posOffset>
            </wp:positionV>
            <wp:extent cx="71875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47" w:name="page48"/>
    <w:bookmarkEnd w:id="47"/>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not entered into derivative or hedging transactions, but we may do so in the future if our exposure to foreign currency becomes more significant.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Inflation Rate Risk</w:t>
      </w:r>
    </w:p>
    <w:p>
      <w:pPr>
        <w:spacing w:after="0" w:line="178" w:lineRule="exact"/>
        <w:rPr>
          <w:sz w:val="20"/>
          <w:szCs w:val="20"/>
          <w:color w:val="auto"/>
        </w:rPr>
      </w:pPr>
    </w:p>
    <w:p>
      <w:pPr>
        <w:jc w:val="both"/>
        <w:ind w:right="60" w:firstLine="508"/>
        <w:spacing w:after="0" w:line="266" w:lineRule="auto"/>
        <w:rPr>
          <w:sz w:val="20"/>
          <w:szCs w:val="20"/>
          <w:color w:val="auto"/>
        </w:rPr>
      </w:pPr>
      <w:r>
        <w:rPr>
          <w:rFonts w:ascii="Arial" w:cs="Arial" w:eastAsia="Arial" w:hAnsi="Arial"/>
          <w:sz w:val="14"/>
          <w:szCs w:val="14"/>
          <w:color w:val="auto"/>
        </w:rPr>
        <w:t>We do not believe that inflation had a material effect on our business, financial conditions or results of operations during the three months ended April 30, 2021.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78" w:lineRule="exact"/>
        <w:rPr>
          <w:sz w:val="20"/>
          <w:szCs w:val="20"/>
          <w:color w:val="auto"/>
        </w:rPr>
      </w:pPr>
    </w:p>
    <w:p>
      <w:pPr>
        <w:ind w:firstLine="508"/>
        <w:spacing w:after="0" w:line="259" w:lineRule="auto"/>
        <w:rPr>
          <w:sz w:val="20"/>
          <w:szCs w:val="20"/>
          <w:color w:val="auto"/>
        </w:rPr>
      </w:pPr>
      <w:r>
        <w:rPr>
          <w:rFonts w:ascii="Arial" w:cs="Arial" w:eastAsia="Arial" w:hAnsi="Arial"/>
          <w:sz w:val="14"/>
          <w:szCs w:val="14"/>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47" w:lineRule="exact"/>
        <w:rPr>
          <w:sz w:val="20"/>
          <w:szCs w:val="20"/>
          <w:color w:val="auto"/>
        </w:rPr>
      </w:pPr>
    </w:p>
    <w:p>
      <w:pPr>
        <w:jc w:val="both"/>
        <w:ind w:right="80" w:firstLine="508"/>
        <w:spacing w:after="0" w:line="266"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evaluated the effectiveness of our disclosure controls and procedures as of April 30, 2021. Based on the evaluation of our disclosure controls and procedures as of April 30, 2021, our Chief Executive Officer and Chief Financial Officer concluded that, as of such date, our disclosure controls and procedures were effective at the reasonable assurance level.</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78" w:lineRule="exact"/>
        <w:rPr>
          <w:sz w:val="20"/>
          <w:szCs w:val="20"/>
          <w:color w:val="auto"/>
        </w:rPr>
      </w:pPr>
    </w:p>
    <w:p>
      <w:pPr>
        <w:ind w:right="280" w:firstLine="508"/>
        <w:spacing w:after="0" w:line="366" w:lineRule="auto"/>
        <w:rPr>
          <w:sz w:val="20"/>
          <w:szCs w:val="20"/>
          <w:color w:val="auto"/>
        </w:rPr>
      </w:pPr>
      <w:r>
        <w:rPr>
          <w:rFonts w:ascii="Arial" w:cs="Arial" w:eastAsia="Arial" w:hAnsi="Arial"/>
          <w:sz w:val="12"/>
          <w:szCs w:val="12"/>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Inherent Limitations on Effectiveness of Controls</w:t>
      </w:r>
    </w:p>
    <w:p>
      <w:pPr>
        <w:spacing w:after="0" w:line="178" w:lineRule="exact"/>
        <w:rPr>
          <w:sz w:val="20"/>
          <w:szCs w:val="20"/>
          <w:color w:val="auto"/>
        </w:rPr>
      </w:pPr>
    </w:p>
    <w:p>
      <w:pPr>
        <w:ind w:right="20" w:firstLine="508"/>
        <w:spacing w:after="0" w:line="257" w:lineRule="auto"/>
        <w:rPr>
          <w:sz w:val="20"/>
          <w:szCs w:val="20"/>
          <w:color w:val="auto"/>
        </w:rPr>
      </w:pPr>
      <w:r>
        <w:rPr>
          <w:rFonts w:ascii="Arial" w:cs="Arial" w:eastAsia="Arial" w:hAnsi="Arial"/>
          <w:sz w:val="14"/>
          <w:szCs w:val="14"/>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II. OTHER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03" w:lineRule="exact"/>
        <w:rPr>
          <w:sz w:val="20"/>
          <w:szCs w:val="20"/>
          <w:color w:val="auto"/>
        </w:rPr>
      </w:pPr>
    </w:p>
    <w:p>
      <w:pPr>
        <w:ind w:right="80" w:firstLine="508"/>
        <w:spacing w:after="0" w:line="250" w:lineRule="auto"/>
        <w:rPr>
          <w:sz w:val="20"/>
          <w:szCs w:val="20"/>
          <w:color w:val="auto"/>
        </w:rPr>
      </w:pPr>
      <w:r>
        <w:rPr>
          <w:rFonts w:ascii="Arial" w:cs="Arial" w:eastAsia="Arial" w:hAnsi="Arial"/>
          <w:sz w:val="14"/>
          <w:szCs w:val="14"/>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10, “Commitments and Contingencies” in our Notes to Condensed Consolidated Financial Statements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298" w:right="379" w:bottom="1440" w:gutter="0" w:footer="0" w:header="0"/>
        </w:sectPr>
      </w:pPr>
    </w:p>
    <w:bookmarkStart w:id="48" w:name="page49"/>
    <w:bookmarkEnd w:id="48"/>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508"/>
        <w:spacing w:after="0" w:line="259" w:lineRule="auto"/>
        <w:rPr>
          <w:sz w:val="20"/>
          <w:szCs w:val="20"/>
          <w:color w:val="auto"/>
        </w:rPr>
      </w:pPr>
      <w:r>
        <w:rPr>
          <w:rFonts w:ascii="Arial" w:cs="Arial" w:eastAsia="Arial" w:hAnsi="Arial"/>
          <w:sz w:val="14"/>
          <w:szCs w:val="14"/>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2" w:lineRule="exact"/>
        <w:rPr>
          <w:sz w:val="20"/>
          <w:szCs w:val="20"/>
          <w:color w:val="auto"/>
        </w:rPr>
      </w:pPr>
    </w:p>
    <w:p>
      <w:pPr>
        <w:ind w:right="140" w:firstLine="254"/>
        <w:spacing w:after="0" w:line="259" w:lineRule="auto"/>
        <w:rPr>
          <w:sz w:val="20"/>
          <w:szCs w:val="20"/>
          <w:color w:val="auto"/>
        </w:rPr>
      </w:pPr>
      <w:r>
        <w:rPr>
          <w:rFonts w:ascii="Arial" w:cs="Arial" w:eastAsia="Arial" w:hAnsi="Arial"/>
          <w:sz w:val="14"/>
          <w:szCs w:val="14"/>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experienced rapid growth in recent periods, and if we do not manage our future growth, our business and results of operations will be adversely affected.</w:t>
      </w:r>
    </w:p>
    <w:p>
      <w:pPr>
        <w:spacing w:after="0" w:line="178"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We have experienced rapid revenue growth in recent periods and we expect to continue to invest broadly across our organization to support our growth. For example, our headcount grew from 1,455 employees as of January 31, 2019, to 3,871 employees as of April 30, 2021.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35" w:lineRule="exact"/>
        <w:rPr>
          <w:sz w:val="20"/>
          <w:szCs w:val="20"/>
          <w:color w:val="auto"/>
        </w:rPr>
      </w:pPr>
    </w:p>
    <w:p>
      <w:pPr>
        <w:ind w:left="760" w:hanging="247"/>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effectively attract, integrate, and retain a large number of new employees, particularly members of our sales and marketing and research and development teams;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further improve our Falcon platform, including our cloud modules, and IT infrastructure, including expanding and optimizing our data centers, to support our business needs;</w:t>
      </w:r>
    </w:p>
    <w:p>
      <w:pPr>
        <w:spacing w:after="0" w:line="189" w:lineRule="exact"/>
        <w:rPr>
          <w:rFonts w:ascii="Arial" w:cs="Arial" w:eastAsia="Arial" w:hAnsi="Arial"/>
          <w:sz w:val="13"/>
          <w:szCs w:val="13"/>
          <w:color w:val="auto"/>
        </w:rPr>
      </w:pPr>
    </w:p>
    <w:p>
      <w:pPr>
        <w:ind w:left="760" w:right="200" w:hanging="247"/>
        <w:spacing w:after="0" w:line="280"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improve our financial, management, and compliance systems and controls.</w:t>
      </w:r>
    </w:p>
    <w:p>
      <w:pPr>
        <w:spacing w:after="0" w:line="178" w:lineRule="exact"/>
        <w:rPr>
          <w:sz w:val="20"/>
          <w:szCs w:val="20"/>
          <w:color w:val="auto"/>
        </w:rPr>
      </w:pPr>
    </w:p>
    <w:p>
      <w:pPr>
        <w:ind w:right="60" w:firstLine="254"/>
        <w:spacing w:after="0" w:line="266" w:lineRule="auto"/>
        <w:rPr>
          <w:sz w:val="20"/>
          <w:szCs w:val="20"/>
          <w:color w:val="auto"/>
        </w:rPr>
      </w:pPr>
      <w:r>
        <w:rPr>
          <w:rFonts w:ascii="Arial" w:cs="Arial" w:eastAsia="Arial" w:hAnsi="Arial"/>
          <w:sz w:val="14"/>
          <w:szCs w:val="14"/>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may not be able to achieve or sustain profitability in the future.</w:t>
      </w:r>
    </w:p>
    <w:p>
      <w:pPr>
        <w:spacing w:after="0" w:line="178" w:lineRule="exact"/>
        <w:rPr>
          <w:sz w:val="20"/>
          <w:szCs w:val="20"/>
          <w:color w:val="auto"/>
        </w:rPr>
      </w:pPr>
    </w:p>
    <w:p>
      <w:pPr>
        <w:ind w:right="200" w:firstLine="254"/>
        <w:spacing w:after="0" w:line="261" w:lineRule="auto"/>
        <w:rPr>
          <w:sz w:val="20"/>
          <w:szCs w:val="20"/>
          <w:color w:val="auto"/>
        </w:rPr>
      </w:pPr>
      <w:r>
        <w:rPr>
          <w:rFonts w:ascii="Arial" w:cs="Arial" w:eastAsia="Arial" w:hAnsi="Arial"/>
          <w:sz w:val="14"/>
          <w:szCs w:val="14"/>
          <w:color w:val="auto"/>
        </w:rPr>
        <w:t>We have incurred net losses in all periods since our inception, and we may not achieve or maintain profitability in the future. We experienced net losses of $140.1 million, $141.8 million, and $92.6 million for fiscal 2019, fiscal 2020, and fiscal 2021, respectively. As of April 30, 2021, we had an accumulated deficit of $815.2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75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9" w:name="page50"/>
    <w:bookmarkEnd w:id="49"/>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20"/>
        <w:spacing w:after="0" w:line="295" w:lineRule="auto"/>
        <w:rPr>
          <w:sz w:val="20"/>
          <w:szCs w:val="20"/>
          <w:color w:val="auto"/>
        </w:rPr>
      </w:pPr>
      <w:r>
        <w:rPr>
          <w:rFonts w:ascii="Arial" w:cs="Arial" w:eastAsia="Arial" w:hAnsi="Arial"/>
          <w:sz w:val="13"/>
          <w:szCs w:val="13"/>
          <w:color w:val="auto"/>
        </w:rPr>
        <w:t>our results of operations if our total revenue does not increase. We cannot assure you that these investments will result in substantial increases in our total revenue or improvements in our results of operations. In addition to the anticipated costs to grow our business, we have incurred and expect to continue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makes it difficult to evaluate our current business and future prospects, and may increase the risk of your investment.</w:t>
      </w:r>
    </w:p>
    <w:p>
      <w:pPr>
        <w:spacing w:after="0" w:line="178" w:lineRule="exact"/>
        <w:rPr>
          <w:sz w:val="20"/>
          <w:szCs w:val="20"/>
          <w:color w:val="auto"/>
        </w:rPr>
      </w:pPr>
    </w:p>
    <w:p>
      <w:pPr>
        <w:ind w:firstLine="254"/>
        <w:spacing w:after="0" w:line="257" w:lineRule="auto"/>
        <w:rPr>
          <w:sz w:val="20"/>
          <w:szCs w:val="20"/>
          <w:color w:val="auto"/>
        </w:rPr>
      </w:pPr>
      <w:r>
        <w:rPr>
          <w:rFonts w:ascii="Arial" w:cs="Arial" w:eastAsia="Arial" w:hAnsi="Arial"/>
          <w:sz w:val="14"/>
          <w:szCs w:val="14"/>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could adversely affect our business, operating results and future revenue.</w:t>
      </w:r>
    </w:p>
    <w:p>
      <w:pPr>
        <w:spacing w:after="0" w:line="178" w:lineRule="exact"/>
        <w:rPr>
          <w:sz w:val="20"/>
          <w:szCs w:val="20"/>
          <w:color w:val="auto"/>
        </w:rPr>
      </w:pPr>
    </w:p>
    <w:p>
      <w:pPr>
        <w:ind w:right="40" w:firstLine="254"/>
        <w:spacing w:after="0" w:line="277" w:lineRule="auto"/>
        <w:rPr>
          <w:sz w:val="20"/>
          <w:szCs w:val="20"/>
          <w:color w:val="auto"/>
        </w:rPr>
      </w:pPr>
      <w:r>
        <w:rPr>
          <w:rFonts w:ascii="Arial" w:cs="Arial" w:eastAsia="Arial" w:hAnsi="Arial"/>
          <w:sz w:val="13"/>
          <w:szCs w:val="13"/>
          <w:color w:val="auto"/>
        </w:rPr>
        <w:t>In March 2020, the World Health Organization declared COVID-19 a global pandemic. This contagious disease outbreak has spread across the globe and is impacting worldwide economic activity and financial markets. In light of the uncertain and rapidly evolving situation relating to the spread of COVID-19, we have taken precautionary measures intended to mitigate the spread of the virus and minimize the risk to our employees, customers, partners, and the communities in which we operate. These measures include transitioning our employee population to work remotely from home, imposing travel restrictions for our employees, shifting customer, partner and investor events to virtual-only formats, and limiting capacity at any of our offices which have reopened or may reopen during the pandemic’s duration. These precautionary measures could negatively affect our customer success efforts, delay and lengthen our sales cycles, impact our sales and marketing efforts, reduce employee efficiency and productivity, slow our international expansion efforts, increase cybersecurity risks, and create operational or other challenges, any of which could harm our business and results of operations. As we monitor the situation, taking into account vaccination progress and evolving public health guidance, planning and risk management relating to our work policies and office operations will require time from management and other employees, which may reduce the amount of time available for other initiatives. Moreover, due to our subscription-based business model, the effect of the COVID-19 pandemic may not be fully reflected in our results of operations until future periods, if at all.</w:t>
      </w:r>
    </w:p>
    <w:p>
      <w:pPr>
        <w:spacing w:after="0" w:line="140" w:lineRule="exact"/>
        <w:rPr>
          <w:sz w:val="20"/>
          <w:szCs w:val="20"/>
          <w:color w:val="auto"/>
        </w:rPr>
      </w:pPr>
    </w:p>
    <w:p>
      <w:pPr>
        <w:ind w:right="120" w:firstLine="254"/>
        <w:spacing w:after="0" w:line="281" w:lineRule="auto"/>
        <w:rPr>
          <w:sz w:val="20"/>
          <w:szCs w:val="20"/>
          <w:color w:val="auto"/>
        </w:rPr>
      </w:pPr>
      <w:r>
        <w:rPr>
          <w:rFonts w:ascii="Arial" w:cs="Arial" w:eastAsia="Arial" w:hAnsi="Arial"/>
          <w:sz w:val="13"/>
          <w:szCs w:val="13"/>
          <w:color w:val="auto"/>
        </w:rPr>
        <w:t>In addition, the COVID-19 pandemic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has adversely affected economies and financial markets globally, and continued uncertainty could lead to a prolonged economic downturn, which could result in a larger customer churn than we currently anticipate and reduced demand for our products and services, in which case our revenues could be significantly impacted. The impact of the COVID-19 pandemic may also exacerbate other risks discussed in this “Risk Factors” section and elsewhere in this Quarterly Report on Form 10-Q. It is not possible at this time to estimate the impact that the COVID-19 pandemic could have on our business, as the impact will depend on future developments, which are highly uncertain and cannot be predicted.</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organizations do not adopt cloud-based SaaS-delivered endpoint security solutions, our ability to grow our business and results of operations may be adversely affected.</w:t>
      </w:r>
    </w:p>
    <w:p>
      <w:pPr>
        <w:spacing w:after="0" w:line="189" w:lineRule="exact"/>
        <w:rPr>
          <w:sz w:val="20"/>
          <w:szCs w:val="20"/>
          <w:color w:val="auto"/>
        </w:rPr>
      </w:pPr>
    </w:p>
    <w:p>
      <w:pPr>
        <w:ind w:right="140" w:firstLine="254"/>
        <w:spacing w:after="0" w:line="257" w:lineRule="auto"/>
        <w:rPr>
          <w:sz w:val="20"/>
          <w:szCs w:val="20"/>
          <w:color w:val="auto"/>
        </w:rPr>
      </w:pPr>
      <w:r>
        <w:rPr>
          <w:rFonts w:ascii="Arial" w:cs="Arial" w:eastAsia="Arial" w:hAnsi="Arial"/>
          <w:sz w:val="14"/>
          <w:szCs w:val="14"/>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75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50" w:name="page51"/>
    <w:bookmarkEnd w:id="5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attract new customers, our future results of operations could be harmed.</w:t>
      </w:r>
    </w:p>
    <w:p>
      <w:pPr>
        <w:spacing w:after="0" w:line="178" w:lineRule="exact"/>
        <w:rPr>
          <w:sz w:val="20"/>
          <w:szCs w:val="20"/>
          <w:color w:val="auto"/>
        </w:rPr>
      </w:pPr>
    </w:p>
    <w:p>
      <w:pPr>
        <w:ind w:firstLine="254"/>
        <w:spacing w:after="0" w:line="276" w:lineRule="auto"/>
        <w:rPr>
          <w:sz w:val="20"/>
          <w:szCs w:val="20"/>
          <w:color w:val="auto"/>
        </w:rPr>
      </w:pPr>
      <w:r>
        <w:rPr>
          <w:rFonts w:ascii="Arial" w:cs="Arial" w:eastAsia="Arial" w:hAnsi="Arial"/>
          <w:sz w:val="13"/>
          <w:szCs w:val="13"/>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customers do not renew their subscriptions for our products and add additional cloud modules to their subscriptions, our future results of operations could be harmed.</w:t>
      </w:r>
    </w:p>
    <w:p>
      <w:pPr>
        <w:spacing w:after="0" w:line="189" w:lineRule="exact"/>
        <w:rPr>
          <w:sz w:val="20"/>
          <w:szCs w:val="20"/>
          <w:color w:val="auto"/>
        </w:rPr>
      </w:pPr>
    </w:p>
    <w:p>
      <w:pPr>
        <w:ind w:right="40" w:firstLine="254"/>
        <w:spacing w:after="0" w:line="256" w:lineRule="auto"/>
        <w:rPr>
          <w:sz w:val="20"/>
          <w:szCs w:val="20"/>
          <w:color w:val="auto"/>
        </w:rPr>
      </w:pPr>
      <w:r>
        <w:rPr>
          <w:rFonts w:ascii="Arial" w:cs="Arial" w:eastAsia="Arial" w:hAnsi="Arial"/>
          <w:sz w:val="14"/>
          <w:szCs w:val="14"/>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intense competition and could lose market share to our competitors, which could adversely affect our business, financial condition, and results of operations.</w:t>
      </w:r>
    </w:p>
    <w:p>
      <w:pPr>
        <w:spacing w:after="0" w:line="178" w:lineRule="exact"/>
        <w:rPr>
          <w:sz w:val="20"/>
          <w:szCs w:val="20"/>
          <w:color w:val="auto"/>
        </w:rPr>
      </w:pPr>
    </w:p>
    <w:p>
      <w:pPr>
        <w:ind w:right="20" w:firstLine="254"/>
        <w:spacing w:after="0" w:line="259" w:lineRule="auto"/>
        <w:rPr>
          <w:sz w:val="20"/>
          <w:szCs w:val="20"/>
          <w:color w:val="auto"/>
        </w:rPr>
      </w:pPr>
      <w:r>
        <w:rPr>
          <w:rFonts w:ascii="Arial" w:cs="Arial" w:eastAsia="Arial" w:hAnsi="Arial"/>
          <w:sz w:val="14"/>
          <w:szCs w:val="14"/>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47" w:lineRule="exact"/>
        <w:rPr>
          <w:sz w:val="20"/>
          <w:szCs w:val="20"/>
          <w:color w:val="auto"/>
        </w:rPr>
      </w:pPr>
    </w:p>
    <w:p>
      <w:pPr>
        <w:ind w:left="760" w:hanging="247"/>
        <w:spacing w:after="0"/>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product capabilities, including performance and reliability, of our Falcon platform, including our cloud modules, services, and features compared to those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875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51" w:name="page52"/>
    <w:bookmarkEnd w:id="51"/>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hanging="247"/>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and the ability of our competitors, to improve existing products, services, and features, or to develop new ones to address evolving customer needs;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attract, retain, and motivate talented employees;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establish and maintain relationships with channel partners;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strength of our sales and marketing efforts; and</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acquisitions or consolidation within our industry, which may result in more formidable competitors.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competitors include the following by general category:</w:t>
      </w:r>
    </w:p>
    <w:p>
      <w:pPr>
        <w:spacing w:after="0" w:line="178" w:lineRule="exact"/>
        <w:rPr>
          <w:sz w:val="20"/>
          <w:szCs w:val="20"/>
          <w:color w:val="auto"/>
        </w:rPr>
      </w:pPr>
    </w:p>
    <w:p>
      <w:pPr>
        <w:ind w:left="760" w:right="500" w:hanging="247"/>
        <w:spacing w:after="0" w:line="280"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legacy antivirus product providers, such as McAfee, LLC, Broadcom Inc.’s Symantec Enterprise division, and Microsoft Corporation, who offer a broad range of approaches and solutions including traditional antivirus and signature-based protection;</w:t>
      </w:r>
    </w:p>
    <w:p>
      <w:pPr>
        <w:spacing w:after="0" w:line="132" w:lineRule="exact"/>
        <w:rPr>
          <w:rFonts w:ascii="Arial" w:cs="Arial" w:eastAsia="Arial" w:hAnsi="Arial"/>
          <w:sz w:val="14"/>
          <w:szCs w:val="14"/>
          <w:color w:val="auto"/>
        </w:rPr>
      </w:pPr>
    </w:p>
    <w:p>
      <w:pPr>
        <w:ind w:left="760" w:right="20" w:hanging="247"/>
        <w:spacing w:after="0" w:line="280" w:lineRule="auto"/>
        <w:tabs>
          <w:tab w:leader="none" w:pos="7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alternative endpoint security providers, such as Blackberry Cylance, VMware Carbon Black and SentinelOne, who offer point products based on malware-only or application whitelisting techniques; and</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network security vendors, such as Palo Alto Networks, Inc. and FireEye, Inc., who are supplementing their core perimeter-based offerings with endpoint security solutions.</w:t>
      </w:r>
    </w:p>
    <w:p>
      <w:pPr>
        <w:spacing w:after="0" w:line="189" w:lineRule="exact"/>
        <w:rPr>
          <w:sz w:val="20"/>
          <w:szCs w:val="20"/>
          <w:color w:val="auto"/>
        </w:rPr>
      </w:pPr>
    </w:p>
    <w:p>
      <w:pPr>
        <w:ind w:firstLine="254"/>
        <w:spacing w:after="0" w:line="275" w:lineRule="auto"/>
        <w:rPr>
          <w:sz w:val="20"/>
          <w:szCs w:val="20"/>
          <w:color w:val="auto"/>
        </w:rPr>
      </w:pPr>
      <w:r>
        <w:rPr>
          <w:rFonts w:ascii="Arial" w:cs="Arial" w:eastAsia="Arial" w:hAnsi="Arial"/>
          <w:sz w:val="13"/>
          <w:szCs w:val="13"/>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pricing pressure may reduce our gross profits and adversely affect our financial results.</w:t>
      </w:r>
    </w:p>
    <w:p>
      <w:pPr>
        <w:spacing w:after="0" w:line="178" w:lineRule="exact"/>
        <w:rPr>
          <w:sz w:val="20"/>
          <w:szCs w:val="20"/>
          <w:color w:val="auto"/>
        </w:rPr>
      </w:pPr>
    </w:p>
    <w:p>
      <w:pPr>
        <w:ind w:right="40" w:firstLine="254"/>
        <w:spacing w:after="0" w:line="259" w:lineRule="auto"/>
        <w:rPr>
          <w:sz w:val="20"/>
          <w:szCs w:val="20"/>
          <w:color w:val="auto"/>
        </w:rPr>
      </w:pPr>
      <w:r>
        <w:rPr>
          <w:rFonts w:ascii="Arial" w:cs="Arial" w:eastAsia="Arial" w:hAnsi="Arial"/>
          <w:sz w:val="14"/>
          <w:szCs w:val="14"/>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436880</wp:posOffset>
            </wp:positionV>
            <wp:extent cx="71875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52" w:name="page53"/>
    <w:bookmarkEnd w:id="52"/>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80"/>
        <w:spacing w:after="0" w:line="280" w:lineRule="auto"/>
        <w:rPr>
          <w:sz w:val="20"/>
          <w:szCs w:val="20"/>
          <w:color w:val="auto"/>
        </w:rPr>
      </w:pPr>
      <w:r>
        <w:rPr>
          <w:rFonts w:ascii="Arial" w:cs="Arial" w:eastAsia="Arial" w:hAnsi="Arial"/>
          <w:sz w:val="14"/>
          <w:szCs w:val="14"/>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32" w:lineRule="exact"/>
        <w:rPr>
          <w:sz w:val="20"/>
          <w:szCs w:val="20"/>
          <w:color w:val="auto"/>
        </w:rPr>
      </w:pPr>
    </w:p>
    <w:p>
      <w:pPr>
        <w:ind w:right="20" w:firstLine="254"/>
        <w:spacing w:after="0" w:line="304" w:lineRule="auto"/>
        <w:rPr>
          <w:sz w:val="20"/>
          <w:szCs w:val="20"/>
          <w:color w:val="auto"/>
        </w:rPr>
      </w:pPr>
      <w:r>
        <w:rPr>
          <w:rFonts w:ascii="Arial" w:cs="Arial" w:eastAsia="Arial" w:hAnsi="Arial"/>
          <w:sz w:val="12"/>
          <w:szCs w:val="12"/>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25" w:lineRule="exact"/>
        <w:rPr>
          <w:sz w:val="20"/>
          <w:szCs w:val="20"/>
          <w:color w:val="auto"/>
        </w:rPr>
      </w:pPr>
    </w:p>
    <w:p>
      <w:pPr>
        <w:ind w:right="60" w:firstLine="254"/>
        <w:spacing w:after="0" w:line="257" w:lineRule="auto"/>
        <w:rPr>
          <w:sz w:val="20"/>
          <w:szCs w:val="20"/>
          <w:color w:val="auto"/>
        </w:rPr>
      </w:pPr>
      <w:r>
        <w:rPr>
          <w:rFonts w:ascii="Arial" w:cs="Arial" w:eastAsia="Arial" w:hAnsi="Arial"/>
          <w:sz w:val="14"/>
          <w:szCs w:val="14"/>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48" w:lineRule="exact"/>
        <w:rPr>
          <w:sz w:val="20"/>
          <w:szCs w:val="20"/>
          <w:color w:val="auto"/>
        </w:rPr>
      </w:pPr>
    </w:p>
    <w:p>
      <w:pPr>
        <w:ind w:right="20" w:firstLine="254"/>
        <w:spacing w:after="0" w:line="277" w:lineRule="auto"/>
        <w:rPr>
          <w:sz w:val="20"/>
          <w:szCs w:val="20"/>
          <w:color w:val="auto"/>
        </w:rPr>
      </w:pPr>
      <w:r>
        <w:rPr>
          <w:rFonts w:ascii="Arial" w:cs="Arial" w:eastAsia="Arial" w:hAnsi="Arial"/>
          <w:sz w:val="13"/>
          <w:szCs w:val="13"/>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40" w:lineRule="exact"/>
        <w:rPr>
          <w:sz w:val="20"/>
          <w:szCs w:val="20"/>
          <w:color w:val="auto"/>
        </w:rPr>
      </w:pPr>
    </w:p>
    <w:p>
      <w:pPr>
        <w:ind w:right="240"/>
        <w:spacing w:after="0" w:line="280" w:lineRule="auto"/>
        <w:rPr>
          <w:sz w:val="20"/>
          <w:szCs w:val="20"/>
          <w:color w:val="auto"/>
        </w:rPr>
      </w:pPr>
      <w:r>
        <w:rPr>
          <w:rFonts w:ascii="Arial" w:cs="Arial" w:eastAsia="Arial" w:hAnsi="Arial"/>
          <w:sz w:val="14"/>
          <w:szCs w:val="14"/>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32" w:lineRule="exact"/>
        <w:rPr>
          <w:sz w:val="20"/>
          <w:szCs w:val="20"/>
          <w:color w:val="auto"/>
        </w:rPr>
      </w:pPr>
    </w:p>
    <w:p>
      <w:pPr>
        <w:ind w:firstLine="254"/>
        <w:spacing w:after="0" w:line="279" w:lineRule="auto"/>
        <w:rPr>
          <w:sz w:val="20"/>
          <w:szCs w:val="20"/>
          <w:color w:val="auto"/>
        </w:rPr>
      </w:pPr>
      <w:r>
        <w:rPr>
          <w:rFonts w:ascii="Arial" w:cs="Arial" w:eastAsia="Arial" w:hAnsi="Arial"/>
          <w:sz w:val="13"/>
          <w:szCs w:val="13"/>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431165</wp:posOffset>
            </wp:positionV>
            <wp:extent cx="71875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53" w:name="page54"/>
    <w:bookmarkEnd w:id="53"/>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security incidents, to improve our security and responses, and regular briefing of our directors and officers on our cybersecurity risks, preparedness, and management, will be effective in protecting us from such attacks.</w:t>
      </w:r>
    </w:p>
    <w:p>
      <w:pPr>
        <w:spacing w:after="0" w:line="132" w:lineRule="exact"/>
        <w:rPr>
          <w:sz w:val="20"/>
          <w:szCs w:val="20"/>
          <w:color w:val="auto"/>
        </w:rPr>
      </w:pPr>
    </w:p>
    <w:p>
      <w:pPr>
        <w:ind w:firstLine="254"/>
        <w:spacing w:after="0" w:line="303" w:lineRule="auto"/>
        <w:rPr>
          <w:sz w:val="20"/>
          <w:szCs w:val="20"/>
          <w:color w:val="auto"/>
        </w:rPr>
      </w:pPr>
      <w:r>
        <w:rPr>
          <w:rFonts w:ascii="Arial" w:cs="Arial" w:eastAsia="Arial" w:hAnsi="Arial"/>
          <w:sz w:val="12"/>
          <w:szCs w:val="12"/>
          <w:color w:val="auto"/>
        </w:rPr>
        <w:t>It is virtually impossible for us to entirely eliminate the risk of such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25" w:lineRule="exact"/>
        <w:rPr>
          <w:sz w:val="20"/>
          <w:szCs w:val="20"/>
          <w:color w:val="auto"/>
        </w:rPr>
      </w:pPr>
    </w:p>
    <w:p>
      <w:pPr>
        <w:ind w:right="120" w:firstLine="254"/>
        <w:spacing w:after="0" w:line="318" w:lineRule="auto"/>
        <w:rPr>
          <w:sz w:val="20"/>
          <w:szCs w:val="20"/>
          <w:color w:val="auto"/>
        </w:rPr>
      </w:pPr>
      <w:r>
        <w:rPr>
          <w:rFonts w:ascii="Arial" w:cs="Arial" w:eastAsia="Arial" w:hAnsi="Arial"/>
          <w:sz w:val="12"/>
          <w:szCs w:val="12"/>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15" w:lineRule="exact"/>
        <w:rPr>
          <w:sz w:val="20"/>
          <w:szCs w:val="20"/>
          <w:color w:val="auto"/>
        </w:rPr>
      </w:pPr>
    </w:p>
    <w:p>
      <w:pPr>
        <w:ind w:right="120"/>
        <w:spacing w:after="0" w:line="366" w:lineRule="auto"/>
        <w:rPr>
          <w:sz w:val="20"/>
          <w:szCs w:val="20"/>
          <w:color w:val="auto"/>
        </w:rPr>
      </w:pPr>
      <w:r>
        <w:rPr>
          <w:rFonts w:ascii="Arial" w:cs="Arial" w:eastAsia="Arial" w:hAnsi="Arial"/>
          <w:sz w:val="12"/>
          <w:szCs w:val="12"/>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87" w:lineRule="exact"/>
        <w:rPr>
          <w:sz w:val="20"/>
          <w:szCs w:val="20"/>
          <w:color w:val="auto"/>
        </w:rPr>
      </w:pPr>
    </w:p>
    <w:p>
      <w:pPr>
        <w:ind w:right="80" w:firstLine="254"/>
        <w:spacing w:after="0" w:line="287" w:lineRule="auto"/>
        <w:rPr>
          <w:sz w:val="20"/>
          <w:szCs w:val="20"/>
          <w:color w:val="auto"/>
        </w:rPr>
      </w:pPr>
      <w:r>
        <w:rPr>
          <w:rFonts w:ascii="Arial" w:cs="Arial" w:eastAsia="Arial" w:hAnsi="Arial"/>
          <w:sz w:val="13"/>
          <w:szCs w:val="13"/>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factors, many of which are beyond our control, can affect the delivery, availability, and the performance of our Falcon platform:</w:t>
      </w:r>
    </w:p>
    <w:p>
      <w:pPr>
        <w:spacing w:after="0" w:line="178" w:lineRule="exact"/>
        <w:rPr>
          <w:sz w:val="20"/>
          <w:szCs w:val="20"/>
          <w:color w:val="auto"/>
        </w:rPr>
      </w:pPr>
    </w:p>
    <w:p>
      <w:pPr>
        <w:ind w:left="760" w:hanging="247"/>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development and maintenance of the infrastructure of the internet;</w:t>
      </w:r>
    </w:p>
    <w:p>
      <w:pPr>
        <w:spacing w:after="0" w:line="177" w:lineRule="exact"/>
        <w:rPr>
          <w:rFonts w:ascii="Arial" w:cs="Arial" w:eastAsia="Arial" w:hAnsi="Arial"/>
          <w:sz w:val="14"/>
          <w:szCs w:val="14"/>
          <w:color w:val="auto"/>
        </w:rPr>
      </w:pPr>
    </w:p>
    <w:p>
      <w:pPr>
        <w:ind w:left="760" w:hanging="247"/>
        <w:spacing w:after="0" w:line="280"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performance and availability of third-party providers of cloud infrastructure services, such as AWS, with the necessary speed, data capacity and security for providing reliable internet access and services;</w:t>
      </w:r>
    </w:p>
    <w:p>
      <w:pPr>
        <w:spacing w:after="0" w:line="132" w:lineRule="exact"/>
        <w:rPr>
          <w:rFonts w:ascii="Arial" w:cs="Arial" w:eastAsia="Arial" w:hAnsi="Arial"/>
          <w:sz w:val="14"/>
          <w:szCs w:val="14"/>
          <w:color w:val="auto"/>
        </w:rPr>
      </w:pPr>
    </w:p>
    <w:p>
      <w:pPr>
        <w:ind w:left="760" w:right="420" w:hanging="247"/>
        <w:spacing w:after="0" w:line="280"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32" w:lineRule="exact"/>
        <w:rPr>
          <w:rFonts w:ascii="Arial" w:cs="Arial" w:eastAsia="Arial" w:hAnsi="Arial"/>
          <w:sz w:val="14"/>
          <w:szCs w:val="14"/>
          <w:color w:val="auto"/>
        </w:rPr>
      </w:pPr>
    </w:p>
    <w:p>
      <w:pPr>
        <w:ind w:left="760" w:right="380" w:hanging="247"/>
        <w:spacing w:after="0" w:line="280"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physical or electronic break-ins, acts of war or terrorism, human error or interference (including by disgruntled employees, former employees or contractors) and other catastrophic events;</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cyberattacks, including denial of service attacks, targeted at us, our data centers, or the infrastructure of the internet;</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failure by us to maintain and update our cloud infrastructure to meet our data capacity requirements;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errors, defects or performance problems in our software, including third-party software incorporated in our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75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54" w:name="page55"/>
    <w:bookmarkEnd w:id="54"/>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hanging="247"/>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improper deployment or configuration of our solutions;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failure of our redundancy systems, in the event of a service disruption at one of our data centers, to provide failover to other data centers in our data center network; and</w:t>
      </w:r>
    </w:p>
    <w:p>
      <w:pPr>
        <w:spacing w:after="0" w:line="189" w:lineRule="exact"/>
        <w:rPr>
          <w:rFonts w:ascii="Arial" w:cs="Arial" w:eastAsia="Arial" w:hAnsi="Arial"/>
          <w:sz w:val="13"/>
          <w:szCs w:val="13"/>
          <w:color w:val="auto"/>
        </w:rPr>
      </w:pPr>
    </w:p>
    <w:p>
      <w:pPr>
        <w:ind w:left="760" w:hanging="247"/>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failure of our disaster recovery and business continuity arrangements.</w:t>
      </w:r>
    </w:p>
    <w:p>
      <w:pPr>
        <w:spacing w:after="0" w:line="178" w:lineRule="exact"/>
        <w:rPr>
          <w:sz w:val="20"/>
          <w:szCs w:val="20"/>
          <w:color w:val="auto"/>
        </w:rPr>
      </w:pPr>
    </w:p>
    <w:p>
      <w:pPr>
        <w:ind w:firstLine="254"/>
        <w:spacing w:after="0" w:line="279" w:lineRule="auto"/>
        <w:rPr>
          <w:sz w:val="20"/>
          <w:szCs w:val="20"/>
          <w:color w:val="auto"/>
        </w:rPr>
      </w:pPr>
      <w:r>
        <w:rPr>
          <w:rFonts w:ascii="Arial" w:cs="Arial" w:eastAsia="Arial" w:hAnsi="Arial"/>
          <w:sz w:val="13"/>
          <w:szCs w:val="13"/>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201" w:lineRule="exact"/>
        <w:rPr>
          <w:sz w:val="20"/>
          <w:szCs w:val="20"/>
          <w:color w:val="auto"/>
        </w:rPr>
      </w:pPr>
    </w:p>
    <w:p>
      <w:pPr>
        <w:ind w:right="100" w:firstLine="254"/>
        <w:spacing w:after="0" w:line="277" w:lineRule="auto"/>
        <w:rPr>
          <w:sz w:val="20"/>
          <w:szCs w:val="20"/>
          <w:color w:val="auto"/>
        </w:rPr>
      </w:pPr>
      <w:r>
        <w:rPr>
          <w:rFonts w:ascii="Arial" w:cs="Arial" w:eastAsia="Arial" w:hAnsi="Arial"/>
          <w:sz w:val="13"/>
          <w:szCs w:val="13"/>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37" w:lineRule="exact"/>
        <w:rPr>
          <w:sz w:val="20"/>
          <w:szCs w:val="20"/>
          <w:color w:val="auto"/>
        </w:rPr>
      </w:pPr>
    </w:p>
    <w:p>
      <w:pPr>
        <w:ind w:right="360"/>
        <w:spacing w:after="0" w:line="280" w:lineRule="auto"/>
        <w:rPr>
          <w:sz w:val="20"/>
          <w:szCs w:val="20"/>
          <w:color w:val="auto"/>
        </w:rPr>
      </w:pPr>
      <w:r>
        <w:rPr>
          <w:rFonts w:ascii="Arial" w:cs="Arial" w:eastAsia="Arial" w:hAnsi="Arial"/>
          <w:sz w:val="14"/>
          <w:szCs w:val="14"/>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32" w:lineRule="exact"/>
        <w:rPr>
          <w:sz w:val="20"/>
          <w:szCs w:val="20"/>
          <w:color w:val="auto"/>
        </w:rPr>
      </w:pPr>
    </w:p>
    <w:p>
      <w:pPr>
        <w:ind w:right="80" w:firstLine="254"/>
        <w:spacing w:after="0" w:line="283" w:lineRule="auto"/>
        <w:rPr>
          <w:sz w:val="20"/>
          <w:szCs w:val="20"/>
          <w:color w:val="auto"/>
        </w:rPr>
      </w:pPr>
      <w:r>
        <w:rPr>
          <w:rFonts w:ascii="Arial" w:cs="Arial" w:eastAsia="Arial" w:hAnsi="Arial"/>
          <w:sz w:val="13"/>
          <w:szCs w:val="13"/>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89" w:lineRule="exact"/>
        <w:rPr>
          <w:sz w:val="20"/>
          <w:szCs w:val="20"/>
          <w:color w:val="auto"/>
        </w:rPr>
      </w:pPr>
    </w:p>
    <w:p>
      <w:pPr>
        <w:jc w:val="both"/>
        <w:ind w:right="240" w:firstLine="254"/>
        <w:spacing w:after="0" w:line="266" w:lineRule="auto"/>
        <w:rPr>
          <w:sz w:val="20"/>
          <w:szCs w:val="20"/>
          <w:color w:val="auto"/>
        </w:rPr>
      </w:pPr>
      <w:r>
        <w:rPr>
          <w:rFonts w:ascii="Arial" w:cs="Arial" w:eastAsia="Arial" w:hAnsi="Arial"/>
          <w:sz w:val="14"/>
          <w:szCs w:val="14"/>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55" w:name="page56"/>
    <w:bookmarkEnd w:id="55"/>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impact of the COVID-19 pandemic on our operations, financial results, and liquidity and capital resources, including on customers, sales, expenses, and employees;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attract new and retain existing customers;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budgeting cycles, seasonal buying patterns, and purchasing practices of customers;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timing and length of our sales cycles;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customer or channel partner requirements or market needs;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the growth rate of the cloud-based SaaS-delivered endpoint security solutions market;</w:t>
      </w:r>
    </w:p>
    <w:p>
      <w:pPr>
        <w:spacing w:after="0" w:line="177" w:lineRule="exact"/>
        <w:rPr>
          <w:rFonts w:ascii="Arial" w:cs="Arial" w:eastAsia="Arial" w:hAnsi="Arial"/>
          <w:sz w:val="14"/>
          <w:szCs w:val="14"/>
          <w:color w:val="auto"/>
        </w:rPr>
      </w:pPr>
    </w:p>
    <w:p>
      <w:pPr>
        <w:ind w:left="760" w:right="340" w:hanging="247"/>
        <w:spacing w:after="0" w:line="280"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timing and success of new product and service introductions by us or our competitors or any other competitive developments, including consolidation among our customers or competitors;</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level of awareness of cybersecurity threats, particularly advanced cyberattacks, and the market adoption of our Falcon platform;</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ability to successfully expand our business domestically and internationally;</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decisions by organizations to purchase security solutions from larger, more established security vendors or from their primary IT equipment vendors;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our pricing policies or those of our competitors;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disruption in our relationship with channel partners;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insolvency or credit difficulties confronting our customers, affecting their ability to purchase or pay for our solutions;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significant security breaches of, technical difficulties with or interruptions to, the use of our Falcon platform;</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extraordinary expenses such as litigation or other dispute-related settlement payments or outcomes;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economic conditions, both domestic and in our foreign markets;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or practices;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negative media coverage or publicity;</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political events;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expansion of our business; and</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increases or decreases in our expenses caused by fluctuations in foreign currency exchange rates.</w:t>
      </w:r>
    </w:p>
    <w:p>
      <w:pPr>
        <w:spacing w:after="0" w:line="178"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429260</wp:posOffset>
            </wp:positionV>
            <wp:extent cx="71875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60"/>
          </w:cols>
          <w:pgMar w:left="300" w:top="298" w:right="439" w:bottom="1440" w:gutter="0" w:footer="0" w:header="0"/>
        </w:sectPr>
      </w:pPr>
    </w:p>
    <w:bookmarkStart w:id="56" w:name="page57"/>
    <w:bookmarkEnd w:id="56"/>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sales cycles can be long and unpredictable, and our sales efforts require considerable time and expense.</w:t>
      </w:r>
    </w:p>
    <w:p>
      <w:pPr>
        <w:spacing w:after="0" w:line="178"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46" w:lineRule="exact"/>
        <w:rPr>
          <w:sz w:val="20"/>
          <w:szCs w:val="20"/>
          <w:color w:val="auto"/>
        </w:rPr>
      </w:pPr>
    </w:p>
    <w:p>
      <w:pPr>
        <w:ind w:right="100" w:firstLine="254"/>
        <w:spacing w:after="0" w:line="261" w:lineRule="auto"/>
        <w:rPr>
          <w:sz w:val="20"/>
          <w:szCs w:val="20"/>
          <w:color w:val="auto"/>
        </w:rPr>
      </w:pPr>
      <w:r>
        <w:rPr>
          <w:rFonts w:ascii="Arial" w:cs="Arial" w:eastAsia="Arial" w:hAnsi="Arial"/>
          <w:sz w:val="14"/>
          <w:szCs w:val="14"/>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our key technical, sales and management personnel to grow our business, and the loss of one or more key employees could harm our business.</w:t>
      </w:r>
    </w:p>
    <w:p>
      <w:pPr>
        <w:spacing w:after="0" w:line="178" w:lineRule="exact"/>
        <w:rPr>
          <w:sz w:val="20"/>
          <w:szCs w:val="20"/>
          <w:color w:val="auto"/>
        </w:rPr>
      </w:pPr>
    </w:p>
    <w:p>
      <w:pPr>
        <w:ind w:right="160" w:firstLine="254"/>
        <w:spacing w:after="0" w:line="283" w:lineRule="auto"/>
        <w:rPr>
          <w:sz w:val="20"/>
          <w:szCs w:val="20"/>
          <w:color w:val="auto"/>
        </w:rPr>
      </w:pPr>
      <w:r>
        <w:rPr>
          <w:rFonts w:ascii="Arial" w:cs="Arial" w:eastAsia="Arial" w:hAnsi="Arial"/>
          <w:sz w:val="13"/>
          <w:szCs w:val="13"/>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attract and retain qualified personnel, our business could be harmed.</w:t>
      </w:r>
    </w:p>
    <w:p>
      <w:pPr>
        <w:spacing w:after="0" w:line="178" w:lineRule="exact"/>
        <w:rPr>
          <w:sz w:val="20"/>
          <w:szCs w:val="20"/>
          <w:color w:val="auto"/>
        </w:rPr>
      </w:pPr>
    </w:p>
    <w:p>
      <w:pPr>
        <w:ind w:firstLine="254"/>
        <w:spacing w:after="0" w:line="277" w:lineRule="auto"/>
        <w:rPr>
          <w:sz w:val="20"/>
          <w:szCs w:val="20"/>
          <w:color w:val="auto"/>
        </w:rPr>
      </w:pPr>
      <w:r>
        <w:rPr>
          <w:rFonts w:ascii="Arial" w:cs="Arial" w:eastAsia="Arial" w:hAnsi="Arial"/>
          <w:sz w:val="13"/>
          <w:szCs w:val="13"/>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37" w:lineRule="exact"/>
        <w:rPr>
          <w:sz w:val="20"/>
          <w:szCs w:val="20"/>
          <w:color w:val="auto"/>
        </w:rPr>
      </w:pPr>
    </w:p>
    <w:p>
      <w:pPr>
        <w:ind w:right="60" w:firstLine="254"/>
        <w:spacing w:after="0" w:line="259" w:lineRule="auto"/>
        <w:rPr>
          <w:sz w:val="20"/>
          <w:szCs w:val="20"/>
          <w:color w:val="auto"/>
        </w:rPr>
      </w:pPr>
      <w:r>
        <w:rPr>
          <w:rFonts w:ascii="Arial" w:cs="Arial" w:eastAsia="Arial" w:hAnsi="Arial"/>
          <w:sz w:val="14"/>
          <w:szCs w:val="14"/>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436880</wp:posOffset>
            </wp:positionV>
            <wp:extent cx="71875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57" w:name="page58"/>
    <w:bookmarkEnd w:id="57"/>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32" w:lineRule="exact"/>
        <w:rPr>
          <w:sz w:val="20"/>
          <w:szCs w:val="20"/>
          <w:color w:val="auto"/>
        </w:rPr>
      </w:pPr>
    </w:p>
    <w:p>
      <w:pPr>
        <w:ind w:right="60" w:firstLine="254"/>
        <w:spacing w:after="0" w:line="259" w:lineRule="auto"/>
        <w:rPr>
          <w:sz w:val="20"/>
          <w:szCs w:val="20"/>
          <w:color w:val="auto"/>
        </w:rPr>
      </w:pPr>
      <w:r>
        <w:rPr>
          <w:rFonts w:ascii="Arial" w:cs="Arial" w:eastAsia="Arial" w:hAnsi="Arial"/>
          <w:sz w:val="14"/>
          <w:szCs w:val="14"/>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47" w:lineRule="exact"/>
        <w:rPr>
          <w:sz w:val="20"/>
          <w:szCs w:val="20"/>
          <w:color w:val="auto"/>
        </w:rPr>
      </w:pPr>
    </w:p>
    <w:p>
      <w:pPr>
        <w:ind w:right="80" w:firstLine="254"/>
        <w:spacing w:after="0" w:line="277" w:lineRule="auto"/>
        <w:rPr>
          <w:sz w:val="20"/>
          <w:szCs w:val="20"/>
          <w:color w:val="auto"/>
        </w:rPr>
      </w:pPr>
      <w:r>
        <w:rPr>
          <w:rFonts w:ascii="Arial" w:cs="Arial" w:eastAsia="Arial" w:hAnsi="Arial"/>
          <w:sz w:val="13"/>
          <w:szCs w:val="13"/>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40" w:lineRule="exact"/>
        <w:rPr>
          <w:sz w:val="20"/>
          <w:szCs w:val="20"/>
          <w:color w:val="auto"/>
        </w:rPr>
      </w:pPr>
    </w:p>
    <w:p>
      <w:pPr>
        <w:ind w:right="120"/>
        <w:spacing w:after="0" w:line="320" w:lineRule="auto"/>
        <w:rPr>
          <w:sz w:val="20"/>
          <w:szCs w:val="20"/>
          <w:color w:val="auto"/>
        </w:rPr>
      </w:pPr>
      <w:r>
        <w:rPr>
          <w:rFonts w:ascii="Arial" w:cs="Arial" w:eastAsia="Arial" w:hAnsi="Arial"/>
          <w:sz w:val="13"/>
          <w:szCs w:val="13"/>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09" w:lineRule="exact"/>
        <w:rPr>
          <w:sz w:val="20"/>
          <w:szCs w:val="20"/>
          <w:color w:val="auto"/>
        </w:rPr>
      </w:pPr>
    </w:p>
    <w:p>
      <w:pPr>
        <w:ind w:firstLine="254"/>
        <w:spacing w:after="0" w:line="257" w:lineRule="auto"/>
        <w:rPr>
          <w:sz w:val="20"/>
          <w:szCs w:val="20"/>
          <w:color w:val="auto"/>
        </w:rPr>
      </w:pPr>
      <w:r>
        <w:rPr>
          <w:rFonts w:ascii="Arial" w:cs="Arial" w:eastAsia="Arial" w:hAnsi="Arial"/>
          <w:sz w:val="14"/>
          <w:szCs w:val="14"/>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48"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32" w:lineRule="exact"/>
        <w:rPr>
          <w:sz w:val="20"/>
          <w:szCs w:val="20"/>
          <w:color w:val="auto"/>
        </w:rPr>
      </w:pPr>
    </w:p>
    <w:p>
      <w:pPr>
        <w:ind w:right="20" w:firstLine="254"/>
        <w:spacing w:after="0" w:line="259" w:lineRule="auto"/>
        <w:rPr>
          <w:sz w:val="20"/>
          <w:szCs w:val="20"/>
          <w:color w:val="auto"/>
        </w:rPr>
      </w:pPr>
      <w:r>
        <w:rPr>
          <w:rFonts w:ascii="Arial" w:cs="Arial" w:eastAsia="Arial" w:hAnsi="Arial"/>
          <w:sz w:val="14"/>
          <w:szCs w:val="14"/>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47" w:lineRule="exact"/>
        <w:rPr>
          <w:sz w:val="20"/>
          <w:szCs w:val="20"/>
          <w:color w:val="auto"/>
        </w:rPr>
      </w:pPr>
    </w:p>
    <w:p>
      <w:pPr>
        <w:ind w:left="760" w:right="120" w:hanging="247"/>
        <w:spacing w:after="0" w:line="280"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selling to governmental agencies can be highly competitive, expensive and time consuming, often requiring significant upfront time and expense without any assurance that such efforts will generate a sale;</w:t>
      </w:r>
    </w:p>
    <w:p>
      <w:pPr>
        <w:spacing w:after="0" w:line="132" w:lineRule="exact"/>
        <w:rPr>
          <w:rFonts w:ascii="Arial" w:cs="Arial" w:eastAsia="Arial" w:hAnsi="Arial"/>
          <w:sz w:val="14"/>
          <w:szCs w:val="14"/>
          <w:color w:val="auto"/>
        </w:rPr>
      </w:pPr>
    </w:p>
    <w:p>
      <w:pPr>
        <w:ind w:left="760" w:hanging="247"/>
        <w:spacing w:after="0" w:line="320" w:lineRule="auto"/>
        <w:tabs>
          <w:tab w:leader="none" w:pos="756" w:val="left"/>
        </w:tabs>
        <w:numPr>
          <w:ilvl w:val="0"/>
          <w:numId w:val="28"/>
        </w:numPr>
        <w:rPr>
          <w:rFonts w:ascii="Arial" w:cs="Arial" w:eastAsia="Arial" w:hAnsi="Arial"/>
          <w:sz w:val="13"/>
          <w:szCs w:val="13"/>
          <w:color w:val="auto"/>
        </w:rPr>
      </w:pPr>
      <w:r>
        <w:rPr>
          <w:rFonts w:ascii="Arial" w:cs="Arial" w:eastAsia="Arial" w:hAnsi="Arial"/>
          <w:sz w:val="13"/>
          <w:szCs w:val="13"/>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58" w:name="page59"/>
    <w:bookmarkEnd w:id="58"/>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certification is costly to maintain and if we lost our certification in the future it would restrict our ability to sell to government customers;</w:t>
      </w:r>
    </w:p>
    <w:p>
      <w:pPr>
        <w:spacing w:after="0" w:line="178" w:lineRule="exact"/>
        <w:rPr>
          <w:sz w:val="20"/>
          <w:szCs w:val="20"/>
          <w:color w:val="auto"/>
        </w:rPr>
      </w:pPr>
    </w:p>
    <w:p>
      <w:pPr>
        <w:ind w:left="760" w:right="180" w:hanging="247"/>
        <w:spacing w:after="0" w:line="280"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32" w:lineRule="exact"/>
        <w:rPr>
          <w:rFonts w:ascii="Arial" w:cs="Arial" w:eastAsia="Arial" w:hAnsi="Arial"/>
          <w:sz w:val="14"/>
          <w:szCs w:val="14"/>
          <w:color w:val="auto"/>
        </w:rPr>
      </w:pPr>
    </w:p>
    <w:p>
      <w:pPr>
        <w:ind w:left="760" w:right="60" w:hanging="247"/>
        <w:spacing w:after="0" w:line="266"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41" w:lineRule="exact"/>
        <w:rPr>
          <w:rFonts w:ascii="Arial" w:cs="Arial" w:eastAsia="Arial" w:hAnsi="Arial"/>
          <w:sz w:val="14"/>
          <w:szCs w:val="14"/>
          <w:color w:val="auto"/>
        </w:rPr>
      </w:pPr>
    </w:p>
    <w:p>
      <w:pPr>
        <w:ind w:left="760" w:right="420" w:hanging="247"/>
        <w:spacing w:after="0" w:line="280"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32" w:lineRule="exact"/>
        <w:rPr>
          <w:sz w:val="20"/>
          <w:szCs w:val="20"/>
          <w:color w:val="auto"/>
        </w:rPr>
      </w:pPr>
    </w:p>
    <w:p>
      <w:pPr>
        <w:ind w:right="40" w:firstLine="254"/>
        <w:spacing w:after="0" w:line="280" w:lineRule="auto"/>
        <w:rPr>
          <w:sz w:val="20"/>
          <w:szCs w:val="20"/>
          <w:color w:val="auto"/>
        </w:rPr>
      </w:pPr>
      <w:r>
        <w:rPr>
          <w:rFonts w:ascii="Arial" w:cs="Arial" w:eastAsia="Arial" w:hAnsi="Arial"/>
          <w:sz w:val="14"/>
          <w:szCs w:val="14"/>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timely and cost-effectively scale and adapt our existing technology to meet our customers’ performance and other requirements.</w:t>
      </w:r>
    </w:p>
    <w:p>
      <w:pPr>
        <w:spacing w:after="0" w:line="178" w:lineRule="exact"/>
        <w:rPr>
          <w:sz w:val="20"/>
          <w:szCs w:val="20"/>
          <w:color w:val="auto"/>
        </w:rPr>
      </w:pPr>
    </w:p>
    <w:p>
      <w:pPr>
        <w:ind w:right="20" w:firstLine="254"/>
        <w:spacing w:after="0" w:line="277" w:lineRule="auto"/>
        <w:rPr>
          <w:sz w:val="20"/>
          <w:szCs w:val="20"/>
          <w:color w:val="auto"/>
        </w:rPr>
      </w:pPr>
      <w:r>
        <w:rPr>
          <w:rFonts w:ascii="Arial" w:cs="Arial" w:eastAsia="Arial" w:hAnsi="Arial"/>
          <w:sz w:val="13"/>
          <w:szCs w:val="13"/>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40"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maintain customer satisfaction depends in part on the quality of our customer support.</w:t>
      </w:r>
    </w:p>
    <w:p>
      <w:pPr>
        <w:spacing w:after="0" w:line="178" w:lineRule="exact"/>
        <w:rPr>
          <w:sz w:val="20"/>
          <w:szCs w:val="20"/>
          <w:color w:val="auto"/>
        </w:rPr>
      </w:pPr>
    </w:p>
    <w:p>
      <w:pPr>
        <w:ind w:right="80" w:firstLine="254"/>
        <w:spacing w:after="0" w:line="243" w:lineRule="auto"/>
        <w:rPr>
          <w:sz w:val="20"/>
          <w:szCs w:val="20"/>
          <w:color w:val="auto"/>
        </w:rPr>
      </w:pPr>
      <w:r>
        <w:rPr>
          <w:rFonts w:ascii="Arial" w:cs="Arial" w:eastAsia="Arial" w:hAnsi="Arial"/>
          <w:sz w:val="14"/>
          <w:szCs w:val="14"/>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558165</wp:posOffset>
            </wp:positionV>
            <wp:extent cx="71875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298" w:right="359" w:bottom="1440" w:gutter="0" w:footer="0" w:header="0"/>
        </w:sectPr>
      </w:pPr>
    </w:p>
    <w:bookmarkStart w:id="59" w:name="page60"/>
    <w:bookmarkEnd w:id="59"/>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59" w:lineRule="exact"/>
        <w:rPr>
          <w:sz w:val="20"/>
          <w:szCs w:val="20"/>
          <w:color w:val="auto"/>
        </w:rPr>
      </w:pPr>
    </w:p>
    <w:p>
      <w:pPr>
        <w:ind w:firstLine="254"/>
        <w:spacing w:after="0" w:line="261" w:lineRule="auto"/>
        <w:rPr>
          <w:sz w:val="20"/>
          <w:szCs w:val="20"/>
          <w:color w:val="auto"/>
        </w:rPr>
      </w:pPr>
      <w:r>
        <w:rPr>
          <w:rFonts w:ascii="Arial" w:cs="Arial" w:eastAsia="Arial" w:hAnsi="Arial"/>
          <w:sz w:val="13"/>
          <w:szCs w:val="13"/>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49"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59" w:lineRule="exact"/>
        <w:rPr>
          <w:sz w:val="20"/>
          <w:szCs w:val="20"/>
          <w:color w:val="auto"/>
        </w:rPr>
      </w:pPr>
    </w:p>
    <w:p>
      <w:pPr>
        <w:ind w:right="40" w:firstLine="254"/>
        <w:spacing w:after="0" w:line="243" w:lineRule="auto"/>
        <w:rPr>
          <w:sz w:val="20"/>
          <w:szCs w:val="20"/>
          <w:color w:val="auto"/>
        </w:rPr>
      </w:pPr>
      <w:r>
        <w:rPr>
          <w:rFonts w:ascii="Arial" w:cs="Arial" w:eastAsia="Arial" w:hAnsi="Arial"/>
          <w:sz w:val="14"/>
          <w:szCs w:val="14"/>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and plans for future international expansion expose us to significant risks, and failure to manage those risks could adversely impact our business.</w:t>
      </w:r>
    </w:p>
    <w:p>
      <w:pPr>
        <w:spacing w:after="0" w:line="189" w:lineRule="exact"/>
        <w:rPr>
          <w:sz w:val="20"/>
          <w:szCs w:val="20"/>
          <w:color w:val="auto"/>
        </w:rPr>
      </w:pPr>
    </w:p>
    <w:p>
      <w:pPr>
        <w:ind w:right="40" w:firstLine="508"/>
        <w:spacing w:after="0" w:line="270" w:lineRule="auto"/>
        <w:rPr>
          <w:sz w:val="20"/>
          <w:szCs w:val="20"/>
          <w:color w:val="auto"/>
        </w:rPr>
      </w:pPr>
      <w:r>
        <w:rPr>
          <w:rFonts w:ascii="Arial" w:cs="Arial" w:eastAsia="Arial" w:hAnsi="Arial"/>
          <w:sz w:val="13"/>
          <w:szCs w:val="13"/>
          <w:color w:val="auto"/>
        </w:rPr>
        <w:t>We derived approximately 23%, 26%, 28% and 27% of our total revenue from our international customers for fiscal 2019, fiscal 2020, fiscal 2021 and the three months ended April 30, 2021,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322" w:lineRule="exact"/>
        <w:rPr>
          <w:sz w:val="20"/>
          <w:szCs w:val="20"/>
          <w:color w:val="auto"/>
        </w:rPr>
      </w:pPr>
    </w:p>
    <w:p>
      <w:pPr>
        <w:ind w:left="500" w:hanging="241"/>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greater difficulty in negotiating contracts with standard terms, enforcing contracts and managing collections, and longer collection periods;</w:t>
      </w:r>
    </w:p>
    <w:p>
      <w:pPr>
        <w:spacing w:after="0" w:line="177" w:lineRule="exact"/>
        <w:rPr>
          <w:rFonts w:ascii="Arial" w:cs="Arial" w:eastAsia="Arial" w:hAnsi="Arial"/>
          <w:sz w:val="14"/>
          <w:szCs w:val="14"/>
          <w:color w:val="auto"/>
        </w:rPr>
      </w:pPr>
    </w:p>
    <w:p>
      <w:pPr>
        <w:ind w:left="500" w:hanging="241"/>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costs incurred in establishing and maintaining office space and equipment for our international operations;</w:t>
      </w:r>
    </w:p>
    <w:p>
      <w:pPr>
        <w:spacing w:after="0" w:line="177" w:lineRule="exact"/>
        <w:rPr>
          <w:rFonts w:ascii="Arial" w:cs="Arial" w:eastAsia="Arial" w:hAnsi="Arial"/>
          <w:sz w:val="14"/>
          <w:szCs w:val="14"/>
          <w:color w:val="auto"/>
        </w:rPr>
      </w:pPr>
    </w:p>
    <w:p>
      <w:pPr>
        <w:ind w:left="500" w:hanging="241"/>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management communication and integration problems resulting from cultural and geographic dispersion;</w:t>
      </w:r>
    </w:p>
    <w:p>
      <w:pPr>
        <w:spacing w:after="0" w:line="177" w:lineRule="exact"/>
        <w:rPr>
          <w:rFonts w:ascii="Arial" w:cs="Arial" w:eastAsia="Arial" w:hAnsi="Arial"/>
          <w:sz w:val="14"/>
          <w:szCs w:val="14"/>
          <w:color w:val="auto"/>
        </w:rPr>
      </w:pPr>
    </w:p>
    <w:p>
      <w:pPr>
        <w:ind w:left="520" w:right="500" w:hanging="261"/>
        <w:spacing w:after="0" w:line="28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risks associated with trade restrictions and foreign legal requirements, including any importation, certification, and localization of our Falcon platform that may be required in foreign countries;</w:t>
      </w:r>
    </w:p>
    <w:p>
      <w:pPr>
        <w:spacing w:after="0" w:line="132" w:lineRule="exact"/>
        <w:rPr>
          <w:rFonts w:ascii="Arial" w:cs="Arial" w:eastAsia="Arial" w:hAnsi="Arial"/>
          <w:sz w:val="14"/>
          <w:szCs w:val="14"/>
          <w:color w:val="auto"/>
        </w:rPr>
      </w:pPr>
    </w:p>
    <w:p>
      <w:pPr>
        <w:ind w:left="500" w:hanging="241"/>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greater risk of unexpected changes in regulatory practices, tariffs, and tax laws and treaties;</w:t>
      </w:r>
    </w:p>
    <w:p>
      <w:pPr>
        <w:spacing w:after="0" w:line="177" w:lineRule="exact"/>
        <w:rPr>
          <w:rFonts w:ascii="Arial" w:cs="Arial" w:eastAsia="Arial" w:hAnsi="Arial"/>
          <w:sz w:val="14"/>
          <w:szCs w:val="14"/>
          <w:color w:val="auto"/>
        </w:rPr>
      </w:pPr>
    </w:p>
    <w:p>
      <w:pPr>
        <w:ind w:left="520" w:right="340" w:hanging="261"/>
        <w:spacing w:after="0" w:line="28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32" w:lineRule="exact"/>
        <w:rPr>
          <w:rFonts w:ascii="Arial" w:cs="Arial" w:eastAsia="Arial" w:hAnsi="Arial"/>
          <w:sz w:val="14"/>
          <w:szCs w:val="14"/>
          <w:color w:val="auto"/>
        </w:rPr>
      </w:pPr>
    </w:p>
    <w:p>
      <w:pPr>
        <w:ind w:left="520" w:right="100" w:hanging="261"/>
        <w:spacing w:after="0" w:line="28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32" w:lineRule="exact"/>
        <w:rPr>
          <w:rFonts w:ascii="Arial" w:cs="Arial" w:eastAsia="Arial" w:hAnsi="Arial"/>
          <w:sz w:val="14"/>
          <w:szCs w:val="14"/>
          <w:color w:val="auto"/>
        </w:rPr>
      </w:pPr>
    </w:p>
    <w:p>
      <w:pPr>
        <w:ind w:left="500" w:hanging="241"/>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uncertainty of protection for intellectual property rights in some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75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0" w:name="page61"/>
    <w:bookmarkEnd w:id="6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general economic and political conditions in these foreign markets;</w:t>
      </w:r>
    </w:p>
    <w:p>
      <w:pPr>
        <w:spacing w:after="0" w:line="177"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foreign exchange controls or tax regulations that might prevent us from repatriating cash earned outside the United States;</w:t>
      </w:r>
    </w:p>
    <w:p>
      <w:pPr>
        <w:spacing w:after="0" w:line="188"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political and economic instability in some countries;</w:t>
      </w:r>
    </w:p>
    <w:p>
      <w:pPr>
        <w:spacing w:after="0" w:line="166"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double taxation of our international earnings and potentially adverse tax consequences due to changes in the tax laws of the United States or the foreign jurisdictions in which we operate;</w:t>
      </w:r>
    </w:p>
    <w:p>
      <w:pPr>
        <w:spacing w:after="0" w:line="178" w:lineRule="exact"/>
        <w:rPr>
          <w:rFonts w:ascii="Arial" w:cs="Arial" w:eastAsia="Arial" w:hAnsi="Arial"/>
          <w:sz w:val="13"/>
          <w:szCs w:val="13"/>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unexpected costs for the localization of our services, including translation into foreign languages and adaptation for local practices and regulatory requirements;</w:t>
      </w:r>
    </w:p>
    <w:p>
      <w:pPr>
        <w:spacing w:after="0" w:line="166"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requirements to comply with foreign privacy, data protection, and information security laws and regulations and the risks and costs of noncompliance;</w:t>
      </w:r>
    </w:p>
    <w:p>
      <w:pPr>
        <w:spacing w:after="0" w:line="166"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greater difficulty in identifying, attracting and retaining local qualified personnel, and the costs and expenses associated with such activities;</w:t>
      </w:r>
    </w:p>
    <w:p>
      <w:pPr>
        <w:spacing w:after="0" w:line="166"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greater difficulty identifying qualified channel partners and maintaining successful relationships with such partners;</w:t>
      </w:r>
    </w:p>
    <w:p>
      <w:pPr>
        <w:spacing w:after="0" w:line="166"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differing employment practices and labor relations issues; and</w:t>
      </w:r>
    </w:p>
    <w:p>
      <w:pPr>
        <w:spacing w:after="0" w:line="166"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difficulties in managing and staffing international offices and increased travel, infrastructure, and legal compliance costs associated with multiple international locations.</w:t>
      </w:r>
    </w:p>
    <w:p>
      <w:pPr>
        <w:spacing w:after="0" w:line="178" w:lineRule="exact"/>
        <w:rPr>
          <w:sz w:val="20"/>
          <w:szCs w:val="20"/>
          <w:color w:val="auto"/>
        </w:rPr>
      </w:pPr>
    </w:p>
    <w:p>
      <w:pPr>
        <w:ind w:right="140" w:firstLine="508"/>
        <w:spacing w:after="0" w:line="243" w:lineRule="auto"/>
        <w:rPr>
          <w:sz w:val="20"/>
          <w:szCs w:val="20"/>
          <w:color w:val="auto"/>
        </w:rPr>
      </w:pPr>
      <w:r>
        <w:rPr>
          <w:rFonts w:ascii="Arial" w:cs="Arial" w:eastAsia="Arial" w:hAnsi="Arial"/>
          <w:sz w:val="14"/>
          <w:szCs w:val="14"/>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Euro, Australian Dollar, and Canadian Dollar,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69" w:lineRule="exact"/>
        <w:rPr>
          <w:sz w:val="20"/>
          <w:szCs w:val="20"/>
          <w:color w:val="auto"/>
        </w:rPr>
      </w:pPr>
    </w:p>
    <w:p>
      <w:pPr>
        <w:ind w:right="100" w:firstLine="508"/>
        <w:spacing w:after="0" w:line="250" w:lineRule="auto"/>
        <w:rPr>
          <w:sz w:val="20"/>
          <w:szCs w:val="20"/>
          <w:color w:val="auto"/>
        </w:rPr>
      </w:pPr>
      <w:r>
        <w:rPr>
          <w:rFonts w:ascii="Arial" w:cs="Arial" w:eastAsia="Arial" w:hAnsi="Arial"/>
          <w:sz w:val="14"/>
          <w:szCs w:val="14"/>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53"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b w:val="1"/>
          <w:bCs w:val="1"/>
          <w:i w:val="1"/>
          <w:iCs w:val="1"/>
          <w:color w:val="auto"/>
        </w:rPr>
        <w:t>CrowdStrike is a highly-visible public company whose management, products, business, results of operations, statements and actions are scrutinized by third-parties whose influence could negatively impact the perception of our brand and the market value of our Class A common stock.</w:t>
      </w:r>
    </w:p>
    <w:p>
      <w:pPr>
        <w:spacing w:after="0" w:line="159" w:lineRule="exact"/>
        <w:rPr>
          <w:sz w:val="20"/>
          <w:szCs w:val="20"/>
          <w:color w:val="auto"/>
        </w:rPr>
      </w:pPr>
    </w:p>
    <w:p>
      <w:pPr>
        <w:ind w:right="60" w:firstLine="508"/>
        <w:spacing w:after="0" w:line="270" w:lineRule="auto"/>
        <w:rPr>
          <w:sz w:val="20"/>
          <w:szCs w:val="20"/>
          <w:color w:val="auto"/>
        </w:rPr>
      </w:pPr>
      <w:r>
        <w:rPr>
          <w:rFonts w:ascii="Arial" w:cs="Arial" w:eastAsia="Arial" w:hAnsi="Arial"/>
          <w:sz w:val="13"/>
          <w:szCs w:val="13"/>
          <w:color w:val="auto"/>
        </w:rPr>
        <w:t>CrowdStrike is a highly-visible public company whose management, products, business, results of operations, statements and actions are publicized. Such attention sometimes includes criticism of us by a range of third-parties. Our continued success depends on our ability to focus on executing on our mission and business plan while maintaining the trust of our current and potential customers, employees, stockholders and business partners. Any criticism, whether or not accurate, could influence the perception of our brand or our management by our customers, suppliers or investors, which could adversely impact our business prospects, operating results and the market value of our Class A common stock.</w:t>
      </w:r>
    </w:p>
    <w:p>
      <w:pPr>
        <w:spacing w:after="0" w:line="142"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59" w:lineRule="exact"/>
        <w:rPr>
          <w:sz w:val="20"/>
          <w:szCs w:val="20"/>
          <w:color w:val="auto"/>
        </w:rPr>
      </w:pPr>
    </w:p>
    <w:p>
      <w:pPr>
        <w:ind w:firstLine="508"/>
        <w:spacing w:after="0"/>
        <w:rPr>
          <w:sz w:val="20"/>
          <w:szCs w:val="20"/>
          <w:color w:val="auto"/>
        </w:rPr>
      </w:pPr>
      <w:r>
        <w:rPr>
          <w:rFonts w:ascii="Arial" w:cs="Arial" w:eastAsia="Arial" w:hAnsi="Arial"/>
          <w:sz w:val="14"/>
          <w:szCs w:val="14"/>
          <w:color w:val="auto"/>
        </w:rPr>
        <w:t>Our corporate headquarters are located in the San Francisco Bay Area, a region known for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at this time to estimate the impact that the COVID-19 pandemic could have on our business, as the impact will depend on future developments, which are highly uncertain and cannot be predicted.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75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1" w:name="page62"/>
    <w:bookmarkEnd w:id="61"/>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51"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59" w:lineRule="exact"/>
        <w:rPr>
          <w:sz w:val="20"/>
          <w:szCs w:val="20"/>
          <w:color w:val="auto"/>
        </w:rPr>
      </w:pPr>
    </w:p>
    <w:p>
      <w:pPr>
        <w:ind w:firstLine="508"/>
        <w:spacing w:after="0" w:line="262" w:lineRule="auto"/>
        <w:rPr>
          <w:sz w:val="20"/>
          <w:szCs w:val="20"/>
          <w:color w:val="auto"/>
        </w:rPr>
      </w:pPr>
      <w:r>
        <w:rPr>
          <w:rFonts w:ascii="Arial" w:cs="Arial" w:eastAsia="Arial" w:hAnsi="Arial"/>
          <w:sz w:val="13"/>
          <w:szCs w:val="13"/>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9" w:lineRule="exact"/>
        <w:rPr>
          <w:sz w:val="20"/>
          <w:szCs w:val="20"/>
          <w:color w:val="auto"/>
        </w:rPr>
      </w:pPr>
    </w:p>
    <w:p>
      <w:pPr>
        <w:ind w:right="40" w:firstLine="508"/>
        <w:spacing w:after="0" w:line="261" w:lineRule="auto"/>
        <w:rPr>
          <w:sz w:val="20"/>
          <w:szCs w:val="20"/>
          <w:color w:val="auto"/>
        </w:rPr>
      </w:pPr>
      <w:r>
        <w:rPr>
          <w:rFonts w:ascii="Arial" w:cs="Arial" w:eastAsia="Arial" w:hAnsi="Arial"/>
          <w:sz w:val="13"/>
          <w:szCs w:val="13"/>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Legal, and Regulatory Matters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success of our business depends in part on our ability to protect and enforce our intellectual property rights.</w:t>
      </w:r>
    </w:p>
    <w:p>
      <w:pPr>
        <w:spacing w:after="0" w:line="178" w:lineRule="exact"/>
        <w:rPr>
          <w:sz w:val="20"/>
          <w:szCs w:val="20"/>
          <w:color w:val="auto"/>
        </w:rPr>
      </w:pPr>
    </w:p>
    <w:p>
      <w:pPr>
        <w:ind w:right="20" w:firstLine="508"/>
        <w:spacing w:after="0" w:line="255" w:lineRule="auto"/>
        <w:rPr>
          <w:sz w:val="20"/>
          <w:szCs w:val="20"/>
          <w:color w:val="auto"/>
        </w:rPr>
      </w:pPr>
      <w:r>
        <w:rPr>
          <w:rFonts w:ascii="Arial" w:cs="Arial" w:eastAsia="Arial" w:hAnsi="Arial"/>
          <w:sz w:val="14"/>
          <w:szCs w:val="14"/>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75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2" w:name="page63"/>
    <w:bookmarkEnd w:id="62"/>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spacing w:after="0" w:line="280" w:lineRule="auto"/>
        <w:rPr>
          <w:sz w:val="20"/>
          <w:szCs w:val="20"/>
          <w:color w:val="auto"/>
        </w:rPr>
      </w:pPr>
      <w:r>
        <w:rPr>
          <w:rFonts w:ascii="Arial" w:cs="Arial" w:eastAsia="Arial" w:hAnsi="Arial"/>
          <w:sz w:val="14"/>
          <w:szCs w:val="14"/>
          <w:color w:val="auto"/>
        </w:rPr>
        <w:t>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32" w:lineRule="exact"/>
        <w:rPr>
          <w:sz w:val="20"/>
          <w:szCs w:val="20"/>
          <w:color w:val="auto"/>
        </w:rPr>
      </w:pPr>
    </w:p>
    <w:p>
      <w:pPr>
        <w:ind w:firstLine="508"/>
        <w:spacing w:after="0" w:line="256" w:lineRule="auto"/>
        <w:rPr>
          <w:sz w:val="20"/>
          <w:szCs w:val="20"/>
          <w:color w:val="auto"/>
        </w:rPr>
      </w:pPr>
      <w:r>
        <w:rPr>
          <w:rFonts w:ascii="Arial" w:cs="Arial" w:eastAsia="Arial" w:hAnsi="Arial"/>
          <w:sz w:val="14"/>
          <w:szCs w:val="14"/>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50" w:lineRule="exact"/>
        <w:rPr>
          <w:sz w:val="20"/>
          <w:szCs w:val="20"/>
          <w:color w:val="auto"/>
        </w:rPr>
      </w:pPr>
    </w:p>
    <w:p>
      <w:pPr>
        <w:ind w:right="400"/>
        <w:spacing w:after="0" w:line="280" w:lineRule="auto"/>
        <w:rPr>
          <w:sz w:val="20"/>
          <w:szCs w:val="20"/>
          <w:color w:val="auto"/>
        </w:rPr>
      </w:pPr>
      <w:r>
        <w:rPr>
          <w:rFonts w:ascii="Arial" w:cs="Arial" w:eastAsia="Arial" w:hAnsi="Arial"/>
          <w:sz w:val="14"/>
          <w:szCs w:val="14"/>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32" w:lineRule="exact"/>
        <w:rPr>
          <w:sz w:val="20"/>
          <w:szCs w:val="20"/>
          <w:color w:val="auto"/>
        </w:rPr>
      </w:pPr>
    </w:p>
    <w:p>
      <w:pPr>
        <w:ind w:right="40" w:firstLine="508"/>
        <w:spacing w:after="0" w:line="277" w:lineRule="auto"/>
        <w:rPr>
          <w:sz w:val="20"/>
          <w:szCs w:val="20"/>
          <w:color w:val="auto"/>
        </w:rPr>
      </w:pPr>
      <w:r>
        <w:rPr>
          <w:rFonts w:ascii="Arial" w:cs="Arial" w:eastAsia="Arial" w:hAnsi="Arial"/>
          <w:sz w:val="13"/>
          <w:szCs w:val="13"/>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37" w:lineRule="exact"/>
        <w:rPr>
          <w:sz w:val="20"/>
          <w:szCs w:val="20"/>
          <w:color w:val="auto"/>
        </w:rPr>
      </w:pPr>
    </w:p>
    <w:p>
      <w:pPr>
        <w:ind w:firstLine="508"/>
        <w:spacing w:after="0" w:line="257" w:lineRule="auto"/>
        <w:rPr>
          <w:sz w:val="20"/>
          <w:szCs w:val="20"/>
          <w:color w:val="auto"/>
        </w:rPr>
      </w:pPr>
      <w:r>
        <w:rPr>
          <w:rFonts w:ascii="Arial" w:cs="Arial" w:eastAsia="Arial" w:hAnsi="Arial"/>
          <w:sz w:val="14"/>
          <w:szCs w:val="14"/>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48" w:lineRule="exact"/>
        <w:rPr>
          <w:sz w:val="20"/>
          <w:szCs w:val="20"/>
          <w:color w:val="auto"/>
        </w:rPr>
      </w:pPr>
    </w:p>
    <w:p>
      <w:pPr>
        <w:ind w:firstLine="508"/>
        <w:spacing w:after="0" w:line="283" w:lineRule="auto"/>
        <w:rPr>
          <w:sz w:val="20"/>
          <w:szCs w:val="20"/>
          <w:color w:val="auto"/>
        </w:rPr>
      </w:pPr>
      <w:r>
        <w:rPr>
          <w:rFonts w:ascii="Arial" w:cs="Arial" w:eastAsia="Arial" w:hAnsi="Arial"/>
          <w:sz w:val="13"/>
          <w:szCs w:val="13"/>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428625</wp:posOffset>
            </wp:positionV>
            <wp:extent cx="71875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3" w:name="page64"/>
    <w:bookmarkEnd w:id="63"/>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508"/>
        <w:spacing w:after="0" w:line="279" w:lineRule="auto"/>
        <w:rPr>
          <w:sz w:val="20"/>
          <w:szCs w:val="20"/>
          <w:color w:val="auto"/>
        </w:rPr>
      </w:pPr>
      <w:r>
        <w:rPr>
          <w:rFonts w:ascii="Arial" w:cs="Arial" w:eastAsia="Arial" w:hAnsi="Arial"/>
          <w:sz w:val="13"/>
          <w:szCs w:val="13"/>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license technology from third parties, and our inability to maintain those licenses could harm our business.</w:t>
      </w:r>
    </w:p>
    <w:p>
      <w:pPr>
        <w:spacing w:after="0" w:line="178" w:lineRule="exact"/>
        <w:rPr>
          <w:sz w:val="20"/>
          <w:szCs w:val="20"/>
          <w:color w:val="auto"/>
        </w:rPr>
      </w:pPr>
    </w:p>
    <w:p>
      <w:pPr>
        <w:ind w:firstLine="508"/>
        <w:spacing w:after="0" w:line="278" w:lineRule="auto"/>
        <w:rPr>
          <w:sz w:val="20"/>
          <w:szCs w:val="20"/>
          <w:color w:val="auto"/>
        </w:rPr>
      </w:pPr>
      <w:r>
        <w:rPr>
          <w:rFonts w:ascii="Arial" w:cs="Arial" w:eastAsia="Arial" w:hAnsi="Arial"/>
          <w:sz w:val="13"/>
          <w:szCs w:val="13"/>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38" w:lineRule="exact"/>
        <w:rPr>
          <w:sz w:val="20"/>
          <w:szCs w:val="20"/>
          <w:color w:val="auto"/>
        </w:rPr>
      </w:pPr>
    </w:p>
    <w:p>
      <w:pPr>
        <w:ind w:right="580"/>
        <w:spacing w:after="0" w:line="280" w:lineRule="auto"/>
        <w:rPr>
          <w:sz w:val="20"/>
          <w:szCs w:val="20"/>
          <w:color w:val="auto"/>
        </w:rPr>
      </w:pPr>
      <w:r>
        <w:rPr>
          <w:rFonts w:ascii="Arial" w:cs="Arial" w:eastAsia="Arial" w:hAnsi="Arial"/>
          <w:sz w:val="14"/>
          <w:szCs w:val="14"/>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32" w:lineRule="exact"/>
        <w:rPr>
          <w:sz w:val="20"/>
          <w:szCs w:val="20"/>
          <w:color w:val="auto"/>
        </w:rPr>
      </w:pPr>
    </w:p>
    <w:p>
      <w:pPr>
        <w:ind w:right="80" w:firstLine="508"/>
        <w:spacing w:after="0" w:line="276" w:lineRule="auto"/>
        <w:rPr>
          <w:sz w:val="20"/>
          <w:szCs w:val="20"/>
          <w:color w:val="auto"/>
        </w:rPr>
      </w:pPr>
      <w:r>
        <w:rPr>
          <w:rFonts w:ascii="Arial" w:cs="Arial" w:eastAsia="Arial" w:hAnsi="Arial"/>
          <w:sz w:val="13"/>
          <w:szCs w:val="13"/>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the Health Insurance Portability and Accountability Act,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40" w:lineRule="exact"/>
        <w:rPr>
          <w:sz w:val="20"/>
          <w:szCs w:val="20"/>
          <w:color w:val="auto"/>
        </w:rPr>
      </w:pPr>
    </w:p>
    <w:p>
      <w:pPr>
        <w:ind w:right="20" w:firstLine="508"/>
        <w:spacing w:after="0" w:line="279" w:lineRule="auto"/>
        <w:rPr>
          <w:sz w:val="20"/>
          <w:szCs w:val="20"/>
          <w:color w:val="auto"/>
        </w:rPr>
      </w:pPr>
      <w:r>
        <w:rPr>
          <w:rFonts w:ascii="Arial" w:cs="Arial" w:eastAsia="Arial" w:hAnsi="Arial"/>
          <w:sz w:val="13"/>
          <w:szCs w:val="13"/>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431165</wp:posOffset>
            </wp:positionV>
            <wp:extent cx="71875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4" w:name="page65"/>
    <w:bookmarkEnd w:id="64"/>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150" w:lineRule="exact"/>
        <w:rPr>
          <w:sz w:val="20"/>
          <w:szCs w:val="20"/>
          <w:color w:val="auto"/>
        </w:rPr>
      </w:pPr>
    </w:p>
    <w:p>
      <w:pPr>
        <w:ind w:right="60" w:firstLine="508"/>
        <w:spacing w:after="0" w:line="276" w:lineRule="auto"/>
        <w:rPr>
          <w:sz w:val="20"/>
          <w:szCs w:val="20"/>
          <w:color w:val="auto"/>
        </w:rPr>
      </w:pPr>
      <w:r>
        <w:rPr>
          <w:rFonts w:ascii="Arial" w:cs="Arial" w:eastAsia="Arial" w:hAnsi="Arial"/>
          <w:sz w:val="13"/>
          <w:szCs w:val="13"/>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which went into effect on January 1, 2020, with enforcement commencing on July 1, 2020. The CCPA has been characterized as the first “GDPR-like” privacy statute to be enacted in the United States because it contains a number of provisions similar to certain provisions of the GDPR. In addition, the California Privacy Rights Act of 2020, or the CPRA was passed by California voters in November 2020. The CPRA amends the CCPA by creating additional privacy rights for California consumers and additional obligations on businesses, which could subject us to additional compliance costs as well as potential fines, individual claims and commercial liabilities. The majority of the CPRA provisions will take effect on January 1, 2023. 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which will take effect on January 1, 2023, was signed into law.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140" w:lineRule="exact"/>
        <w:rPr>
          <w:sz w:val="20"/>
          <w:szCs w:val="20"/>
          <w:color w:val="auto"/>
        </w:rPr>
      </w:pPr>
    </w:p>
    <w:p>
      <w:pPr>
        <w:ind w:firstLine="508"/>
        <w:spacing w:after="0" w:line="257" w:lineRule="auto"/>
        <w:rPr>
          <w:sz w:val="20"/>
          <w:szCs w:val="20"/>
          <w:color w:val="auto"/>
        </w:rPr>
      </w:pPr>
      <w:r>
        <w:rPr>
          <w:rFonts w:ascii="Arial" w:cs="Arial" w:eastAsia="Arial" w:hAnsi="Arial"/>
          <w:sz w:val="14"/>
          <w:szCs w:val="14"/>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48" w:lineRule="exact"/>
        <w:rPr>
          <w:sz w:val="20"/>
          <w:szCs w:val="20"/>
          <w:color w:val="auto"/>
        </w:rPr>
      </w:pPr>
    </w:p>
    <w:p>
      <w:pPr>
        <w:ind w:firstLine="508"/>
        <w:spacing w:after="0" w:line="266" w:lineRule="auto"/>
        <w:rPr>
          <w:sz w:val="20"/>
          <w:szCs w:val="20"/>
          <w:color w:val="auto"/>
        </w:rPr>
      </w:pPr>
      <w:r>
        <w:rPr>
          <w:rFonts w:ascii="Arial" w:cs="Arial" w:eastAsia="Arial" w:hAnsi="Arial"/>
          <w:sz w:val="14"/>
          <w:szCs w:val="14"/>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42" w:lineRule="exact"/>
        <w:rPr>
          <w:sz w:val="20"/>
          <w:szCs w:val="20"/>
          <w:color w:val="auto"/>
        </w:rPr>
      </w:pPr>
    </w:p>
    <w:p>
      <w:pPr>
        <w:ind w:firstLine="508"/>
        <w:spacing w:after="0" w:line="256" w:lineRule="auto"/>
        <w:rPr>
          <w:sz w:val="20"/>
          <w:szCs w:val="20"/>
          <w:color w:val="auto"/>
        </w:rPr>
      </w:pPr>
      <w:r>
        <w:rPr>
          <w:rFonts w:ascii="Arial" w:cs="Arial" w:eastAsia="Arial" w:hAnsi="Arial"/>
          <w:sz w:val="14"/>
          <w:szCs w:val="14"/>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438785</wp:posOffset>
            </wp:positionV>
            <wp:extent cx="71875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5" w:name="page66"/>
    <w:bookmarkEnd w:id="65"/>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46" w:lineRule="exact"/>
        <w:rPr>
          <w:sz w:val="20"/>
          <w:szCs w:val="20"/>
          <w:color w:val="auto"/>
        </w:rPr>
      </w:pPr>
    </w:p>
    <w:p>
      <w:pPr>
        <w:ind w:right="460"/>
        <w:spacing w:after="0" w:line="280" w:lineRule="auto"/>
        <w:rPr>
          <w:sz w:val="20"/>
          <w:szCs w:val="20"/>
          <w:color w:val="auto"/>
        </w:rPr>
      </w:pPr>
      <w:r>
        <w:rPr>
          <w:rFonts w:ascii="Arial" w:cs="Arial" w:eastAsia="Arial" w:hAnsi="Arial"/>
          <w:sz w:val="14"/>
          <w:szCs w:val="14"/>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32" w:lineRule="exact"/>
        <w:rPr>
          <w:sz w:val="20"/>
          <w:szCs w:val="20"/>
          <w:color w:val="auto"/>
        </w:rPr>
      </w:pPr>
    </w:p>
    <w:p>
      <w:pPr>
        <w:ind w:right="200" w:firstLine="508"/>
        <w:spacing w:after="0" w:line="287" w:lineRule="auto"/>
        <w:rPr>
          <w:sz w:val="20"/>
          <w:szCs w:val="20"/>
          <w:color w:val="auto"/>
        </w:rPr>
      </w:pPr>
      <w:r>
        <w:rPr>
          <w:rFonts w:ascii="Arial" w:cs="Arial" w:eastAsia="Arial" w:hAnsi="Arial"/>
          <w:sz w:val="13"/>
          <w:szCs w:val="13"/>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131" w:lineRule="exact"/>
        <w:rPr>
          <w:sz w:val="20"/>
          <w:szCs w:val="20"/>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investigations, enforcement actions and sanctions;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mandatory changes to our Falcon platform;</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disgorgement of profits, fines and damages;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civil and criminal penalties or injunctions;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claims for damages by our customers or channel partners;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termination of contracts;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loss of intellectual property rights;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loss of our license to do business in the jurisdictions in which we operate; and</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temporary or permanent debarment from sales to government organizations.</w:t>
      </w:r>
    </w:p>
    <w:p>
      <w:pPr>
        <w:spacing w:after="0" w:line="135" w:lineRule="exact"/>
        <w:rPr>
          <w:sz w:val="20"/>
          <w:szCs w:val="20"/>
          <w:color w:val="auto"/>
        </w:rPr>
      </w:pPr>
    </w:p>
    <w:p>
      <w:pPr>
        <w:ind w:right="200" w:firstLine="508"/>
        <w:spacing w:after="0" w:line="266" w:lineRule="auto"/>
        <w:rPr>
          <w:sz w:val="20"/>
          <w:szCs w:val="20"/>
          <w:color w:val="auto"/>
        </w:rPr>
      </w:pPr>
      <w:r>
        <w:rPr>
          <w:rFonts w:ascii="Arial" w:cs="Arial" w:eastAsia="Arial" w:hAnsi="Arial"/>
          <w:sz w:val="14"/>
          <w:szCs w:val="14"/>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00" w:lineRule="exact"/>
        <w:rPr>
          <w:sz w:val="20"/>
          <w:szCs w:val="20"/>
          <w:color w:val="auto"/>
        </w:rPr>
      </w:pPr>
    </w:p>
    <w:p>
      <w:pPr>
        <w:ind w:right="220" w:firstLine="508"/>
        <w:spacing w:after="0" w:line="366" w:lineRule="auto"/>
        <w:rPr>
          <w:sz w:val="20"/>
          <w:szCs w:val="20"/>
          <w:color w:val="auto"/>
        </w:rPr>
      </w:pPr>
      <w:r>
        <w:rPr>
          <w:rFonts w:ascii="Arial" w:cs="Arial" w:eastAsia="Arial" w:hAnsi="Arial"/>
          <w:sz w:val="12"/>
          <w:szCs w:val="12"/>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45" w:lineRule="exact"/>
        <w:rPr>
          <w:sz w:val="20"/>
          <w:szCs w:val="20"/>
          <w:color w:val="auto"/>
        </w:rPr>
      </w:pPr>
    </w:p>
    <w:p>
      <w:pPr>
        <w:ind w:firstLine="508"/>
        <w:spacing w:after="0" w:line="259" w:lineRule="auto"/>
        <w:rPr>
          <w:sz w:val="20"/>
          <w:szCs w:val="20"/>
          <w:color w:val="auto"/>
        </w:rPr>
      </w:pPr>
      <w:r>
        <w:rPr>
          <w:rFonts w:ascii="Arial" w:cs="Arial" w:eastAsia="Arial" w:hAnsi="Arial"/>
          <w:sz w:val="14"/>
          <w:szCs w:val="14"/>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105" w:lineRule="exact"/>
        <w:rPr>
          <w:sz w:val="20"/>
          <w:szCs w:val="20"/>
          <w:color w:val="auto"/>
        </w:rPr>
      </w:pPr>
    </w:p>
    <w:p>
      <w:pPr>
        <w:ind w:right="320"/>
        <w:spacing w:after="0" w:line="280" w:lineRule="auto"/>
        <w:rPr>
          <w:sz w:val="20"/>
          <w:szCs w:val="20"/>
          <w:color w:val="auto"/>
        </w:rPr>
      </w:pPr>
      <w:r>
        <w:rPr>
          <w:rFonts w:ascii="Arial" w:cs="Arial" w:eastAsia="Arial" w:hAnsi="Arial"/>
          <w:sz w:val="14"/>
          <w:szCs w:val="14"/>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90" w:lineRule="exact"/>
        <w:rPr>
          <w:sz w:val="20"/>
          <w:szCs w:val="20"/>
          <w:color w:val="auto"/>
        </w:rPr>
      </w:pPr>
    </w:p>
    <w:p>
      <w:pPr>
        <w:ind w:right="140" w:firstLine="508"/>
        <w:spacing w:after="0" w:line="320" w:lineRule="auto"/>
        <w:rPr>
          <w:sz w:val="20"/>
          <w:szCs w:val="20"/>
          <w:color w:val="auto"/>
        </w:rPr>
      </w:pPr>
      <w:r>
        <w:rPr>
          <w:rFonts w:ascii="Arial" w:cs="Arial" w:eastAsia="Arial" w:hAnsi="Arial"/>
          <w:sz w:val="13"/>
          <w:szCs w:val="13"/>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75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298" w:right="359" w:bottom="1440" w:gutter="0" w:footer="0" w:header="0"/>
        </w:sectPr>
      </w:pPr>
    </w:p>
    <w:bookmarkStart w:id="66" w:name="page67"/>
    <w:bookmarkEnd w:id="66"/>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96" w:lineRule="exact"/>
        <w:rPr>
          <w:sz w:val="20"/>
          <w:szCs w:val="20"/>
          <w:color w:val="auto"/>
        </w:rPr>
      </w:pPr>
    </w:p>
    <w:p>
      <w:pPr>
        <w:ind w:right="100" w:firstLine="508"/>
        <w:spacing w:after="0" w:line="259" w:lineRule="auto"/>
        <w:rPr>
          <w:sz w:val="20"/>
          <w:szCs w:val="20"/>
          <w:color w:val="auto"/>
        </w:rPr>
      </w:pPr>
      <w:r>
        <w:rPr>
          <w:rFonts w:ascii="Arial" w:cs="Arial" w:eastAsia="Arial" w:hAnsi="Arial"/>
          <w:sz w:val="14"/>
          <w:szCs w:val="14"/>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05" w:lineRule="exact"/>
        <w:rPr>
          <w:sz w:val="20"/>
          <w:szCs w:val="20"/>
          <w:color w:val="auto"/>
        </w:rPr>
      </w:pPr>
    </w:p>
    <w:p>
      <w:pPr>
        <w:ind w:firstLine="508"/>
        <w:spacing w:after="0" w:line="257" w:lineRule="auto"/>
        <w:rPr>
          <w:sz w:val="20"/>
          <w:szCs w:val="20"/>
          <w:color w:val="auto"/>
        </w:rPr>
      </w:pPr>
      <w:r>
        <w:rPr>
          <w:rFonts w:ascii="Arial" w:cs="Arial" w:eastAsia="Arial" w:hAnsi="Arial"/>
          <w:sz w:val="14"/>
          <w:szCs w:val="14"/>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05" w:lineRule="exact"/>
        <w:rPr>
          <w:sz w:val="20"/>
          <w:szCs w:val="20"/>
          <w:color w:val="auto"/>
        </w:rPr>
      </w:pPr>
    </w:p>
    <w:p>
      <w:pPr>
        <w:ind w:right="40" w:firstLine="508"/>
        <w:spacing w:after="0" w:line="273" w:lineRule="auto"/>
        <w:rPr>
          <w:sz w:val="20"/>
          <w:szCs w:val="20"/>
          <w:color w:val="auto"/>
        </w:rPr>
      </w:pPr>
      <w:r>
        <w:rPr>
          <w:rFonts w:ascii="Arial" w:cs="Arial" w:eastAsia="Arial" w:hAnsi="Arial"/>
          <w:sz w:val="13"/>
          <w:szCs w:val="13"/>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w:t>
      </w:r>
    </w:p>
    <w:p>
      <w:pPr>
        <w:spacing w:after="0" w:line="4"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technology incorporates “open source” software, which could negatively affect our ability to sell our Falcon platform and subject us to possible litigation.</w:t>
      </w:r>
    </w:p>
    <w:p>
      <w:pPr>
        <w:spacing w:after="0" w:line="135" w:lineRule="exact"/>
        <w:rPr>
          <w:sz w:val="20"/>
          <w:szCs w:val="20"/>
          <w:color w:val="auto"/>
        </w:rPr>
      </w:pPr>
    </w:p>
    <w:p>
      <w:pPr>
        <w:ind w:right="100" w:firstLine="508"/>
        <w:spacing w:after="0" w:line="320" w:lineRule="auto"/>
        <w:rPr>
          <w:sz w:val="20"/>
          <w:szCs w:val="20"/>
          <w:color w:val="auto"/>
        </w:rPr>
      </w:pPr>
      <w:r>
        <w:rPr>
          <w:rFonts w:ascii="Arial" w:cs="Arial" w:eastAsia="Arial" w:hAnsi="Arial"/>
          <w:sz w:val="13"/>
          <w:szCs w:val="13"/>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75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67" w:name="page68"/>
    <w:bookmarkEnd w:id="67"/>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320" w:lineRule="auto"/>
        <w:rPr>
          <w:sz w:val="20"/>
          <w:szCs w:val="20"/>
          <w:color w:val="auto"/>
        </w:rPr>
      </w:pPr>
      <w:r>
        <w:rPr>
          <w:rFonts w:ascii="Arial" w:cs="Arial" w:eastAsia="Arial" w:hAnsi="Arial"/>
          <w:sz w:val="13"/>
          <w:szCs w:val="13"/>
          <w:color w:val="auto"/>
        </w:rPr>
        <w:t>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67" w:lineRule="exact"/>
        <w:rPr>
          <w:sz w:val="20"/>
          <w:szCs w:val="20"/>
          <w:color w:val="auto"/>
        </w:rPr>
      </w:pPr>
    </w:p>
    <w:p>
      <w:pPr>
        <w:ind w:right="60" w:firstLine="508"/>
        <w:spacing w:after="0" w:line="283" w:lineRule="auto"/>
        <w:rPr>
          <w:sz w:val="20"/>
          <w:szCs w:val="20"/>
          <w:color w:val="auto"/>
        </w:rPr>
      </w:pPr>
      <w:r>
        <w:rPr>
          <w:rFonts w:ascii="Arial" w:cs="Arial" w:eastAsia="Arial" w:hAnsi="Arial"/>
          <w:sz w:val="13"/>
          <w:szCs w:val="13"/>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92" w:lineRule="exact"/>
        <w:rPr>
          <w:sz w:val="20"/>
          <w:szCs w:val="20"/>
          <w:color w:val="auto"/>
        </w:rPr>
      </w:pPr>
    </w:p>
    <w:p>
      <w:pPr>
        <w:ind w:right="60" w:firstLine="508"/>
        <w:spacing w:after="0" w:line="256" w:lineRule="auto"/>
        <w:rPr>
          <w:sz w:val="20"/>
          <w:szCs w:val="20"/>
          <w:color w:val="auto"/>
        </w:rPr>
      </w:pPr>
      <w:r>
        <w:rPr>
          <w:rFonts w:ascii="Arial" w:cs="Arial" w:eastAsia="Arial" w:hAnsi="Arial"/>
          <w:sz w:val="14"/>
          <w:szCs w:val="14"/>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50" w:lineRule="exact"/>
        <w:rPr>
          <w:sz w:val="20"/>
          <w:szCs w:val="20"/>
          <w:color w:val="auto"/>
        </w:rPr>
      </w:pPr>
    </w:p>
    <w:p>
      <w:pPr>
        <w:ind w:left="760" w:hanging="247"/>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resulting in time-consuming and costly litigation;</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diverting management’s time and attention from developing our business;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requiring us to pay monetary damages or enter into royalty and licensing agreements that we would not normally find acceptable;</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causing delays in the deployment of our Falcon platform or service offerings to our customers;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requiring us to stop offering certain services or features of our Falcon platform;</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requiring us to redesign certain components of our Falcon platform using alternative non-infringing or non-open source technology, which could require significant effort and expense;</w:t>
      </w:r>
    </w:p>
    <w:p>
      <w:pPr>
        <w:spacing w:after="0" w:line="189" w:lineRule="exact"/>
        <w:rPr>
          <w:rFonts w:ascii="Arial" w:cs="Arial" w:eastAsia="Arial" w:hAnsi="Arial"/>
          <w:sz w:val="13"/>
          <w:szCs w:val="13"/>
          <w:color w:val="auto"/>
        </w:rPr>
      </w:pPr>
    </w:p>
    <w:p>
      <w:pPr>
        <w:ind w:left="760" w:hanging="247"/>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requiring us to disclose our software source code and the detailed program commands for our software; and</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requiring us to satisfy indemnification obligations to our customers.</w:t>
      </w:r>
    </w:p>
    <w:p>
      <w:pPr>
        <w:spacing w:after="0" w:line="178"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32" w:lineRule="exact"/>
        <w:rPr>
          <w:sz w:val="20"/>
          <w:szCs w:val="20"/>
          <w:color w:val="auto"/>
        </w:rPr>
      </w:pPr>
    </w:p>
    <w:p>
      <w:pPr>
        <w:ind w:firstLine="508"/>
        <w:spacing w:after="0" w:line="257" w:lineRule="auto"/>
        <w:rPr>
          <w:sz w:val="20"/>
          <w:szCs w:val="20"/>
          <w:color w:val="auto"/>
        </w:rPr>
      </w:pPr>
      <w:r>
        <w:rPr>
          <w:rFonts w:ascii="Arial" w:cs="Arial" w:eastAsia="Arial" w:hAnsi="Arial"/>
          <w:sz w:val="14"/>
          <w:szCs w:val="14"/>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litigation that may adversely affect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75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8" w:name="page69"/>
    <w:bookmarkEnd w:id="68"/>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508"/>
        <w:spacing w:after="0" w:line="276" w:lineRule="auto"/>
        <w:rPr>
          <w:sz w:val="20"/>
          <w:szCs w:val="20"/>
          <w:color w:val="auto"/>
        </w:rPr>
      </w:pPr>
      <w:r>
        <w:rPr>
          <w:rFonts w:ascii="Arial" w:cs="Arial" w:eastAsia="Arial" w:hAnsi="Arial"/>
          <w:sz w:val="13"/>
          <w:szCs w:val="13"/>
          <w:color w:val="auto"/>
        </w:rPr>
        <w:t>We are regularly subject to claims, suits, and government investigations and other proceedings including patent, product liability, class action, whistleblower, personal injury, property damage, labor and employment (including all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40" w:lineRule="exact"/>
        <w:rPr>
          <w:sz w:val="20"/>
          <w:szCs w:val="20"/>
          <w:color w:val="auto"/>
        </w:rPr>
      </w:pPr>
    </w:p>
    <w:p>
      <w:pPr>
        <w:ind w:right="180"/>
        <w:spacing w:after="0" w:line="320" w:lineRule="auto"/>
        <w:rPr>
          <w:sz w:val="20"/>
          <w:szCs w:val="20"/>
          <w:color w:val="auto"/>
        </w:rPr>
      </w:pPr>
      <w:r>
        <w:rPr>
          <w:rFonts w:ascii="Arial" w:cs="Arial" w:eastAsia="Arial" w:hAnsi="Arial"/>
          <w:sz w:val="13"/>
          <w:szCs w:val="13"/>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09" w:lineRule="exact"/>
        <w:rPr>
          <w:sz w:val="20"/>
          <w:szCs w:val="20"/>
          <w:color w:val="auto"/>
        </w:rPr>
      </w:pPr>
    </w:p>
    <w:p>
      <w:pPr>
        <w:ind w:right="40" w:firstLine="508"/>
        <w:spacing w:after="0" w:line="259" w:lineRule="auto"/>
        <w:rPr>
          <w:sz w:val="20"/>
          <w:szCs w:val="20"/>
          <w:color w:val="auto"/>
        </w:rPr>
      </w:pPr>
      <w:r>
        <w:rPr>
          <w:rFonts w:ascii="Arial" w:cs="Arial" w:eastAsia="Arial" w:hAnsi="Arial"/>
          <w:sz w:val="14"/>
          <w:szCs w:val="14"/>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05" w:lineRule="exact"/>
        <w:rPr>
          <w:sz w:val="20"/>
          <w:szCs w:val="20"/>
          <w:color w:val="auto"/>
        </w:rPr>
      </w:pPr>
    </w:p>
    <w:p>
      <w:pPr>
        <w:ind w:firstLine="508"/>
        <w:spacing w:after="0" w:line="259" w:lineRule="auto"/>
        <w:rPr>
          <w:sz w:val="20"/>
          <w:szCs w:val="20"/>
          <w:color w:val="auto"/>
        </w:rPr>
      </w:pPr>
      <w:r>
        <w:rPr>
          <w:rFonts w:ascii="Arial" w:cs="Arial" w:eastAsia="Arial" w:hAnsi="Arial"/>
          <w:sz w:val="14"/>
          <w:szCs w:val="14"/>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47" w:lineRule="exact"/>
        <w:rPr>
          <w:sz w:val="20"/>
          <w:szCs w:val="20"/>
          <w:color w:val="auto"/>
        </w:rPr>
      </w:pPr>
    </w:p>
    <w:p>
      <w:pPr>
        <w:ind w:right="80" w:firstLine="508"/>
        <w:spacing w:after="0" w:line="283" w:lineRule="auto"/>
        <w:rPr>
          <w:sz w:val="20"/>
          <w:szCs w:val="20"/>
          <w:color w:val="auto"/>
        </w:rPr>
      </w:pPr>
      <w:r>
        <w:rPr>
          <w:rFonts w:ascii="Arial" w:cs="Arial" w:eastAsia="Arial" w:hAnsi="Arial"/>
          <w:sz w:val="13"/>
          <w:szCs w:val="13"/>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34" w:lineRule="exact"/>
        <w:rPr>
          <w:sz w:val="20"/>
          <w:szCs w:val="20"/>
          <w:color w:val="auto"/>
        </w:rPr>
      </w:pPr>
    </w:p>
    <w:p>
      <w:pPr>
        <w:ind w:right="160" w:firstLine="508"/>
        <w:spacing w:after="0" w:line="320" w:lineRule="auto"/>
        <w:rPr>
          <w:sz w:val="20"/>
          <w:szCs w:val="20"/>
          <w:color w:val="auto"/>
        </w:rPr>
      </w:pPr>
      <w:r>
        <w:rPr>
          <w:rFonts w:ascii="Arial" w:cs="Arial" w:eastAsia="Arial" w:hAnsi="Arial"/>
          <w:sz w:val="13"/>
          <w:szCs w:val="13"/>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09" w:lineRule="exact"/>
        <w:rPr>
          <w:sz w:val="20"/>
          <w:szCs w:val="20"/>
          <w:color w:val="auto"/>
        </w:rPr>
      </w:pPr>
    </w:p>
    <w:p>
      <w:pPr>
        <w:jc w:val="both"/>
        <w:ind w:right="100" w:firstLine="508"/>
        <w:spacing w:after="0" w:line="266" w:lineRule="auto"/>
        <w:rPr>
          <w:sz w:val="20"/>
          <w:szCs w:val="20"/>
          <w:color w:val="auto"/>
        </w:rPr>
      </w:pPr>
      <w:r>
        <w:rPr>
          <w:rFonts w:ascii="Arial" w:cs="Arial" w:eastAsia="Arial" w:hAnsi="Arial"/>
          <w:sz w:val="14"/>
          <w:szCs w:val="14"/>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9" w:name="page70"/>
    <w:bookmarkEnd w:id="69"/>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508"/>
        <w:spacing w:after="0" w:line="255" w:lineRule="auto"/>
        <w:rPr>
          <w:sz w:val="20"/>
          <w:szCs w:val="20"/>
          <w:color w:val="auto"/>
        </w:rPr>
      </w:pPr>
      <w:r>
        <w:rPr>
          <w:rFonts w:ascii="Arial" w:cs="Arial" w:eastAsia="Arial" w:hAnsi="Arial"/>
          <w:sz w:val="14"/>
          <w:szCs w:val="14"/>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customers, negatively impact our sales and marketing efforts, and have an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Class A common stock may be volatile, and you could lose all or part of your investment.</w:t>
      </w:r>
    </w:p>
    <w:p>
      <w:pPr>
        <w:spacing w:after="0" w:line="178" w:lineRule="exact"/>
        <w:rPr>
          <w:sz w:val="20"/>
          <w:szCs w:val="20"/>
          <w:color w:val="auto"/>
        </w:rPr>
      </w:pPr>
    </w:p>
    <w:p>
      <w:pPr>
        <w:ind w:firstLine="508"/>
        <w:spacing w:after="0" w:line="261" w:lineRule="auto"/>
        <w:rPr>
          <w:sz w:val="20"/>
          <w:szCs w:val="20"/>
          <w:color w:val="auto"/>
        </w:rPr>
      </w:pPr>
      <w:r>
        <w:rPr>
          <w:rFonts w:ascii="Arial" w:cs="Arial" w:eastAsia="Arial" w:hAnsi="Arial"/>
          <w:sz w:val="14"/>
          <w:szCs w:val="14"/>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46" w:lineRule="exact"/>
        <w:rPr>
          <w:sz w:val="20"/>
          <w:szCs w:val="20"/>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results of operations;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these projections or our failure to meet these projections;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or new or terminated significant contracts, commercial relationships or capital commitments;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industry or financial analyst or investor reaction to our press releases, other public announcements and filings with the SEC;</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77" w:lineRule="exact"/>
        <w:rPr>
          <w:rFonts w:ascii="Arial" w:cs="Arial" w:eastAsia="Arial" w:hAnsi="Arial"/>
          <w:sz w:val="14"/>
          <w:szCs w:val="14"/>
          <w:color w:val="auto"/>
        </w:rPr>
      </w:pPr>
    </w:p>
    <w:p>
      <w:pPr>
        <w:ind w:left="760" w:right="140" w:hanging="247"/>
        <w:spacing w:after="0" w:line="280"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failure of industry or financial analysts to maintain coverage of us, changes in financial estimates by any analysts who follow our company, or our failure to meet these estimates or the expectations of investors;</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rights or our solutions, or third-party proprietary rights;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or technologies by us or our competitors;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any major changes in our management or our board of directors, particularly with respect to Mr. Kurtz;</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effects of public health crises, pandemics and epidemics, such as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75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298" w:right="359" w:bottom="1440" w:gutter="0" w:footer="0" w:header="0"/>
        </w:sectPr>
      </w:pPr>
    </w:p>
    <w:bookmarkStart w:id="70" w:name="page71"/>
    <w:bookmarkEnd w:id="7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hanging="247"/>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 and</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w:t>
      </w:r>
    </w:p>
    <w:p>
      <w:pPr>
        <w:spacing w:after="0" w:line="178" w:lineRule="exact"/>
        <w:rPr>
          <w:sz w:val="20"/>
          <w:szCs w:val="20"/>
          <w:color w:val="auto"/>
        </w:rPr>
      </w:pPr>
    </w:p>
    <w:p>
      <w:pPr>
        <w:ind w:right="20" w:firstLine="508"/>
        <w:spacing w:after="0" w:line="259" w:lineRule="auto"/>
        <w:rPr>
          <w:sz w:val="20"/>
          <w:szCs w:val="20"/>
          <w:color w:val="auto"/>
        </w:rPr>
      </w:pPr>
      <w:r>
        <w:rPr>
          <w:rFonts w:ascii="Arial" w:cs="Arial" w:eastAsia="Arial" w:hAnsi="Arial"/>
          <w:sz w:val="14"/>
          <w:szCs w:val="14"/>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47"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32" w:lineRule="exact"/>
        <w:rPr>
          <w:sz w:val="20"/>
          <w:szCs w:val="20"/>
          <w:color w:val="auto"/>
        </w:rPr>
      </w:pPr>
    </w:p>
    <w:p>
      <w:pPr>
        <w:ind w:right="80" w:firstLine="508"/>
        <w:spacing w:after="0" w:line="295" w:lineRule="auto"/>
        <w:rPr>
          <w:sz w:val="20"/>
          <w:szCs w:val="20"/>
          <w:color w:val="auto"/>
        </w:rPr>
      </w:pPr>
      <w:r>
        <w:rPr>
          <w:rFonts w:ascii="Arial" w:cs="Arial" w:eastAsia="Arial" w:hAnsi="Arial"/>
          <w:sz w:val="13"/>
          <w:szCs w:val="13"/>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May 31, 2021, we had 199,244,096 shares of Class A common stock outstanding and 26,566,522 shares of Class B common stock outstanding.</w:t>
      </w:r>
    </w:p>
    <w:p>
      <w:pPr>
        <w:spacing w:after="0" w:line="126" w:lineRule="exact"/>
        <w:rPr>
          <w:sz w:val="20"/>
          <w:szCs w:val="20"/>
          <w:color w:val="auto"/>
        </w:rPr>
      </w:pPr>
    </w:p>
    <w:p>
      <w:pPr>
        <w:ind w:right="300" w:firstLine="508"/>
        <w:spacing w:after="0" w:line="280" w:lineRule="auto"/>
        <w:rPr>
          <w:sz w:val="20"/>
          <w:szCs w:val="20"/>
          <w:color w:val="auto"/>
        </w:rPr>
      </w:pPr>
      <w:r>
        <w:rPr>
          <w:rFonts w:ascii="Arial" w:cs="Arial" w:eastAsia="Arial" w:hAnsi="Arial"/>
          <w:sz w:val="14"/>
          <w:szCs w:val="14"/>
          <w:color w:val="auto"/>
        </w:rPr>
        <w:t>All of the shares of Class A common stock sold in our initial public offering are freely tradable without restrictions or further registration under the Securities Act of 1933, except for any shares held by our affiliates as defined in Rule 144 under the Securities Act.</w:t>
      </w:r>
    </w:p>
    <w:p>
      <w:pPr>
        <w:spacing w:after="0" w:line="132" w:lineRule="exact"/>
        <w:rPr>
          <w:sz w:val="20"/>
          <w:szCs w:val="20"/>
          <w:color w:val="auto"/>
        </w:rPr>
      </w:pPr>
    </w:p>
    <w:p>
      <w:pPr>
        <w:ind w:right="200" w:firstLine="508"/>
        <w:spacing w:after="0" w:line="266" w:lineRule="auto"/>
        <w:rPr>
          <w:sz w:val="20"/>
          <w:szCs w:val="20"/>
          <w:color w:val="auto"/>
        </w:rPr>
      </w:pPr>
      <w:r>
        <w:rPr>
          <w:rFonts w:ascii="Arial" w:cs="Arial" w:eastAsia="Arial" w:hAnsi="Arial"/>
          <w:sz w:val="14"/>
          <w:szCs w:val="14"/>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42" w:lineRule="exact"/>
        <w:rPr>
          <w:sz w:val="20"/>
          <w:szCs w:val="20"/>
          <w:color w:val="auto"/>
        </w:rPr>
      </w:pPr>
    </w:p>
    <w:p>
      <w:pPr>
        <w:ind w:right="380" w:firstLine="508"/>
        <w:spacing w:after="0" w:line="320" w:lineRule="auto"/>
        <w:rPr>
          <w:sz w:val="20"/>
          <w:szCs w:val="20"/>
          <w:color w:val="auto"/>
        </w:rPr>
      </w:pPr>
      <w:r>
        <w:rPr>
          <w:rFonts w:ascii="Arial" w:cs="Arial" w:eastAsia="Arial" w:hAnsi="Arial"/>
          <w:sz w:val="13"/>
          <w:szCs w:val="13"/>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09" w:lineRule="exact"/>
        <w:rPr>
          <w:sz w:val="20"/>
          <w:szCs w:val="20"/>
          <w:color w:val="auto"/>
        </w:rPr>
      </w:pPr>
    </w:p>
    <w:p>
      <w:pPr>
        <w:ind w:right="160"/>
        <w:spacing w:after="0" w:line="280" w:lineRule="auto"/>
        <w:rPr>
          <w:sz w:val="20"/>
          <w:szCs w:val="20"/>
          <w:color w:val="auto"/>
        </w:rPr>
      </w:pPr>
      <w:r>
        <w:rPr>
          <w:rFonts w:ascii="Arial" w:cs="Arial" w:eastAsia="Arial" w:hAnsi="Arial"/>
          <w:sz w:val="14"/>
          <w:szCs w:val="14"/>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32" w:lineRule="exact"/>
        <w:rPr>
          <w:sz w:val="20"/>
          <w:szCs w:val="20"/>
          <w:color w:val="auto"/>
        </w:rPr>
      </w:pPr>
    </w:p>
    <w:p>
      <w:pPr>
        <w:ind w:right="40" w:firstLine="508"/>
        <w:spacing w:after="0" w:line="256" w:lineRule="auto"/>
        <w:rPr>
          <w:sz w:val="20"/>
          <w:szCs w:val="20"/>
          <w:color w:val="auto"/>
        </w:rPr>
      </w:pPr>
      <w:r>
        <w:rPr>
          <w:rFonts w:ascii="Arial" w:cs="Arial" w:eastAsia="Arial" w:hAnsi="Arial"/>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42" w:lineRule="exact"/>
        <w:rPr>
          <w:sz w:val="20"/>
          <w:szCs w:val="20"/>
          <w:color w:val="auto"/>
        </w:rPr>
      </w:pPr>
    </w:p>
    <w:p>
      <w:pPr>
        <w:ind w:right="40" w:firstLine="508"/>
        <w:spacing w:after="0" w:line="280" w:lineRule="auto"/>
        <w:rPr>
          <w:sz w:val="20"/>
          <w:szCs w:val="20"/>
          <w:color w:val="auto"/>
        </w:rPr>
      </w:pPr>
      <w:r>
        <w:rPr>
          <w:rFonts w:ascii="Arial" w:cs="Arial" w:eastAsia="Arial" w:hAnsi="Arial"/>
          <w:sz w:val="14"/>
          <w:szCs w:val="14"/>
          <w:color w:val="auto"/>
        </w:rPr>
        <w:t>Our Class B common stock has 10 votes per share, and our Class A common stock has one vote per share. The dual class structure of our common stock has the effect of concentrating voting control with those stockholders who held our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427355</wp:posOffset>
            </wp:positionV>
            <wp:extent cx="71875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71" w:name="page72"/>
    <w:bookmarkEnd w:id="71"/>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46" w:lineRule="exact"/>
        <w:rPr>
          <w:sz w:val="20"/>
          <w:szCs w:val="20"/>
          <w:color w:val="auto"/>
        </w:rPr>
      </w:pPr>
    </w:p>
    <w:p>
      <w:pPr>
        <w:ind w:firstLine="508"/>
        <w:spacing w:after="0" w:line="257" w:lineRule="auto"/>
        <w:rPr>
          <w:sz w:val="20"/>
          <w:szCs w:val="20"/>
          <w:color w:val="auto"/>
        </w:rPr>
      </w:pPr>
      <w:r>
        <w:rPr>
          <w:rFonts w:ascii="Arial" w:cs="Arial" w:eastAsia="Arial" w:hAnsi="Arial"/>
          <w:sz w:val="14"/>
          <w:szCs w:val="14"/>
          <w:color w:val="auto"/>
        </w:rPr>
        <w:t>As of April 30, 2021, our executive officers, directors, one of our current stockholders and its respective affiliates held, in aggregate, 56% of the voting power of our outstanding capital stock. Furthermore, one of our current stockholders and its respective affiliates held, in aggregate, 20%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48" w:lineRule="exact"/>
        <w:rPr>
          <w:sz w:val="20"/>
          <w:szCs w:val="20"/>
          <w:color w:val="auto"/>
        </w:rPr>
      </w:pPr>
    </w:p>
    <w:p>
      <w:pPr>
        <w:ind w:right="380" w:firstLine="508"/>
        <w:spacing w:after="0" w:line="280" w:lineRule="auto"/>
        <w:rPr>
          <w:sz w:val="20"/>
          <w:szCs w:val="20"/>
          <w:color w:val="auto"/>
        </w:rPr>
      </w:pPr>
      <w:r>
        <w:rPr>
          <w:rFonts w:ascii="Arial" w:cs="Arial" w:eastAsia="Arial" w:hAnsi="Arial"/>
          <w:sz w:val="14"/>
          <w:szCs w:val="14"/>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of our common stock are subordinate to our debts and other liabilities, resulting in a greater risk of loss for stockholders.</w:t>
      </w:r>
    </w:p>
    <w:p>
      <w:pPr>
        <w:spacing w:after="0" w:line="178" w:lineRule="exact"/>
        <w:rPr>
          <w:sz w:val="20"/>
          <w:szCs w:val="20"/>
          <w:color w:val="auto"/>
        </w:rPr>
      </w:pPr>
    </w:p>
    <w:p>
      <w:pPr>
        <w:ind w:right="20" w:firstLine="508"/>
        <w:spacing w:after="0" w:line="280" w:lineRule="auto"/>
        <w:rPr>
          <w:sz w:val="20"/>
          <w:szCs w:val="20"/>
          <w:color w:val="auto"/>
        </w:rPr>
      </w:pPr>
      <w:r>
        <w:rPr>
          <w:rFonts w:ascii="Arial" w:cs="Arial" w:eastAsia="Arial" w:hAnsi="Arial"/>
          <w:sz w:val="14"/>
          <w:szCs w:val="14"/>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201" w:lineRule="exact"/>
        <w:rPr>
          <w:sz w:val="20"/>
          <w:szCs w:val="20"/>
          <w:color w:val="auto"/>
        </w:rPr>
      </w:pPr>
    </w:p>
    <w:p>
      <w:pPr>
        <w:ind w:right="80" w:firstLine="508"/>
        <w:spacing w:after="0" w:line="261"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issuance of additional stock in connection with financings, acquisitions, investments, our stock incentive plans, or otherwise will dilute all other stockholders.</w:t>
      </w:r>
    </w:p>
    <w:p>
      <w:pPr>
        <w:spacing w:after="0" w:line="178" w:lineRule="exact"/>
        <w:rPr>
          <w:sz w:val="20"/>
          <w:szCs w:val="20"/>
          <w:color w:val="auto"/>
        </w:rPr>
      </w:pPr>
    </w:p>
    <w:p>
      <w:pPr>
        <w:ind w:right="40" w:firstLine="508"/>
        <w:spacing w:after="0" w:line="287" w:lineRule="auto"/>
        <w:rPr>
          <w:sz w:val="20"/>
          <w:szCs w:val="20"/>
          <w:color w:val="auto"/>
        </w:rPr>
      </w:pPr>
      <w:r>
        <w:rPr>
          <w:rFonts w:ascii="Arial" w:cs="Arial" w:eastAsia="Arial" w:hAnsi="Arial"/>
          <w:sz w:val="13"/>
          <w:szCs w:val="13"/>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31"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32" w:lineRule="exact"/>
        <w:rPr>
          <w:sz w:val="20"/>
          <w:szCs w:val="20"/>
          <w:color w:val="auto"/>
        </w:rPr>
      </w:pPr>
    </w:p>
    <w:p>
      <w:pPr>
        <w:ind w:firstLine="508"/>
        <w:spacing w:after="0" w:line="266"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72" w:name="page73"/>
    <w:bookmarkEnd w:id="72"/>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right="340" w:hanging="247"/>
        <w:spacing w:after="0" w:line="280"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classified board of directors with three-year staggered terms, which could delay the ability of stockholders to change the membership of a majority of our board of directors;</w:t>
      </w:r>
    </w:p>
    <w:p>
      <w:pPr>
        <w:spacing w:after="0" w:line="189" w:lineRule="exact"/>
        <w:rPr>
          <w:rFonts w:ascii="Arial" w:cs="Arial" w:eastAsia="Arial" w:hAnsi="Arial"/>
          <w:sz w:val="13"/>
          <w:szCs w:val="13"/>
          <w:color w:val="auto"/>
        </w:rPr>
      </w:pPr>
    </w:p>
    <w:p>
      <w:pPr>
        <w:ind w:left="760" w:right="580" w:hanging="247"/>
        <w:spacing w:after="0" w:line="280"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32" w:lineRule="exact"/>
        <w:rPr>
          <w:rFonts w:ascii="Arial" w:cs="Arial" w:eastAsia="Arial" w:hAnsi="Arial"/>
          <w:sz w:val="14"/>
          <w:szCs w:val="14"/>
          <w:color w:val="auto"/>
        </w:rPr>
      </w:pPr>
    </w:p>
    <w:p>
      <w:pPr>
        <w:ind w:left="760" w:right="80" w:hanging="247"/>
        <w:spacing w:after="0" w:line="280"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2" w:lineRule="exact"/>
        <w:rPr>
          <w:rFonts w:ascii="Arial" w:cs="Arial" w:eastAsia="Arial" w:hAnsi="Arial"/>
          <w:sz w:val="14"/>
          <w:szCs w:val="14"/>
          <w:color w:val="auto"/>
        </w:rPr>
      </w:pPr>
    </w:p>
    <w:p>
      <w:pPr>
        <w:ind w:left="760" w:hanging="247"/>
        <w:spacing w:after="0" w:line="266"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41" w:lineRule="exact"/>
        <w:rPr>
          <w:rFonts w:ascii="Arial" w:cs="Arial" w:eastAsia="Arial" w:hAnsi="Arial"/>
          <w:sz w:val="14"/>
          <w:szCs w:val="14"/>
          <w:color w:val="auto"/>
        </w:rPr>
      </w:pPr>
    </w:p>
    <w:p>
      <w:pPr>
        <w:ind w:left="760" w:right="60" w:hanging="247"/>
        <w:spacing w:after="0" w:line="266" w:lineRule="auto"/>
        <w:tabs>
          <w:tab w:leader="none" w:pos="7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41" w:lineRule="exact"/>
        <w:rPr>
          <w:rFonts w:ascii="Arial" w:cs="Arial" w:eastAsia="Arial" w:hAnsi="Arial"/>
          <w:sz w:val="14"/>
          <w:szCs w:val="14"/>
          <w:color w:val="auto"/>
        </w:rPr>
      </w:pPr>
    </w:p>
    <w:p>
      <w:pPr>
        <w:ind w:left="760" w:hanging="247"/>
        <w:spacing w:after="0"/>
        <w:tabs>
          <w:tab w:leader="none" w:pos="7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certain amendments to our amended and restated certificate of incorporation require the approval of two-thirds of the then-outstanding voting power of our capital stock; and</w:t>
      </w:r>
    </w:p>
    <w:p>
      <w:pPr>
        <w:spacing w:after="0" w:line="189" w:lineRule="exact"/>
        <w:rPr>
          <w:rFonts w:ascii="Arial" w:cs="Arial" w:eastAsia="Arial" w:hAnsi="Arial"/>
          <w:sz w:val="13"/>
          <w:szCs w:val="13"/>
          <w:color w:val="auto"/>
        </w:rPr>
      </w:pPr>
    </w:p>
    <w:p>
      <w:pPr>
        <w:ind w:left="760" w:right="120" w:hanging="247"/>
        <w:spacing w:after="0" w:line="366" w:lineRule="auto"/>
        <w:tabs>
          <w:tab w:leader="none" w:pos="756" w:val="left"/>
        </w:tabs>
        <w:numPr>
          <w:ilvl w:val="0"/>
          <w:numId w:val="36"/>
        </w:numPr>
        <w:rPr>
          <w:rFonts w:ascii="Arial" w:cs="Arial" w:eastAsia="Arial" w:hAnsi="Arial"/>
          <w:sz w:val="12"/>
          <w:szCs w:val="12"/>
          <w:color w:val="auto"/>
        </w:rPr>
      </w:pPr>
      <w:r>
        <w:rPr>
          <w:rFonts w:ascii="Arial" w:cs="Arial" w:eastAsia="Arial" w:hAnsi="Arial"/>
          <w:sz w:val="12"/>
          <w:szCs w:val="12"/>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These provisions may prohibit large stockholders, in particular those owning 15% or more of our outstanding voting stock, from merging or combining with us for a certain period of time.</w:t>
      </w:r>
    </w:p>
    <w:p>
      <w:pPr>
        <w:spacing w:after="0" w:line="189"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amended and restated bylaws provide that the Court of Chancery of the State of Delaware is the exclusive forum for:</w:t>
      </w:r>
    </w:p>
    <w:p>
      <w:pPr>
        <w:spacing w:after="0" w:line="178" w:lineRule="exact"/>
        <w:rPr>
          <w:sz w:val="20"/>
          <w:szCs w:val="20"/>
          <w:color w:val="auto"/>
        </w:rPr>
      </w:pPr>
    </w:p>
    <w:p>
      <w:pPr>
        <w:ind w:left="760" w:hanging="247"/>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derivative action or proceeding brought on our behalf;</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action asserting a breach of fiduciary duty;</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Delaware General Corporation Law, our amended and restated certificate of incorporation or our amended and restated bylaws;</w:t>
      </w:r>
    </w:p>
    <w:p>
      <w:pPr>
        <w:spacing w:after="0" w:line="200" w:lineRule="exact"/>
        <w:rPr>
          <w:rFonts w:ascii="Arial" w:cs="Arial" w:eastAsia="Arial" w:hAnsi="Arial"/>
          <w:sz w:val="12"/>
          <w:szCs w:val="12"/>
          <w:color w:val="auto"/>
        </w:rPr>
      </w:pPr>
    </w:p>
    <w:p>
      <w:pPr>
        <w:ind w:left="760" w:hanging="247"/>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action to interpret, apply, enforce or determine the validity of our amended and restated certificate of incorporation or our amended and restated bylaws; and</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action asserting a claim against us that is governed by the internal-affairs doctrine.</w:t>
      </w:r>
    </w:p>
    <w:p>
      <w:pPr>
        <w:spacing w:after="0" w:line="135" w:lineRule="exact"/>
        <w:rPr>
          <w:sz w:val="20"/>
          <w:szCs w:val="20"/>
          <w:color w:val="auto"/>
        </w:rPr>
      </w:pPr>
    </w:p>
    <w:p>
      <w:pPr>
        <w:jc w:val="both"/>
        <w:ind w:right="20" w:firstLine="508"/>
        <w:spacing w:after="0" w:line="266" w:lineRule="auto"/>
        <w:rPr>
          <w:sz w:val="20"/>
          <w:szCs w:val="20"/>
          <w:color w:val="auto"/>
        </w:rPr>
      </w:pPr>
      <w:r>
        <w:rPr>
          <w:rFonts w:ascii="Arial" w:cs="Arial" w:eastAsia="Arial" w:hAnsi="Arial"/>
          <w:sz w:val="14"/>
          <w:szCs w:val="14"/>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433705</wp:posOffset>
            </wp:positionV>
            <wp:extent cx="71875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73" w:name="page74"/>
    <w:bookmarkEnd w:id="73"/>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508"/>
        <w:spacing w:after="0" w:line="280" w:lineRule="auto"/>
        <w:rPr>
          <w:sz w:val="20"/>
          <w:szCs w:val="20"/>
          <w:color w:val="auto"/>
        </w:rPr>
      </w:pPr>
      <w:r>
        <w:rPr>
          <w:rFonts w:ascii="Arial" w:cs="Arial" w:eastAsia="Arial" w:hAnsi="Arial"/>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Indebtedness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indebtedness could adversely affect our financial condition.</w:t>
      </w:r>
    </w:p>
    <w:p>
      <w:pPr>
        <w:spacing w:after="0" w:line="178" w:lineRule="exact"/>
        <w:rPr>
          <w:sz w:val="20"/>
          <w:szCs w:val="20"/>
          <w:color w:val="auto"/>
        </w:rPr>
      </w:pPr>
    </w:p>
    <w:p>
      <w:pPr>
        <w:ind w:right="200" w:firstLine="254"/>
        <w:spacing w:after="0" w:line="280" w:lineRule="auto"/>
        <w:rPr>
          <w:sz w:val="20"/>
          <w:szCs w:val="20"/>
          <w:color w:val="auto"/>
        </w:rPr>
      </w:pPr>
      <w:r>
        <w:rPr>
          <w:rFonts w:ascii="Arial" w:cs="Arial" w:eastAsia="Arial" w:hAnsi="Arial"/>
          <w:sz w:val="14"/>
          <w:szCs w:val="14"/>
          <w:color w:val="auto"/>
        </w:rPr>
        <w:t>As of April 30, 2021, we had $750.0 million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32" w:lineRule="exact"/>
        <w:rPr>
          <w:sz w:val="20"/>
          <w:szCs w:val="20"/>
          <w:color w:val="auto"/>
        </w:rPr>
      </w:pPr>
    </w:p>
    <w:p>
      <w:pPr>
        <w:ind w:left="760" w:hanging="247"/>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future working capital, capital expenditures, acquisitions or other general corporate requirements;</w:t>
      </w:r>
    </w:p>
    <w:p>
      <w:pPr>
        <w:spacing w:after="0" w:line="177" w:lineRule="exact"/>
        <w:rPr>
          <w:rFonts w:ascii="Arial" w:cs="Arial" w:eastAsia="Arial" w:hAnsi="Arial"/>
          <w:sz w:val="14"/>
          <w:szCs w:val="14"/>
          <w:color w:val="auto"/>
        </w:rPr>
      </w:pPr>
    </w:p>
    <w:p>
      <w:pPr>
        <w:ind w:left="760" w:right="100" w:hanging="247"/>
        <w:spacing w:after="0" w:line="280"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increasing our vulnerability to adverse changes in general economic, industry and competitive conditions;</w:t>
      </w:r>
    </w:p>
    <w:p>
      <w:pPr>
        <w:spacing w:after="0" w:line="177" w:lineRule="exact"/>
        <w:rPr>
          <w:rFonts w:ascii="Arial" w:cs="Arial" w:eastAsia="Arial" w:hAnsi="Arial"/>
          <w:sz w:val="14"/>
          <w:szCs w:val="14"/>
          <w:color w:val="auto"/>
        </w:rPr>
      </w:pPr>
    </w:p>
    <w:p>
      <w:pPr>
        <w:ind w:left="760" w:right="140" w:hanging="247"/>
        <w:spacing w:after="0" w:line="280" w:lineRule="auto"/>
        <w:tabs>
          <w:tab w:leader="none" w:pos="7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exposing us to the risk of increased interest rates as certain of our borrowings, including borrowings under our revolving facility, are at variable rates of interest; and increasing our cost of borrowing.</w:t>
      </w:r>
    </w:p>
    <w:p>
      <w:pPr>
        <w:spacing w:after="0" w:line="132" w:lineRule="exact"/>
        <w:rPr>
          <w:sz w:val="20"/>
          <w:szCs w:val="20"/>
          <w:color w:val="auto"/>
        </w:rPr>
      </w:pPr>
    </w:p>
    <w:p>
      <w:pPr>
        <w:ind w:right="400" w:firstLine="254"/>
        <w:spacing w:after="0" w:line="366" w:lineRule="auto"/>
        <w:rPr>
          <w:sz w:val="20"/>
          <w:szCs w:val="20"/>
          <w:color w:val="auto"/>
        </w:rPr>
      </w:pPr>
      <w:r>
        <w:rPr>
          <w:rFonts w:ascii="Arial" w:cs="Arial" w:eastAsia="Arial" w:hAnsi="Arial"/>
          <w:sz w:val="12"/>
          <w:szCs w:val="12"/>
          <w:color w:val="auto"/>
        </w:rPr>
        <w:t>In addition, our revolving facility and the indenture that governs our Senior Notes contain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87" w:lineRule="exact"/>
        <w:rPr>
          <w:sz w:val="20"/>
          <w:szCs w:val="20"/>
          <w:color w:val="auto"/>
        </w:rPr>
      </w:pPr>
    </w:p>
    <w:p>
      <w:pPr>
        <w:ind w:right="780" w:firstLine="254"/>
        <w:spacing w:after="0" w:line="280" w:lineRule="auto"/>
        <w:rPr>
          <w:sz w:val="20"/>
          <w:szCs w:val="20"/>
          <w:color w:val="auto"/>
        </w:rPr>
      </w:pPr>
      <w:r>
        <w:rPr>
          <w:rFonts w:ascii="Arial" w:cs="Arial" w:eastAsia="Arial" w:hAnsi="Arial"/>
          <w:sz w:val="14"/>
          <w:szCs w:val="14"/>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32" w:lineRule="exact"/>
        <w:rPr>
          <w:sz w:val="20"/>
          <w:szCs w:val="20"/>
          <w:color w:val="auto"/>
        </w:rPr>
      </w:pPr>
    </w:p>
    <w:p>
      <w:pPr>
        <w:ind w:right="60" w:firstLine="254"/>
        <w:spacing w:after="0" w:line="266" w:lineRule="auto"/>
        <w:rPr>
          <w:sz w:val="20"/>
          <w:szCs w:val="20"/>
          <w:color w:val="auto"/>
        </w:rPr>
      </w:pPr>
      <w:r>
        <w:rPr>
          <w:rFonts w:ascii="Arial" w:cs="Arial" w:eastAsia="Arial" w:hAnsi="Arial"/>
          <w:sz w:val="14"/>
          <w:szCs w:val="14"/>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42" w:lineRule="exact"/>
        <w:rPr>
          <w:sz w:val="20"/>
          <w:szCs w:val="20"/>
          <w:color w:val="auto"/>
        </w:rPr>
      </w:pPr>
    </w:p>
    <w:p>
      <w:pPr>
        <w:ind w:right="80" w:firstLine="254"/>
        <w:spacing w:after="0" w:line="279" w:lineRule="auto"/>
        <w:rPr>
          <w:sz w:val="20"/>
          <w:szCs w:val="20"/>
          <w:color w:val="auto"/>
        </w:rPr>
      </w:pPr>
      <w:r>
        <w:rPr>
          <w:rFonts w:ascii="Arial" w:cs="Arial" w:eastAsia="Arial" w:hAnsi="Arial"/>
          <w:sz w:val="13"/>
          <w:szCs w:val="13"/>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38" w:lineRule="exact"/>
        <w:rPr>
          <w:sz w:val="20"/>
          <w:szCs w:val="20"/>
          <w:color w:val="auto"/>
        </w:rPr>
      </w:pPr>
    </w:p>
    <w:p>
      <w:pPr>
        <w:jc w:val="both"/>
        <w:ind w:firstLine="254"/>
        <w:spacing w:after="0" w:line="266" w:lineRule="auto"/>
        <w:rPr>
          <w:sz w:val="20"/>
          <w:szCs w:val="20"/>
          <w:color w:val="auto"/>
        </w:rPr>
      </w:pPr>
      <w:r>
        <w:rPr>
          <w:rFonts w:ascii="Arial" w:cs="Arial" w:eastAsia="Arial" w:hAnsi="Arial"/>
          <w:sz w:val="14"/>
          <w:szCs w:val="14"/>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42" w:lineRule="exact"/>
        <w:rPr>
          <w:sz w:val="20"/>
          <w:szCs w:val="20"/>
          <w:color w:val="auto"/>
        </w:rPr>
      </w:pPr>
    </w:p>
    <w:p>
      <w:pPr>
        <w:ind w:right="280" w:firstLine="254"/>
        <w:spacing w:after="0" w:line="280" w:lineRule="auto"/>
        <w:rPr>
          <w:sz w:val="20"/>
          <w:szCs w:val="20"/>
          <w:color w:val="auto"/>
        </w:rPr>
      </w:pPr>
      <w:r>
        <w:rPr>
          <w:rFonts w:ascii="Arial" w:cs="Arial" w:eastAsia="Arial" w:hAnsi="Arial"/>
          <w:sz w:val="14"/>
          <w:szCs w:val="14"/>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32" w:lineRule="exact"/>
        <w:rPr>
          <w:sz w:val="20"/>
          <w:szCs w:val="20"/>
          <w:color w:val="auto"/>
        </w:rPr>
      </w:pPr>
    </w:p>
    <w:p>
      <w:pPr>
        <w:ind w:right="180" w:firstLine="254"/>
        <w:spacing w:after="0" w:line="280" w:lineRule="auto"/>
        <w:rPr>
          <w:sz w:val="20"/>
          <w:szCs w:val="20"/>
          <w:color w:val="auto"/>
        </w:rPr>
      </w:pPr>
      <w:r>
        <w:rPr>
          <w:rFonts w:ascii="Arial" w:cs="Arial" w:eastAsia="Arial" w:hAnsi="Arial"/>
          <w:sz w:val="14"/>
          <w:szCs w:val="14"/>
          <w:color w:val="auto"/>
        </w:rPr>
        <w:t>If we cannot make scheduled payments on our indebtedness, we will be in default and holders of our Senior Notes could declare all outstanding principal and interest to be due and payable, the lenders under our revolving facility could terminate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427355</wp:posOffset>
            </wp:positionV>
            <wp:extent cx="71875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74" w:name="page75"/>
    <w:bookmarkEnd w:id="74"/>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color w:val="auto"/>
        </w:rPr>
        <w:t>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42" w:lineRule="exact"/>
        <w:rPr>
          <w:sz w:val="20"/>
          <w:szCs w:val="20"/>
          <w:color w:val="auto"/>
        </w:rPr>
      </w:pPr>
    </w:p>
    <w:p>
      <w:pPr>
        <w:ind w:firstLine="254"/>
        <w:spacing w:after="0" w:line="280" w:lineRule="auto"/>
        <w:rPr>
          <w:sz w:val="20"/>
          <w:szCs w:val="20"/>
          <w:color w:val="auto"/>
        </w:rPr>
      </w:pPr>
      <w:r>
        <w:rPr>
          <w:rFonts w:ascii="Arial" w:cs="Arial" w:eastAsia="Arial" w:hAnsi="Arial"/>
          <w:sz w:val="14"/>
          <w:szCs w:val="14"/>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32" w:lineRule="exact"/>
        <w:rPr>
          <w:sz w:val="20"/>
          <w:szCs w:val="20"/>
          <w:color w:val="auto"/>
        </w:rPr>
      </w:pPr>
    </w:p>
    <w:p>
      <w:pPr>
        <w:ind w:firstLine="254"/>
        <w:spacing w:after="0" w:line="280" w:lineRule="auto"/>
        <w:rPr>
          <w:sz w:val="20"/>
          <w:szCs w:val="20"/>
          <w:color w:val="auto"/>
        </w:rPr>
      </w:pPr>
      <w:r>
        <w:rPr>
          <w:rFonts w:ascii="Arial" w:cs="Arial" w:eastAsia="Arial" w:hAnsi="Arial"/>
          <w:sz w:val="14"/>
          <w:szCs w:val="14"/>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32" w:lineRule="exact"/>
        <w:rPr>
          <w:sz w:val="20"/>
          <w:szCs w:val="20"/>
          <w:color w:val="auto"/>
        </w:rPr>
      </w:pPr>
    </w:p>
    <w:p>
      <w:pPr>
        <w:ind w:left="760" w:hanging="24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incur additional indebtedness and guarantee indebtedness;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prepay, redeem or repurchase certain indebtedness;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sell or otherwise dispose of assets;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incur liens;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alter the businesses we conduct;</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enter into agreements restricting our subsidiaries’ ability to pay dividends; and</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consolidate, merge with, or sell all or substantially all of our assets to, another person.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covenants in the indenture and supplemental indenture that govern the Senior Notes are subject to exceptions and qualifications.</w:t>
      </w:r>
    </w:p>
    <w:p>
      <w:pPr>
        <w:spacing w:after="0" w:line="178" w:lineRule="exact"/>
        <w:rPr>
          <w:sz w:val="20"/>
          <w:szCs w:val="20"/>
          <w:color w:val="auto"/>
        </w:rPr>
      </w:pPr>
    </w:p>
    <w:p>
      <w:pPr>
        <w:ind w:right="60" w:firstLine="254"/>
        <w:spacing w:after="0" w:line="320" w:lineRule="auto"/>
        <w:rPr>
          <w:sz w:val="20"/>
          <w:szCs w:val="20"/>
          <w:color w:val="auto"/>
        </w:rPr>
      </w:pPr>
      <w:r>
        <w:rPr>
          <w:rFonts w:ascii="Arial" w:cs="Arial" w:eastAsia="Arial" w:hAnsi="Arial"/>
          <w:sz w:val="13"/>
          <w:szCs w:val="13"/>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09" w:lineRule="exact"/>
        <w:rPr>
          <w:sz w:val="20"/>
          <w:szCs w:val="20"/>
          <w:color w:val="auto"/>
        </w:rPr>
      </w:pPr>
    </w:p>
    <w:p>
      <w:pPr>
        <w:ind w:left="760" w:hanging="247"/>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finance our operations;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make needed capital expenditures;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make strategic acquisitions or investments or enter into joint ventures;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withstand a future downturn in our business, the industry or the economy in general;</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engage in business activities, including future opportunities, that may be in our best interest; and</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plan for or react to market conditions or otherwise execute our business strategies.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restrictions may affect our ability to expand our business, which could have a material adverse effect on our business, financial condition and results of operations.</w:t>
      </w:r>
    </w:p>
    <w:p>
      <w:pPr>
        <w:spacing w:after="0" w:line="178"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42" w:lineRule="exact"/>
        <w:rPr>
          <w:sz w:val="20"/>
          <w:szCs w:val="20"/>
          <w:color w:val="auto"/>
        </w:rPr>
      </w:pPr>
    </w:p>
    <w:p>
      <w:pPr>
        <w:ind w:right="440" w:firstLine="254"/>
        <w:spacing w:after="0" w:line="280" w:lineRule="auto"/>
        <w:rPr>
          <w:sz w:val="20"/>
          <w:szCs w:val="20"/>
          <w:color w:val="auto"/>
        </w:rPr>
      </w:pPr>
      <w:r>
        <w:rPr>
          <w:rFonts w:ascii="Arial" w:cs="Arial" w:eastAsia="Arial" w:hAnsi="Arial"/>
          <w:sz w:val="14"/>
          <w:szCs w:val="14"/>
          <w:color w:val="auto"/>
        </w:rPr>
        <w:t>Our failure to comply with the restrictive covenants described above and/or the terms of any future indebtedness from time to time could result in an event of default, which, if not cured or waived, could result in our being required to repay these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427355</wp:posOffset>
            </wp:positionV>
            <wp:extent cx="71875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75" w:name="page76"/>
    <w:bookmarkEnd w:id="75"/>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before their due date. If we are forced to refinance these borrowings on less favorable terms or cannot refinance these borrowings, our business, financial condition and results of operations could be adversely affected.</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Our revolving facility and the indenture that governs our Senior Notes contain cross-default provisions that could result in the acceleration of all of our indebtedness.</w:t>
      </w:r>
    </w:p>
    <w:p>
      <w:pPr>
        <w:spacing w:after="0" w:line="189" w:lineRule="exact"/>
        <w:rPr>
          <w:sz w:val="20"/>
          <w:szCs w:val="20"/>
          <w:color w:val="auto"/>
        </w:rPr>
      </w:pPr>
    </w:p>
    <w:p>
      <w:pPr>
        <w:ind w:right="100" w:firstLine="254"/>
        <w:spacing w:after="0" w:line="257" w:lineRule="auto"/>
        <w:rPr>
          <w:sz w:val="20"/>
          <w:szCs w:val="20"/>
          <w:color w:val="auto"/>
        </w:rPr>
      </w:pPr>
      <w:r>
        <w:rPr>
          <w:rFonts w:ascii="Arial" w:cs="Arial" w:eastAsia="Arial" w:hAnsi="Arial"/>
          <w:sz w:val="14"/>
          <w:szCs w:val="14"/>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phase-out, replacement or unavailability of LIBOR could adversely affect our cost of capital or our financial condition.</w:t>
      </w:r>
    </w:p>
    <w:p>
      <w:pPr>
        <w:spacing w:after="0" w:line="178" w:lineRule="exact"/>
        <w:rPr>
          <w:sz w:val="20"/>
          <w:szCs w:val="20"/>
          <w:color w:val="auto"/>
        </w:rPr>
      </w:pPr>
    </w:p>
    <w:p>
      <w:pPr>
        <w:ind w:firstLine="254"/>
        <w:spacing w:after="0" w:line="287" w:lineRule="auto"/>
        <w:rPr>
          <w:sz w:val="20"/>
          <w:szCs w:val="20"/>
          <w:color w:val="auto"/>
        </w:rPr>
      </w:pPr>
      <w:r>
        <w:rPr>
          <w:rFonts w:ascii="Arial" w:cs="Arial" w:eastAsia="Arial" w:hAnsi="Arial"/>
          <w:sz w:val="13"/>
          <w:szCs w:val="13"/>
          <w:color w:val="auto"/>
        </w:rPr>
        <w:t>The head of the United Kingdom Financial Conduct Authority has announced the desire to phase out the use of LIBOR by the end of 2021. Our revolving facility provides that LIBOR may be substituted in certain circumstances with an alternative benchmark interest rate, subject to notice to all lenders and the absence of objection by the lenders. Any such substitution could have an adverse impact on our cost of capital. Currently, there is no definitive information regarding which alternative benchmark interest rate that will replace LIBOR, how such alternative benchmark interest rate may differ from LIBOR, and when such substitution may occur. As such, we cannot determine the potential effect of such transition on our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89" w:lineRule="exact"/>
        <w:rPr>
          <w:sz w:val="20"/>
          <w:szCs w:val="20"/>
          <w:color w:val="auto"/>
        </w:rPr>
      </w:pPr>
    </w:p>
    <w:p>
      <w:pPr>
        <w:ind w:right="40" w:firstLine="508"/>
        <w:spacing w:after="0" w:line="279" w:lineRule="auto"/>
        <w:rPr>
          <w:sz w:val="20"/>
          <w:szCs w:val="20"/>
          <w:color w:val="auto"/>
        </w:rPr>
      </w:pPr>
      <w:r>
        <w:rPr>
          <w:rFonts w:ascii="Arial" w:cs="Arial" w:eastAsia="Arial" w:hAnsi="Arial"/>
          <w:sz w:val="13"/>
          <w:szCs w:val="13"/>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38" w:lineRule="exact"/>
        <w:rPr>
          <w:sz w:val="20"/>
          <w:szCs w:val="20"/>
          <w:color w:val="auto"/>
        </w:rPr>
      </w:pPr>
    </w:p>
    <w:p>
      <w:pPr>
        <w:ind w:right="120" w:firstLine="508"/>
        <w:spacing w:after="0" w:line="259" w:lineRule="auto"/>
        <w:rPr>
          <w:sz w:val="20"/>
          <w:szCs w:val="20"/>
          <w:color w:val="auto"/>
        </w:rPr>
      </w:pPr>
      <w:r>
        <w:rPr>
          <w:rFonts w:ascii="Arial" w:cs="Arial" w:eastAsia="Arial" w:hAnsi="Arial"/>
          <w:sz w:val="14"/>
          <w:szCs w:val="14"/>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47" w:lineRule="exact"/>
        <w:rPr>
          <w:sz w:val="20"/>
          <w:szCs w:val="20"/>
          <w:color w:val="auto"/>
        </w:rPr>
      </w:pPr>
    </w:p>
    <w:p>
      <w:pPr>
        <w:jc w:val="both"/>
        <w:ind w:right="100" w:firstLine="508"/>
        <w:spacing w:after="0" w:line="259" w:lineRule="auto"/>
        <w:rPr>
          <w:sz w:val="20"/>
          <w:szCs w:val="20"/>
          <w:color w:val="auto"/>
        </w:rPr>
      </w:pPr>
      <w:r>
        <w:rPr>
          <w:rFonts w:ascii="Arial" w:cs="Arial" w:eastAsia="Arial" w:hAnsi="Arial"/>
          <w:sz w:val="14"/>
          <w:szCs w:val="14"/>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436880</wp:posOffset>
            </wp:positionV>
            <wp:extent cx="71875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76" w:name="page77"/>
    <w:bookmarkEnd w:id="76"/>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508"/>
        <w:spacing w:after="0" w:line="280" w:lineRule="auto"/>
        <w:rPr>
          <w:sz w:val="20"/>
          <w:szCs w:val="20"/>
          <w:color w:val="auto"/>
        </w:rPr>
      </w:pPr>
      <w:r>
        <w:rPr>
          <w:rFonts w:ascii="Arial" w:cs="Arial" w:eastAsia="Arial" w:hAnsi="Arial"/>
          <w:sz w:val="14"/>
          <w:szCs w:val="14"/>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32" w:lineRule="exact"/>
        <w:rPr>
          <w:sz w:val="20"/>
          <w:szCs w:val="20"/>
          <w:color w:val="auto"/>
        </w:rPr>
      </w:pPr>
    </w:p>
    <w:p>
      <w:pPr>
        <w:ind w:right="240"/>
        <w:spacing w:after="0" w:line="280" w:lineRule="auto"/>
        <w:rPr>
          <w:sz w:val="20"/>
          <w:szCs w:val="20"/>
          <w:color w:val="auto"/>
        </w:rPr>
      </w:pPr>
      <w:r>
        <w:rPr>
          <w:rFonts w:ascii="Arial" w:cs="Arial" w:eastAsia="Arial" w:hAnsi="Arial"/>
          <w:sz w:val="14"/>
          <w:szCs w:val="14"/>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32" w:lineRule="exact"/>
        <w:rPr>
          <w:sz w:val="20"/>
          <w:szCs w:val="20"/>
          <w:color w:val="auto"/>
        </w:rPr>
      </w:pPr>
    </w:p>
    <w:p>
      <w:pPr>
        <w:ind w:right="140" w:firstLine="508"/>
        <w:spacing w:after="0" w:line="257" w:lineRule="auto"/>
        <w:rPr>
          <w:sz w:val="20"/>
          <w:szCs w:val="20"/>
          <w:color w:val="auto"/>
        </w:rPr>
      </w:pPr>
      <w:r>
        <w:rPr>
          <w:rFonts w:ascii="Arial" w:cs="Arial" w:eastAsia="Arial" w:hAnsi="Arial"/>
          <w:sz w:val="14"/>
          <w:szCs w:val="14"/>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 risks we may face in connection with acquisitions include:</w:t>
      </w:r>
    </w:p>
    <w:p>
      <w:pPr>
        <w:spacing w:after="0" w:line="156" w:lineRule="exact"/>
        <w:rPr>
          <w:sz w:val="20"/>
          <w:szCs w:val="20"/>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diversion of management time and focus from operating our business to addressing acquisition integration challenges;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coordination of research and development and sales and marketing functions;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integration of product and service offerings;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relationships with strategic partners as a result of product acquisitions or strategic positioning resulting from the acquisition;</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cultural challenges associated with integrating employees from the acquired company into our organization;</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integration of the acquired company’s accounting, management information, human resources and other administrative systems;</w:t>
      </w:r>
    </w:p>
    <w:p>
      <w:pPr>
        <w:spacing w:after="0" w:line="177" w:lineRule="exact"/>
        <w:rPr>
          <w:rFonts w:ascii="Arial" w:cs="Arial" w:eastAsia="Arial" w:hAnsi="Arial"/>
          <w:sz w:val="14"/>
          <w:szCs w:val="14"/>
          <w:color w:val="auto"/>
        </w:rPr>
      </w:pPr>
    </w:p>
    <w:p>
      <w:pPr>
        <w:ind w:left="760" w:hanging="247"/>
        <w:spacing w:after="0"/>
        <w:tabs>
          <w:tab w:leader="none" w:pos="7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need to implement or improve controls, procedures, and policies at a business that prior to the acquisition may have lacked sufficiently effective controls, procedures and policies;</w:t>
      </w:r>
    </w:p>
    <w:p>
      <w:pPr>
        <w:spacing w:after="0" w:line="189" w:lineRule="exact"/>
        <w:rPr>
          <w:rFonts w:ascii="Arial" w:cs="Arial" w:eastAsia="Arial" w:hAnsi="Arial"/>
          <w:sz w:val="13"/>
          <w:szCs w:val="13"/>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additional legal, regulatory or compliance requirements;</w:t>
      </w:r>
    </w:p>
    <w:p>
      <w:pPr>
        <w:spacing w:after="0" w:line="177" w:lineRule="exact"/>
        <w:rPr>
          <w:rFonts w:ascii="Arial" w:cs="Arial" w:eastAsia="Arial" w:hAnsi="Arial"/>
          <w:sz w:val="14"/>
          <w:szCs w:val="14"/>
          <w:color w:val="auto"/>
        </w:rPr>
      </w:pPr>
    </w:p>
    <w:p>
      <w:pPr>
        <w:ind w:left="760" w:right="300" w:hanging="247"/>
        <w:spacing w:after="0" w:line="280"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financial reporting, revenue recognition or other financial or control deficiencies of the acquired company that we do not adequately address and that cause our reported results to be incorrect;</w:t>
      </w:r>
    </w:p>
    <w:p>
      <w:pPr>
        <w:spacing w:after="0" w:line="132" w:lineRule="exact"/>
        <w:rPr>
          <w:rFonts w:ascii="Arial" w:cs="Arial" w:eastAsia="Arial" w:hAnsi="Arial"/>
          <w:sz w:val="14"/>
          <w:szCs w:val="14"/>
          <w:color w:val="auto"/>
        </w:rPr>
      </w:pPr>
    </w:p>
    <w:p>
      <w:pPr>
        <w:ind w:left="760" w:hanging="247"/>
        <w:spacing w:after="0" w:line="280"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unanticipated write-offs or charges;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75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77" w:name="page78"/>
    <w:bookmarkEnd w:id="77"/>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hanging="247"/>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litigation or other claims in connection with the acquired company, including claims from terminated employees, customers, former stockholders or other third parties.</w:t>
      </w:r>
    </w:p>
    <w:p>
      <w:pPr>
        <w:spacing w:after="0" w:line="178" w:lineRule="exact"/>
        <w:rPr>
          <w:sz w:val="20"/>
          <w:szCs w:val="20"/>
          <w:color w:val="auto"/>
        </w:rPr>
      </w:pPr>
    </w:p>
    <w:p>
      <w:pPr>
        <w:ind w:right="100" w:firstLine="508"/>
        <w:spacing w:after="0" w:line="280" w:lineRule="auto"/>
        <w:rPr>
          <w:sz w:val="20"/>
          <w:szCs w:val="20"/>
          <w:color w:val="auto"/>
        </w:rPr>
      </w:pPr>
      <w:r>
        <w:rPr>
          <w:rFonts w:ascii="Arial" w:cs="Arial" w:eastAsia="Arial" w:hAnsi="Arial"/>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156" w:lineRule="exact"/>
        <w:rPr>
          <w:sz w:val="20"/>
          <w:szCs w:val="20"/>
          <w:color w:val="auto"/>
        </w:rPr>
      </w:pPr>
    </w:p>
    <w:p>
      <w:pPr>
        <w:ind w:right="20" w:firstLine="508"/>
        <w:spacing w:after="0" w:line="280" w:lineRule="auto"/>
        <w:rPr>
          <w:sz w:val="20"/>
          <w:szCs w:val="20"/>
          <w:color w:val="auto"/>
        </w:rPr>
      </w:pPr>
      <w:r>
        <w:rPr>
          <w:rFonts w:ascii="Arial" w:cs="Arial" w:eastAsia="Arial" w:hAnsi="Arial"/>
          <w:sz w:val="13"/>
          <w:szCs w:val="13"/>
          <w:color w:val="auto"/>
        </w:rPr>
        <w:t>As of January 31, 2021, we had aggregate U.S. federal and California net operating loss carryforwards of $1.1 billion and $122.6 million, respectively, which may be available to offset future taxable income for income tax purposes. If not utilized, the federal and California net operating loss carryforwards will begin to expire in 2031. As of January 31, 2021, we had net</w:t>
      </w:r>
    </w:p>
    <w:p>
      <w:pPr>
        <w:spacing w:after="0" w:line="255" w:lineRule="auto"/>
        <w:rPr>
          <w:sz w:val="20"/>
          <w:szCs w:val="20"/>
          <w:color w:val="auto"/>
        </w:rPr>
      </w:pPr>
      <w:r>
        <w:rPr>
          <w:rFonts w:ascii="Arial" w:cs="Arial" w:eastAsia="Arial" w:hAnsi="Arial"/>
          <w:sz w:val="14"/>
          <w:szCs w:val="14"/>
          <w:color w:val="auto"/>
        </w:rPr>
        <w:t>operating loss carryforwards for other states of $660.7 million that will begin to expire in 2024. As of January 31, 2021, we had federal and California research and development credit carryforwards of $38.7 million and $8.7 million, respectively. The federal research and development credit carryforwards will begin to expire in 2031, and the California carryforwards are carried forward indefinitely. As of January 31, 2021, we had aggregate United Kingdom net operating loss carryforwards of $50.2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50" w:lineRule="exact"/>
        <w:rPr>
          <w:sz w:val="20"/>
          <w:szCs w:val="20"/>
          <w:color w:val="auto"/>
        </w:rPr>
      </w:pPr>
    </w:p>
    <w:p>
      <w:pPr>
        <w:ind w:right="20" w:firstLine="508"/>
        <w:spacing w:after="0" w:line="259" w:lineRule="auto"/>
        <w:rPr>
          <w:sz w:val="20"/>
          <w:szCs w:val="20"/>
          <w:color w:val="auto"/>
        </w:rPr>
      </w:pPr>
      <w:r>
        <w:rPr>
          <w:rFonts w:ascii="Arial" w:cs="Arial" w:eastAsia="Arial" w:hAnsi="Arial"/>
          <w:sz w:val="14"/>
          <w:szCs w:val="14"/>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38" w:lineRule="exact"/>
        <w:rPr>
          <w:sz w:val="20"/>
          <w:szCs w:val="20"/>
          <w:color w:val="auto"/>
        </w:rPr>
      </w:pPr>
    </w:p>
    <w:p>
      <w:pPr>
        <w:ind w:right="100" w:firstLine="508"/>
        <w:spacing w:after="0" w:line="287" w:lineRule="auto"/>
        <w:rPr>
          <w:sz w:val="20"/>
          <w:szCs w:val="20"/>
          <w:color w:val="auto"/>
        </w:rPr>
      </w:pPr>
      <w:r>
        <w:rPr>
          <w:rFonts w:ascii="Arial" w:cs="Arial" w:eastAsia="Arial" w:hAnsi="Arial"/>
          <w:sz w:val="13"/>
          <w:szCs w:val="13"/>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42"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38" w:lineRule="exact"/>
        <w:rPr>
          <w:sz w:val="20"/>
          <w:szCs w:val="20"/>
          <w:color w:val="auto"/>
        </w:rPr>
      </w:pPr>
    </w:p>
    <w:p>
      <w:pPr>
        <w:ind w:right="60" w:firstLine="508"/>
        <w:spacing w:after="0" w:line="277"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40" w:lineRule="exact"/>
        <w:rPr>
          <w:sz w:val="20"/>
          <w:szCs w:val="20"/>
          <w:color w:val="auto"/>
        </w:rPr>
      </w:pPr>
    </w:p>
    <w:p>
      <w:pPr>
        <w:ind w:right="80" w:firstLine="508"/>
        <w:spacing w:after="0" w:line="280" w:lineRule="auto"/>
        <w:rPr>
          <w:sz w:val="20"/>
          <w:szCs w:val="20"/>
          <w:color w:val="auto"/>
        </w:rPr>
      </w:pPr>
      <w:r>
        <w:rPr>
          <w:rFonts w:ascii="Arial" w:cs="Arial" w:eastAsia="Arial" w:hAnsi="Arial"/>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427355</wp:posOffset>
            </wp:positionV>
            <wp:extent cx="71875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78" w:name="page79"/>
    <w:bookmarkEnd w:id="78"/>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Shares of Equity Securities and Use of Proceeds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82" w:lineRule="exact"/>
        <w:rPr>
          <w:sz w:val="20"/>
          <w:szCs w:val="20"/>
          <w:color w:val="auto"/>
        </w:rPr>
      </w:pPr>
    </w:p>
    <w:p>
      <w:pPr>
        <w:ind w:firstLine="508"/>
        <w:spacing w:after="0" w:line="366" w:lineRule="auto"/>
        <w:rPr>
          <w:sz w:val="20"/>
          <w:szCs w:val="20"/>
          <w:color w:val="auto"/>
        </w:rPr>
      </w:pPr>
      <w:r>
        <w:rPr>
          <w:rFonts w:ascii="Arial" w:cs="Arial" w:eastAsia="Arial" w:hAnsi="Arial"/>
          <w:sz w:val="12"/>
          <w:szCs w:val="12"/>
          <w:color w:val="auto"/>
        </w:rPr>
        <w:t>On February 18, 2021, we agreed to issue approximately $40.0 million of shares of our Class A common stock in stock and options, subject to service-based vesting and other conditions, to certain individual stockholders of Humio Limited in connection with our acquisition of Humio Limited. The transaction was exempt from registration under Section 4(a)(2) of the Securities Act.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Public Offering of Common Stock</w:t>
      </w:r>
    </w:p>
    <w:p>
      <w:pPr>
        <w:spacing w:after="0" w:line="182" w:lineRule="exact"/>
        <w:rPr>
          <w:sz w:val="20"/>
          <w:szCs w:val="20"/>
          <w:color w:val="auto"/>
        </w:rPr>
      </w:pPr>
    </w:p>
    <w:p>
      <w:pPr>
        <w:ind w:right="340" w:firstLine="508"/>
        <w:spacing w:after="0" w:line="280" w:lineRule="auto"/>
        <w:rPr>
          <w:sz w:val="20"/>
          <w:szCs w:val="20"/>
          <w:color w:val="auto"/>
        </w:rPr>
      </w:pPr>
      <w:r>
        <w:rPr>
          <w:rFonts w:ascii="Arial" w:cs="Arial" w:eastAsia="Arial" w:hAnsi="Arial"/>
          <w:sz w:val="14"/>
          <w:szCs w:val="14"/>
          <w:color w:val="auto"/>
        </w:rPr>
        <w:t>On June 11, 2019, the SEC declared our registration statement on Form S-1 (File No. 333-231461) for our IPO effective. We have applied the entirety of net proceeds from our IPO in accordance with the description included in our final prospectus filed with the SEC on June 13, 2019 pursuant to Rule 424(b)(4).</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75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60"/>
          </w:cols>
          <w:pgMar w:left="300" w:top="298" w:right="439" w:bottom="1440" w:gutter="0" w:footer="0" w:header="0"/>
        </w:sectPr>
      </w:pPr>
    </w:p>
    <w:bookmarkStart w:id="79" w:name="page80"/>
    <w:bookmarkEnd w:id="79"/>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filed the exhibits listed on the accompanying Exhibit Index, which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 to Exhibits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2"/>
          </w:tcPr>
          <w:p>
            <w:pPr>
              <w:jc w:val="right"/>
              <w:ind w:right="895"/>
              <w:spacing w:after="0"/>
              <w:rPr>
                <w:sz w:val="20"/>
                <w:szCs w:val="20"/>
                <w:color w:val="auto"/>
              </w:rPr>
            </w:pPr>
            <w:r>
              <w:rPr>
                <w:rFonts w:ascii="Arial" w:cs="Arial" w:eastAsia="Arial" w:hAnsi="Arial"/>
                <w:sz w:val="11"/>
                <w:szCs w:val="11"/>
                <w:b w:val="1"/>
                <w:bCs w:val="1"/>
                <w:color w:val="auto"/>
              </w:rPr>
              <w:t>Incorporated by Reference</w:t>
            </w: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tcPr>
          <w:p>
            <w:pPr>
              <w:ind w:left="40"/>
              <w:spacing w:after="0" w:line="105" w:lineRule="exact"/>
              <w:rPr>
                <w:sz w:val="20"/>
                <w:szCs w:val="20"/>
                <w:color w:val="auto"/>
              </w:rPr>
            </w:pPr>
            <w:r>
              <w:rPr>
                <w:rFonts w:ascii="Arial" w:cs="Arial" w:eastAsia="Arial" w:hAnsi="Arial"/>
                <w:sz w:val="11"/>
                <w:szCs w:val="11"/>
                <w:b w:val="1"/>
                <w:bCs w:val="1"/>
                <w:color w:val="auto"/>
              </w:rPr>
              <w:t>Exhibit</w:t>
            </w: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20" w:type="dxa"/>
            <w:vAlign w:val="bottom"/>
            <w:gridSpan w:val="10"/>
            <w:vMerge w:val="restart"/>
          </w:tcPr>
          <w:p>
            <w:pPr>
              <w:spacing w:after="0"/>
              <w:rPr>
                <w:sz w:val="20"/>
                <w:szCs w:val="20"/>
                <w:color w:val="auto"/>
              </w:rPr>
            </w:pPr>
            <w:r>
              <w:rPr>
                <w:rFonts w:ascii="Arial" w:cs="Arial" w:eastAsia="Arial" w:hAnsi="Arial"/>
                <w:sz w:val="11"/>
                <w:szCs w:val="11"/>
                <w:b w:val="1"/>
                <w:bCs w:val="1"/>
                <w:color w:val="auto"/>
              </w:rPr>
              <w:t>Exhibit Description</w:t>
            </w:r>
          </w:p>
        </w:tc>
        <w:tc>
          <w:tcPr>
            <w:tcW w:w="8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Form</w:t>
            </w:r>
          </w:p>
        </w:tc>
        <w:tc>
          <w:tcPr>
            <w:tcW w:w="1240" w:type="dxa"/>
            <w:vAlign w:val="bottom"/>
            <w:vMerge w:val="restart"/>
          </w:tcPr>
          <w:p>
            <w:pPr>
              <w:ind w:left="660"/>
              <w:spacing w:after="0"/>
              <w:rPr>
                <w:sz w:val="20"/>
                <w:szCs w:val="20"/>
                <w:color w:val="auto"/>
              </w:rPr>
            </w:pPr>
            <w:r>
              <w:rPr>
                <w:rFonts w:ascii="Arial" w:cs="Arial" w:eastAsia="Arial" w:hAnsi="Arial"/>
                <w:sz w:val="11"/>
                <w:szCs w:val="11"/>
                <w:b w:val="1"/>
                <w:bCs w:val="1"/>
                <w:color w:val="auto"/>
              </w:rPr>
              <w:t>File No.</w:t>
            </w:r>
          </w:p>
        </w:tc>
        <w:tc>
          <w:tcPr>
            <w:tcW w:w="98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Exhibit</w:t>
            </w:r>
          </w:p>
        </w:tc>
        <w:tc>
          <w:tcPr>
            <w:tcW w:w="1460" w:type="dxa"/>
            <w:vAlign w:val="bottom"/>
          </w:tcPr>
          <w:p>
            <w:pPr>
              <w:jc w:val="right"/>
              <w:ind w:right="435"/>
              <w:spacing w:after="0" w:line="105" w:lineRule="exact"/>
              <w:rPr>
                <w:sz w:val="20"/>
                <w:szCs w:val="20"/>
                <w:color w:val="auto"/>
              </w:rPr>
            </w:pPr>
            <w:r>
              <w:rPr>
                <w:rFonts w:ascii="Arial" w:cs="Arial" w:eastAsia="Arial" w:hAnsi="Arial"/>
                <w:sz w:val="11"/>
                <w:szCs w:val="11"/>
                <w:b w:val="1"/>
                <w:bCs w:val="1"/>
                <w:color w:val="auto"/>
              </w:rPr>
              <w:t>Filing</w:t>
            </w:r>
          </w:p>
        </w:tc>
        <w:tc>
          <w:tcPr>
            <w:tcW w:w="136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3"/>
              </w:rPr>
              <w:t>Filed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Number</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20" w:type="dxa"/>
            <w:vAlign w:val="bottom"/>
            <w:gridSpan w:val="10"/>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60" w:type="dxa"/>
            <w:vAlign w:val="bottom"/>
          </w:tcPr>
          <w:p>
            <w:pPr>
              <w:jc w:val="right"/>
              <w:ind w:right="455"/>
              <w:spacing w:after="0"/>
              <w:rPr>
                <w:sz w:val="20"/>
                <w:szCs w:val="20"/>
                <w:color w:val="auto"/>
              </w:rPr>
            </w:pPr>
            <w:r>
              <w:rPr>
                <w:rFonts w:ascii="Arial" w:cs="Arial" w:eastAsia="Arial" w:hAnsi="Arial"/>
                <w:sz w:val="11"/>
                <w:szCs w:val="11"/>
                <w:b w:val="1"/>
                <w:bCs w:val="1"/>
                <w:color w:val="auto"/>
              </w:rPr>
              <w:t>Date</w:t>
            </w:r>
          </w:p>
        </w:tc>
        <w:tc>
          <w:tcPr>
            <w:tcW w:w="1360" w:type="dxa"/>
            <w:vAlign w:val="bottom"/>
          </w:tcPr>
          <w:p>
            <w:pPr>
              <w:jc w:val="center"/>
              <w:ind w:left="12"/>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r>
        <w:trPr>
          <w:trHeight w:val="140"/>
        </w:trPr>
        <w:tc>
          <w:tcPr>
            <w:tcW w:w="260" w:type="dxa"/>
            <w:vAlign w:val="bottom"/>
            <w:tcBorders>
              <w:top w:val="single" w:sz="8" w:color="auto"/>
            </w:tcBorders>
            <w:gridSpan w:val="3"/>
          </w:tcPr>
          <w:p>
            <w:pPr>
              <w:ind w:left="20"/>
              <w:spacing w:after="0" w:line="139" w:lineRule="exact"/>
              <w:rPr>
                <w:rFonts w:ascii="Arial" w:cs="Arial" w:eastAsia="Arial" w:hAnsi="Arial"/>
                <w:sz w:val="14"/>
                <w:szCs w:val="14"/>
                <w:color w:val="0000FF"/>
              </w:rPr>
            </w:pPr>
            <w:hyperlink r:id="rId104">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60" w:type="dxa"/>
            <w:vAlign w:val="bottom"/>
            <w:tcBorders>
              <w:top w:val="single" w:sz="8" w:color="auto"/>
            </w:tcBorders>
            <w:gridSpan w:val="13"/>
          </w:tcPr>
          <w:p>
            <w:pPr>
              <w:spacing w:after="0" w:line="139" w:lineRule="exact"/>
              <w:rPr>
                <w:rFonts w:ascii="Arial" w:cs="Arial" w:eastAsia="Arial" w:hAnsi="Arial"/>
                <w:sz w:val="14"/>
                <w:szCs w:val="14"/>
                <w:color w:val="0000FF"/>
                <w:w w:val="95"/>
              </w:rPr>
            </w:pPr>
            <w:hyperlink r:id="rId104">
              <w:r>
                <w:rPr>
                  <w:rFonts w:ascii="Arial" w:cs="Arial" w:eastAsia="Arial" w:hAnsi="Arial"/>
                  <w:sz w:val="14"/>
                  <w:szCs w:val="14"/>
                  <w:color w:val="0000FF"/>
                  <w:w w:val="95"/>
                </w:rPr>
                <w:t>Amended and Restated Certificate of Incorporation of the Registrant, as</w:t>
              </w:r>
            </w:hyperlink>
          </w:p>
        </w:tc>
        <w:tc>
          <w:tcPr>
            <w:tcW w:w="88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color w:val="auto"/>
              </w:rPr>
              <w:t>8-K</w:t>
            </w:r>
          </w:p>
        </w:tc>
        <w:tc>
          <w:tcPr>
            <w:tcW w:w="1240" w:type="dxa"/>
            <w:vAlign w:val="bottom"/>
            <w:tcBorders>
              <w:top w:val="single" w:sz="8" w:color="auto"/>
            </w:tcBorders>
          </w:tcPr>
          <w:p>
            <w:pPr>
              <w:ind w:left="220"/>
              <w:spacing w:after="0" w:line="139" w:lineRule="exact"/>
              <w:rPr>
                <w:sz w:val="20"/>
                <w:szCs w:val="20"/>
                <w:color w:val="auto"/>
              </w:rPr>
            </w:pPr>
            <w:r>
              <w:rPr>
                <w:rFonts w:ascii="Arial" w:cs="Arial" w:eastAsia="Arial" w:hAnsi="Arial"/>
                <w:sz w:val="14"/>
                <w:szCs w:val="14"/>
                <w:color w:val="auto"/>
              </w:rPr>
              <w:t>001-38933</w:t>
            </w:r>
          </w:p>
        </w:tc>
        <w:tc>
          <w:tcPr>
            <w:tcW w:w="980" w:type="dxa"/>
            <w:vAlign w:val="bottom"/>
            <w:tcBorders>
              <w:top w:val="single" w:sz="8" w:color="auto"/>
            </w:tcBorders>
          </w:tcPr>
          <w:p>
            <w:pPr>
              <w:ind w:left="260"/>
              <w:spacing w:after="0" w:line="139" w:lineRule="exact"/>
              <w:rPr>
                <w:sz w:val="20"/>
                <w:szCs w:val="20"/>
                <w:color w:val="auto"/>
              </w:rPr>
            </w:pPr>
            <w:r>
              <w:rPr>
                <w:rFonts w:ascii="Arial" w:cs="Arial" w:eastAsia="Arial" w:hAnsi="Arial"/>
                <w:sz w:val="14"/>
                <w:szCs w:val="14"/>
                <w:color w:val="auto"/>
              </w:rPr>
              <w:t>3.1</w:t>
            </w:r>
          </w:p>
        </w:tc>
        <w:tc>
          <w:tcPr>
            <w:tcW w:w="1460" w:type="dxa"/>
            <w:vAlign w:val="bottom"/>
            <w:tcBorders>
              <w:top w:val="single" w:sz="8" w:color="auto"/>
            </w:tcBorders>
          </w:tcPr>
          <w:p>
            <w:pPr>
              <w:jc w:val="right"/>
              <w:ind w:right="755"/>
              <w:spacing w:after="0" w:line="139" w:lineRule="exact"/>
              <w:rPr>
                <w:sz w:val="20"/>
                <w:szCs w:val="20"/>
                <w:color w:val="auto"/>
              </w:rPr>
            </w:pPr>
            <w:r>
              <w:rPr>
                <w:rFonts w:ascii="Arial" w:cs="Arial" w:eastAsia="Arial" w:hAnsi="Arial"/>
                <w:sz w:val="14"/>
                <w:szCs w:val="14"/>
                <w:color w:val="auto"/>
              </w:rPr>
              <w:t>06/14/19</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6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104">
              <w:r>
                <w:rPr>
                  <w:rFonts w:ascii="Arial" w:cs="Arial" w:eastAsia="Arial" w:hAnsi="Arial"/>
                  <w:sz w:val="13"/>
                  <w:szCs w:val="13"/>
                  <w:color w:val="0000FF"/>
                </w:rPr>
                <w:t>currently in effect.</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gridSpan w:val="3"/>
          </w:tcPr>
          <w:p>
            <w:pPr>
              <w:ind w:left="20"/>
              <w:spacing w:after="0" w:line="160" w:lineRule="exact"/>
              <w:rPr>
                <w:rFonts w:ascii="Arial" w:cs="Arial" w:eastAsia="Arial" w:hAnsi="Arial"/>
                <w:sz w:val="14"/>
                <w:szCs w:val="14"/>
                <w:color w:val="0000FF"/>
              </w:rPr>
            </w:pPr>
            <w:hyperlink r:id="rId105">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gridSpan w:val="13"/>
          </w:tcPr>
          <w:p>
            <w:pPr>
              <w:spacing w:after="0" w:line="160" w:lineRule="exact"/>
              <w:rPr>
                <w:rFonts w:ascii="Arial" w:cs="Arial" w:eastAsia="Arial" w:hAnsi="Arial"/>
                <w:sz w:val="14"/>
                <w:szCs w:val="14"/>
                <w:color w:val="0000FF"/>
              </w:rPr>
            </w:pPr>
            <w:hyperlink r:id="rId105">
              <w:r>
                <w:rPr>
                  <w:rFonts w:ascii="Arial" w:cs="Arial" w:eastAsia="Arial" w:hAnsi="Arial"/>
                  <w:sz w:val="14"/>
                  <w:szCs w:val="14"/>
                  <w:color w:val="0000FF"/>
                </w:rPr>
                <w:t>Bylaws of the Registrant, as currently in effect.</w:t>
              </w:r>
            </w:hyperlink>
          </w:p>
        </w:tc>
        <w:tc>
          <w:tcPr>
            <w:tcW w:w="880" w:type="dxa"/>
            <w:vAlign w:val="bottom"/>
          </w:tcPr>
          <w:p>
            <w:pPr>
              <w:ind w:left="20"/>
              <w:spacing w:after="0" w:line="160" w:lineRule="exact"/>
              <w:rPr>
                <w:sz w:val="20"/>
                <w:szCs w:val="20"/>
                <w:color w:val="auto"/>
              </w:rPr>
            </w:pPr>
            <w:r>
              <w:rPr>
                <w:rFonts w:ascii="Arial" w:cs="Arial" w:eastAsia="Arial" w:hAnsi="Arial"/>
                <w:sz w:val="14"/>
                <w:szCs w:val="14"/>
                <w:color w:val="auto"/>
              </w:rPr>
              <w:t>8-K</w:t>
            </w:r>
          </w:p>
        </w:tc>
        <w:tc>
          <w:tcPr>
            <w:tcW w:w="1240" w:type="dxa"/>
            <w:vAlign w:val="bottom"/>
          </w:tcPr>
          <w:p>
            <w:pPr>
              <w:ind w:left="220"/>
              <w:spacing w:after="0" w:line="160" w:lineRule="exact"/>
              <w:rPr>
                <w:sz w:val="20"/>
                <w:szCs w:val="20"/>
                <w:color w:val="auto"/>
              </w:rPr>
            </w:pPr>
            <w:r>
              <w:rPr>
                <w:rFonts w:ascii="Arial" w:cs="Arial" w:eastAsia="Arial" w:hAnsi="Arial"/>
                <w:sz w:val="14"/>
                <w:szCs w:val="14"/>
                <w:color w:val="auto"/>
              </w:rPr>
              <w:t>001-38933</w:t>
            </w:r>
          </w:p>
        </w:tc>
        <w:tc>
          <w:tcPr>
            <w:tcW w:w="980" w:type="dxa"/>
            <w:vAlign w:val="bottom"/>
          </w:tcPr>
          <w:p>
            <w:pPr>
              <w:ind w:left="260"/>
              <w:spacing w:after="0" w:line="160" w:lineRule="exact"/>
              <w:rPr>
                <w:sz w:val="20"/>
                <w:szCs w:val="20"/>
                <w:color w:val="auto"/>
              </w:rPr>
            </w:pPr>
            <w:r>
              <w:rPr>
                <w:rFonts w:ascii="Arial" w:cs="Arial" w:eastAsia="Arial" w:hAnsi="Arial"/>
                <w:sz w:val="14"/>
                <w:szCs w:val="14"/>
                <w:color w:val="auto"/>
              </w:rPr>
              <w:t>3.2</w:t>
            </w:r>
          </w:p>
        </w:tc>
        <w:tc>
          <w:tcPr>
            <w:tcW w:w="1460" w:type="dxa"/>
            <w:vAlign w:val="bottom"/>
          </w:tcPr>
          <w:p>
            <w:pPr>
              <w:jc w:val="right"/>
              <w:ind w:right="755"/>
              <w:spacing w:after="0" w:line="160" w:lineRule="exact"/>
              <w:rPr>
                <w:sz w:val="20"/>
                <w:szCs w:val="20"/>
                <w:color w:val="auto"/>
              </w:rPr>
            </w:pPr>
            <w:r>
              <w:rPr>
                <w:rFonts w:ascii="Arial" w:cs="Arial" w:eastAsia="Arial" w:hAnsi="Arial"/>
                <w:sz w:val="14"/>
                <w:szCs w:val="14"/>
                <w:color w:val="auto"/>
              </w:rPr>
              <w:t>06/14/19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gridSpan w:val="5"/>
          </w:tcPr>
          <w:p>
            <w:pPr>
              <w:spacing w:after="0" w:line="160" w:lineRule="exact"/>
              <w:rPr>
                <w:rFonts w:ascii="Arial" w:cs="Arial" w:eastAsia="Arial" w:hAnsi="Arial"/>
                <w:sz w:val="14"/>
                <w:szCs w:val="14"/>
                <w:color w:val="0000FF"/>
              </w:rPr>
            </w:pPr>
            <w:hyperlink w:anchor="page82">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4260" w:type="dxa"/>
            <w:vAlign w:val="bottom"/>
            <w:gridSpan w:val="13"/>
          </w:tcPr>
          <w:p>
            <w:pPr>
              <w:spacing w:after="0" w:line="160" w:lineRule="exact"/>
              <w:rPr>
                <w:rFonts w:ascii="Arial" w:cs="Arial" w:eastAsia="Arial" w:hAnsi="Arial"/>
                <w:sz w:val="14"/>
                <w:szCs w:val="14"/>
                <w:color w:val="0000FF"/>
                <w:w w:val="96"/>
              </w:rPr>
            </w:pPr>
            <w:hyperlink w:anchor="page82">
              <w:r>
                <w:rPr>
                  <w:rFonts w:ascii="Arial" w:cs="Arial" w:eastAsia="Arial" w:hAnsi="Arial"/>
                  <w:sz w:val="14"/>
                  <w:szCs w:val="14"/>
                  <w:color w:val="0000FF"/>
                  <w:w w:val="96"/>
                </w:rPr>
                <w:t>Offer Letter between the Registrant and Michael Carpenter, dated as of</w:t>
              </w:r>
            </w:hyperlink>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6"/>
              </w:rPr>
            </w:pPr>
            <w:hyperlink w:anchor="page82">
              <w:r>
                <w:rPr>
                  <w:rFonts w:ascii="Arial" w:cs="Arial" w:eastAsia="Arial" w:hAnsi="Arial"/>
                  <w:sz w:val="13"/>
                  <w:szCs w:val="13"/>
                  <w:color w:val="0000FF"/>
                  <w:w w:val="96"/>
                </w:rPr>
                <w:t>October 25, 2016.</w:t>
              </w:r>
            </w:hyperlink>
          </w:p>
        </w:tc>
        <w:tc>
          <w:tcPr>
            <w:tcW w:w="298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gridSpan w:val="5"/>
          </w:tcPr>
          <w:p>
            <w:pPr>
              <w:spacing w:after="0" w:line="160" w:lineRule="exact"/>
              <w:rPr>
                <w:rFonts w:ascii="Arial" w:cs="Arial" w:eastAsia="Arial" w:hAnsi="Arial"/>
                <w:sz w:val="14"/>
                <w:szCs w:val="14"/>
                <w:color w:val="0000FF"/>
              </w:rPr>
            </w:pPr>
            <w:hyperlink w:anchor="page94">
              <w:r>
                <w:rPr>
                  <w:rFonts w:ascii="Arial" w:cs="Arial" w:eastAsia="Arial" w:hAnsi="Arial"/>
                  <w:sz w:val="14"/>
                  <w:szCs w:val="14"/>
                  <w:color w:val="0000FF"/>
                </w:rPr>
                <w:t>10.</w:t>
              </w:r>
              <w:r>
                <w:rPr>
                  <w:rFonts w:ascii="Arial" w:cs="Arial" w:eastAsia="Arial" w:hAnsi="Arial"/>
                  <w:sz w:val="14"/>
                  <w:szCs w:val="14"/>
                  <w:u w:val="single" w:color="auto"/>
                  <w:color w:val="0000FF"/>
                </w:rPr>
                <w:t>2†</w:t>
              </w:r>
            </w:hyperlink>
          </w:p>
        </w:tc>
        <w:tc>
          <w:tcPr>
            <w:tcW w:w="4260" w:type="dxa"/>
            <w:vAlign w:val="bottom"/>
            <w:gridSpan w:val="13"/>
          </w:tcPr>
          <w:p>
            <w:pPr>
              <w:spacing w:after="0" w:line="160" w:lineRule="exact"/>
              <w:rPr>
                <w:rFonts w:ascii="Arial" w:cs="Arial" w:eastAsia="Arial" w:hAnsi="Arial"/>
                <w:sz w:val="14"/>
                <w:szCs w:val="14"/>
                <w:color w:val="0000FF"/>
                <w:w w:val="93"/>
              </w:rPr>
            </w:pPr>
            <w:hyperlink w:anchor="page94">
              <w:r>
                <w:rPr>
                  <w:rFonts w:ascii="Arial" w:cs="Arial" w:eastAsia="Arial" w:hAnsi="Arial"/>
                  <w:sz w:val="14"/>
                  <w:szCs w:val="14"/>
                  <w:color w:val="0000FF"/>
                  <w:w w:val="93"/>
                </w:rPr>
                <w:t>Offer Letter between the Registrant and Shawn Henry, dated as of March</w:t>
              </w:r>
            </w:hyperlink>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3"/>
              </w:rPr>
            </w:pPr>
            <w:hyperlink w:anchor="page94">
              <w:r>
                <w:rPr>
                  <w:rFonts w:ascii="Arial" w:cs="Arial" w:eastAsia="Arial" w:hAnsi="Arial"/>
                  <w:sz w:val="13"/>
                  <w:szCs w:val="13"/>
                  <w:color w:val="0000FF"/>
                  <w:w w:val="93"/>
                </w:rPr>
                <w:t>4, 2012.</w:t>
              </w:r>
            </w:hyperlink>
          </w:p>
        </w:tc>
        <w:tc>
          <w:tcPr>
            <w:tcW w:w="58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0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60" w:type="dxa"/>
            <w:vAlign w:val="bottom"/>
            <w:gridSpan w:val="3"/>
          </w:tcPr>
          <w:p>
            <w:pPr>
              <w:ind w:left="20"/>
              <w:spacing w:after="0" w:line="160" w:lineRule="exact"/>
              <w:rPr>
                <w:rFonts w:ascii="Arial" w:cs="Arial" w:eastAsia="Arial" w:hAnsi="Arial"/>
                <w:sz w:val="14"/>
                <w:szCs w:val="14"/>
                <w:color w:val="0000FF"/>
                <w:w w:val="80"/>
              </w:rPr>
            </w:pPr>
            <w:hyperlink r:id="rId106">
              <w:r>
                <w:rPr>
                  <w:rFonts w:ascii="Arial" w:cs="Arial" w:eastAsia="Arial" w:hAnsi="Arial"/>
                  <w:sz w:val="14"/>
                  <w:szCs w:val="14"/>
                  <w:color w:val="0000FF"/>
                  <w:w w:val="80"/>
                </w:rPr>
                <w:t>22.</w:t>
              </w:r>
              <w:r>
                <w:rPr>
                  <w:rFonts w:ascii="Arial" w:cs="Arial" w:eastAsia="Arial" w:hAnsi="Arial"/>
                  <w:sz w:val="14"/>
                  <w:szCs w:val="14"/>
                  <w:u w:val="single" w:color="auto"/>
                  <w:color w:val="0000FF"/>
                  <w:w w:val="80"/>
                </w:rPr>
                <w:t>1</w:t>
              </w:r>
            </w:hyperlink>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gridSpan w:val="13"/>
          </w:tcPr>
          <w:p>
            <w:pPr>
              <w:spacing w:after="0" w:line="160" w:lineRule="exact"/>
              <w:rPr>
                <w:rFonts w:ascii="Arial" w:cs="Arial" w:eastAsia="Arial" w:hAnsi="Arial"/>
                <w:sz w:val="14"/>
                <w:szCs w:val="14"/>
                <w:color w:val="0000FF"/>
              </w:rPr>
            </w:pPr>
            <w:hyperlink r:id="rId106">
              <w:r>
                <w:rPr>
                  <w:rFonts w:ascii="Arial" w:cs="Arial" w:eastAsia="Arial" w:hAnsi="Arial"/>
                  <w:sz w:val="14"/>
                  <w:szCs w:val="14"/>
                  <w:color w:val="0000FF"/>
                </w:rPr>
                <w:t>List of Subsidiary Guarantors</w:t>
              </w:r>
            </w:hyperlink>
          </w:p>
        </w:tc>
        <w:tc>
          <w:tcPr>
            <w:tcW w:w="880" w:type="dxa"/>
            <w:vAlign w:val="bottom"/>
          </w:tcPr>
          <w:p>
            <w:pPr>
              <w:ind w:left="20"/>
              <w:spacing w:after="0" w:line="160" w:lineRule="exact"/>
              <w:rPr>
                <w:sz w:val="20"/>
                <w:szCs w:val="20"/>
                <w:color w:val="auto"/>
              </w:rPr>
            </w:pPr>
            <w:r>
              <w:rPr>
                <w:rFonts w:ascii="Arial" w:cs="Arial" w:eastAsia="Arial" w:hAnsi="Arial"/>
                <w:sz w:val="14"/>
                <w:szCs w:val="14"/>
                <w:color w:val="auto"/>
              </w:rPr>
              <w:t>S-3ASR</w:t>
            </w:r>
          </w:p>
        </w:tc>
        <w:tc>
          <w:tcPr>
            <w:tcW w:w="1240" w:type="dxa"/>
            <w:vAlign w:val="bottom"/>
          </w:tcPr>
          <w:p>
            <w:pPr>
              <w:ind w:left="220"/>
              <w:spacing w:after="0" w:line="160" w:lineRule="exact"/>
              <w:rPr>
                <w:sz w:val="20"/>
                <w:szCs w:val="20"/>
                <w:color w:val="auto"/>
              </w:rPr>
            </w:pPr>
            <w:r>
              <w:rPr>
                <w:rFonts w:ascii="Arial" w:cs="Arial" w:eastAsia="Arial" w:hAnsi="Arial"/>
                <w:sz w:val="14"/>
                <w:szCs w:val="14"/>
                <w:color w:val="auto"/>
              </w:rPr>
              <w:t>333-252007</w:t>
            </w:r>
          </w:p>
        </w:tc>
        <w:tc>
          <w:tcPr>
            <w:tcW w:w="980" w:type="dxa"/>
            <w:vAlign w:val="bottom"/>
          </w:tcPr>
          <w:p>
            <w:pPr>
              <w:ind w:left="260"/>
              <w:spacing w:after="0" w:line="160" w:lineRule="exact"/>
              <w:rPr>
                <w:sz w:val="20"/>
                <w:szCs w:val="20"/>
                <w:color w:val="auto"/>
              </w:rPr>
            </w:pPr>
            <w:r>
              <w:rPr>
                <w:rFonts w:ascii="Arial" w:cs="Arial" w:eastAsia="Arial" w:hAnsi="Arial"/>
                <w:sz w:val="14"/>
                <w:szCs w:val="14"/>
                <w:color w:val="auto"/>
              </w:rPr>
              <w:t>22.1</w:t>
            </w:r>
          </w:p>
        </w:tc>
        <w:tc>
          <w:tcPr>
            <w:tcW w:w="1460" w:type="dxa"/>
            <w:vAlign w:val="bottom"/>
          </w:tcPr>
          <w:p>
            <w:pPr>
              <w:jc w:val="right"/>
              <w:ind w:right="755"/>
              <w:spacing w:after="0" w:line="160" w:lineRule="exact"/>
              <w:rPr>
                <w:sz w:val="20"/>
                <w:szCs w:val="20"/>
                <w:color w:val="auto"/>
              </w:rPr>
            </w:pPr>
            <w:r>
              <w:rPr>
                <w:rFonts w:ascii="Arial" w:cs="Arial" w:eastAsia="Arial" w:hAnsi="Arial"/>
                <w:sz w:val="14"/>
                <w:szCs w:val="14"/>
                <w:color w:val="auto"/>
              </w:rPr>
              <w:t>01/11/21</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gridSpan w:val="3"/>
          </w:tcPr>
          <w:p>
            <w:pPr>
              <w:ind w:left="20"/>
              <w:spacing w:after="0" w:line="160" w:lineRule="exact"/>
              <w:rPr>
                <w:rFonts w:ascii="Arial" w:cs="Arial" w:eastAsia="Arial" w:hAnsi="Arial"/>
                <w:sz w:val="14"/>
                <w:szCs w:val="14"/>
                <w:color w:val="0000FF"/>
                <w:w w:val="80"/>
              </w:rPr>
            </w:pPr>
            <w:hyperlink w:anchor="page99">
              <w:r>
                <w:rPr>
                  <w:rFonts w:ascii="Arial" w:cs="Arial" w:eastAsia="Arial" w:hAnsi="Arial"/>
                  <w:sz w:val="14"/>
                  <w:szCs w:val="14"/>
                  <w:color w:val="0000FF"/>
                  <w:w w:val="80"/>
                </w:rPr>
                <w:t>31.</w:t>
              </w:r>
              <w:r>
                <w:rPr>
                  <w:rFonts w:ascii="Arial" w:cs="Arial" w:eastAsia="Arial" w:hAnsi="Arial"/>
                  <w:sz w:val="14"/>
                  <w:szCs w:val="14"/>
                  <w:u w:val="single" w:color="auto"/>
                  <w:color w:val="0000FF"/>
                  <w:w w:val="80"/>
                </w:rPr>
                <w:t>1</w:t>
              </w:r>
            </w:hyperlink>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gridSpan w:val="13"/>
          </w:tcPr>
          <w:p>
            <w:pPr>
              <w:spacing w:after="0" w:line="160" w:lineRule="exact"/>
              <w:rPr>
                <w:rFonts w:ascii="Arial" w:cs="Arial" w:eastAsia="Arial" w:hAnsi="Arial"/>
                <w:sz w:val="14"/>
                <w:szCs w:val="14"/>
                <w:color w:val="0000FF"/>
                <w:w w:val="95"/>
              </w:rPr>
            </w:pPr>
            <w:hyperlink w:anchor="page99">
              <w:r>
                <w:rPr>
                  <w:rFonts w:ascii="Arial" w:cs="Arial" w:eastAsia="Arial" w:hAnsi="Arial"/>
                  <w:sz w:val="14"/>
                  <w:szCs w:val="14"/>
                  <w:color w:val="0000FF"/>
                  <w:w w:val="95"/>
                </w:rPr>
                <w:t>Certification of the Principal Executive Officer pursuant to Exchange Act</w:t>
              </w:r>
            </w:hyperlink>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140" w:type="dxa"/>
            <w:vAlign w:val="bottom"/>
            <w:tcBorders>
              <w:top w:val="single" w:sz="8" w:color="0000FF"/>
            </w:tcBorders>
            <w:gridSpan w:val="12"/>
          </w:tcPr>
          <w:p>
            <w:pPr>
              <w:spacing w:after="0" w:line="118" w:lineRule="exact"/>
              <w:rPr>
                <w:rFonts w:ascii="Arial" w:cs="Arial" w:eastAsia="Arial" w:hAnsi="Arial"/>
                <w:sz w:val="13"/>
                <w:szCs w:val="13"/>
                <w:color w:val="0000FF"/>
                <w:w w:val="98"/>
              </w:rPr>
            </w:pPr>
            <w:hyperlink w:anchor="page99">
              <w:r>
                <w:rPr>
                  <w:rFonts w:ascii="Arial" w:cs="Arial" w:eastAsia="Arial" w:hAnsi="Arial"/>
                  <w:sz w:val="13"/>
                  <w:szCs w:val="13"/>
                  <w:color w:val="0000FF"/>
                  <w:w w:val="98"/>
                </w:rPr>
                <w:t>Rules 13a14(a) and 15d14(a), as adopted pursuant to Section 302 of the</w:t>
              </w:r>
            </w:hyperlink>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4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w:anchor="page99">
              <w:r>
                <w:rPr>
                  <w:rFonts w:ascii="Arial" w:cs="Arial" w:eastAsia="Arial" w:hAnsi="Arial"/>
                  <w:sz w:val="13"/>
                  <w:szCs w:val="13"/>
                  <w:color w:val="0000FF"/>
                </w:rPr>
                <w:t>Sarbanes-Oxley Act of 2002.</w:t>
              </w:r>
            </w:hyperlink>
          </w:p>
        </w:tc>
        <w:tc>
          <w:tcPr>
            <w:tcW w:w="8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gridSpan w:val="3"/>
          </w:tcPr>
          <w:p>
            <w:pPr>
              <w:ind w:left="20"/>
              <w:spacing w:after="0" w:line="160" w:lineRule="exact"/>
              <w:rPr>
                <w:rFonts w:ascii="Arial" w:cs="Arial" w:eastAsia="Arial" w:hAnsi="Arial"/>
                <w:sz w:val="14"/>
                <w:szCs w:val="14"/>
                <w:color w:val="0000FF"/>
                <w:w w:val="80"/>
              </w:rPr>
            </w:pPr>
            <w:hyperlink w:anchor="page101">
              <w:r>
                <w:rPr>
                  <w:rFonts w:ascii="Arial" w:cs="Arial" w:eastAsia="Arial" w:hAnsi="Arial"/>
                  <w:sz w:val="14"/>
                  <w:szCs w:val="14"/>
                  <w:color w:val="0000FF"/>
                  <w:w w:val="80"/>
                </w:rPr>
                <w:t>31.</w:t>
              </w:r>
              <w:r>
                <w:rPr>
                  <w:rFonts w:ascii="Arial" w:cs="Arial" w:eastAsia="Arial" w:hAnsi="Arial"/>
                  <w:sz w:val="14"/>
                  <w:szCs w:val="14"/>
                  <w:u w:val="single" w:color="auto"/>
                  <w:color w:val="0000FF"/>
                  <w:w w:val="80"/>
                </w:rPr>
                <w:t>2</w:t>
              </w:r>
            </w:hyperlink>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gridSpan w:val="13"/>
          </w:tcPr>
          <w:p>
            <w:pPr>
              <w:spacing w:after="0" w:line="160" w:lineRule="exact"/>
              <w:rPr>
                <w:rFonts w:ascii="Arial" w:cs="Arial" w:eastAsia="Arial" w:hAnsi="Arial"/>
                <w:sz w:val="14"/>
                <w:szCs w:val="14"/>
                <w:color w:val="0000FF"/>
                <w:w w:val="96"/>
              </w:rPr>
            </w:pPr>
            <w:hyperlink w:anchor="page101">
              <w:r>
                <w:rPr>
                  <w:rFonts w:ascii="Arial" w:cs="Arial" w:eastAsia="Arial" w:hAnsi="Arial"/>
                  <w:sz w:val="14"/>
                  <w:szCs w:val="14"/>
                  <w:color w:val="0000FF"/>
                  <w:w w:val="96"/>
                </w:rPr>
                <w:t>Certification of the Principal Financial Officer pursuant to Exchange Act</w:t>
              </w:r>
            </w:hyperlink>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120" w:type="dxa"/>
            <w:vAlign w:val="bottom"/>
            <w:tcBorders>
              <w:top w:val="single" w:sz="8" w:color="0000FF"/>
            </w:tcBorders>
            <w:gridSpan w:val="11"/>
          </w:tcPr>
          <w:p>
            <w:pPr>
              <w:spacing w:after="0" w:line="118" w:lineRule="exact"/>
              <w:rPr>
                <w:rFonts w:ascii="Arial" w:cs="Arial" w:eastAsia="Arial" w:hAnsi="Arial"/>
                <w:sz w:val="13"/>
                <w:szCs w:val="13"/>
                <w:color w:val="0000FF"/>
                <w:w w:val="97"/>
              </w:rPr>
            </w:pPr>
            <w:hyperlink w:anchor="page101">
              <w:r>
                <w:rPr>
                  <w:rFonts w:ascii="Arial" w:cs="Arial" w:eastAsia="Arial" w:hAnsi="Arial"/>
                  <w:sz w:val="13"/>
                  <w:szCs w:val="13"/>
                  <w:color w:val="0000FF"/>
                  <w:w w:val="97"/>
                </w:rPr>
                <w:t>Rules 13a14(a) and 15d14(a), as adopted pursuant to Section 302 of the</w:t>
              </w:r>
            </w:hyperlink>
          </w:p>
        </w:tc>
        <w:tc>
          <w:tcPr>
            <w:tcW w:w="14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4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w:anchor="page101">
              <w:r>
                <w:rPr>
                  <w:rFonts w:ascii="Arial" w:cs="Arial" w:eastAsia="Arial" w:hAnsi="Arial"/>
                  <w:sz w:val="13"/>
                  <w:szCs w:val="13"/>
                  <w:color w:val="0000FF"/>
                </w:rPr>
                <w:t>Sarbanes-Oxley Act of 2002.</w:t>
              </w:r>
            </w:hyperlink>
          </w:p>
        </w:tc>
        <w:tc>
          <w:tcPr>
            <w:tcW w:w="220" w:type="dxa"/>
            <w:vAlign w:val="bottom"/>
            <w:gridSpan w:val="4"/>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gridSpan w:val="5"/>
          </w:tcPr>
          <w:p>
            <w:pPr>
              <w:ind w:left="20"/>
              <w:spacing w:after="0" w:line="160" w:lineRule="exact"/>
              <w:rPr>
                <w:rFonts w:ascii="Arial" w:cs="Arial" w:eastAsia="Arial" w:hAnsi="Arial"/>
                <w:sz w:val="14"/>
                <w:szCs w:val="14"/>
                <w:color w:val="0000FF"/>
              </w:rPr>
            </w:pPr>
            <w:hyperlink w:anchor="page103">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120" w:type="dxa"/>
            <w:vAlign w:val="bottom"/>
          </w:tcPr>
          <w:p>
            <w:pPr>
              <w:spacing w:after="0"/>
              <w:rPr>
                <w:sz w:val="13"/>
                <w:szCs w:val="13"/>
                <w:color w:val="auto"/>
              </w:rPr>
            </w:pPr>
          </w:p>
        </w:tc>
        <w:tc>
          <w:tcPr>
            <w:tcW w:w="4260" w:type="dxa"/>
            <w:vAlign w:val="bottom"/>
            <w:gridSpan w:val="13"/>
          </w:tcPr>
          <w:p>
            <w:pPr>
              <w:spacing w:after="0" w:line="160" w:lineRule="exact"/>
              <w:rPr>
                <w:rFonts w:ascii="Arial" w:cs="Arial" w:eastAsia="Arial" w:hAnsi="Arial"/>
                <w:sz w:val="14"/>
                <w:szCs w:val="14"/>
                <w:color w:val="0000FF"/>
                <w:w w:val="99"/>
              </w:rPr>
            </w:pPr>
            <w:hyperlink w:anchor="page103">
              <w:r>
                <w:rPr>
                  <w:rFonts w:ascii="Arial" w:cs="Arial" w:eastAsia="Arial" w:hAnsi="Arial"/>
                  <w:sz w:val="14"/>
                  <w:szCs w:val="14"/>
                  <w:color w:val="0000FF"/>
                  <w:w w:val="99"/>
                </w:rPr>
                <w:t>Certification of the Principal Executive Officer and Principal Financial</w:t>
              </w:r>
            </w:hyperlink>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0" w:type="dxa"/>
            <w:vAlign w:val="bottom"/>
            <w:tcBorders>
              <w:top w:val="single" w:sz="8" w:color="0000FF"/>
            </w:tcBorders>
            <w:gridSpan w:val="7"/>
          </w:tcPr>
          <w:p>
            <w:pPr>
              <w:spacing w:after="0" w:line="118" w:lineRule="exact"/>
              <w:rPr>
                <w:rFonts w:ascii="Arial" w:cs="Arial" w:eastAsia="Arial" w:hAnsi="Arial"/>
                <w:sz w:val="13"/>
                <w:szCs w:val="13"/>
                <w:color w:val="0000FF"/>
              </w:rPr>
            </w:pPr>
            <w:hyperlink w:anchor="page103">
              <w:r>
                <w:rPr>
                  <w:rFonts w:ascii="Arial" w:cs="Arial" w:eastAsia="Arial" w:hAnsi="Arial"/>
                  <w:sz w:val="13"/>
                  <w:szCs w:val="13"/>
                  <w:color w:val="0000FF"/>
                </w:rPr>
                <w:t>Officer pursuant to 18 U.S.C. Section 1350, as adopted pursuant to</w:t>
              </w:r>
            </w:hyperlink>
          </w:p>
        </w:tc>
        <w:tc>
          <w:tcPr>
            <w:tcW w:w="260" w:type="dxa"/>
            <w:vAlign w:val="bottom"/>
            <w:gridSpan w:val="6"/>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80" w:type="dxa"/>
            <w:vAlign w:val="bottom"/>
            <w:tcBorders>
              <w:top w:val="single" w:sz="8" w:color="0000FF"/>
            </w:tcBorders>
            <w:gridSpan w:val="6"/>
          </w:tcPr>
          <w:p>
            <w:pPr>
              <w:spacing w:after="0" w:line="118" w:lineRule="exact"/>
              <w:rPr>
                <w:rFonts w:ascii="Arial" w:cs="Arial" w:eastAsia="Arial" w:hAnsi="Arial"/>
                <w:sz w:val="13"/>
                <w:szCs w:val="13"/>
                <w:color w:val="0000FF"/>
              </w:rPr>
            </w:pPr>
            <w:hyperlink w:anchor="page103">
              <w:r>
                <w:rPr>
                  <w:rFonts w:ascii="Arial" w:cs="Arial" w:eastAsia="Arial" w:hAnsi="Arial"/>
                  <w:sz w:val="13"/>
                  <w:szCs w:val="13"/>
                  <w:color w:val="0000FF"/>
                </w:rPr>
                <w:t>Section 906 of the Sarbanes-Oxley Act of 2002.</w:t>
              </w:r>
            </w:hyperlink>
          </w:p>
        </w:tc>
        <w:tc>
          <w:tcPr>
            <w:tcW w:w="480" w:type="dxa"/>
            <w:vAlign w:val="bottom"/>
            <w:gridSpan w:val="7"/>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Arial" w:cs="Arial" w:eastAsia="Arial" w:hAnsi="Arial"/>
                <w:sz w:val="14"/>
                <w:szCs w:val="14"/>
                <w:color w:val="auto"/>
              </w:rPr>
              <w:t>101.INS</w:t>
            </w:r>
          </w:p>
        </w:tc>
        <w:tc>
          <w:tcPr>
            <w:tcW w:w="270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auto"/>
              </w:rPr>
              <w:t>Inline XBRL Instance Document</w:t>
            </w:r>
          </w:p>
        </w:tc>
        <w:tc>
          <w:tcPr>
            <w:tcW w:w="1560" w:type="dxa"/>
            <w:vAlign w:val="bottom"/>
            <w:gridSpan w:val="8"/>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gridSpan w:val="5"/>
          </w:tcPr>
          <w:p>
            <w:pPr>
              <w:spacing w:after="0"/>
              <w:rPr>
                <w:sz w:val="20"/>
                <w:szCs w:val="20"/>
                <w:color w:val="auto"/>
              </w:rPr>
            </w:pPr>
            <w:r>
              <w:rPr>
                <w:rFonts w:ascii="Arial" w:cs="Arial" w:eastAsia="Arial" w:hAnsi="Arial"/>
                <w:sz w:val="14"/>
                <w:szCs w:val="14"/>
                <w:color w:val="auto"/>
              </w:rPr>
              <w:t>101.SCH</w:t>
            </w:r>
          </w:p>
        </w:tc>
        <w:tc>
          <w:tcPr>
            <w:tcW w:w="4260" w:type="dxa"/>
            <w:vAlign w:val="bottom"/>
            <w:gridSpan w:val="13"/>
          </w:tcPr>
          <w:p>
            <w:pPr>
              <w:spacing w:after="0"/>
              <w:rPr>
                <w:sz w:val="20"/>
                <w:szCs w:val="20"/>
                <w:color w:val="auto"/>
              </w:rPr>
            </w:pPr>
            <w:r>
              <w:rPr>
                <w:rFonts w:ascii="Arial" w:cs="Arial" w:eastAsia="Arial" w:hAnsi="Arial"/>
                <w:sz w:val="14"/>
                <w:szCs w:val="14"/>
                <w:color w:val="auto"/>
              </w:rPr>
              <w:t>Inline XBRL Taxonomy Extension Schema Document</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gridSpan w:val="5"/>
          </w:tcPr>
          <w:p>
            <w:pPr>
              <w:spacing w:after="0"/>
              <w:rPr>
                <w:sz w:val="20"/>
                <w:szCs w:val="20"/>
                <w:color w:val="auto"/>
              </w:rPr>
            </w:pPr>
            <w:r>
              <w:rPr>
                <w:rFonts w:ascii="Arial" w:cs="Arial" w:eastAsia="Arial" w:hAnsi="Arial"/>
                <w:sz w:val="14"/>
                <w:szCs w:val="14"/>
                <w:color w:val="auto"/>
              </w:rPr>
              <w:t>101.CAL</w:t>
            </w:r>
          </w:p>
        </w:tc>
        <w:tc>
          <w:tcPr>
            <w:tcW w:w="4260" w:type="dxa"/>
            <w:vAlign w:val="bottom"/>
            <w:gridSpan w:val="13"/>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gridSpan w:val="5"/>
          </w:tcPr>
          <w:p>
            <w:pPr>
              <w:spacing w:after="0"/>
              <w:rPr>
                <w:sz w:val="20"/>
                <w:szCs w:val="20"/>
                <w:color w:val="auto"/>
              </w:rPr>
            </w:pPr>
            <w:r>
              <w:rPr>
                <w:rFonts w:ascii="Arial" w:cs="Arial" w:eastAsia="Arial" w:hAnsi="Arial"/>
                <w:sz w:val="14"/>
                <w:szCs w:val="14"/>
                <w:color w:val="auto"/>
              </w:rPr>
              <w:t>101.DEF</w:t>
            </w:r>
          </w:p>
        </w:tc>
        <w:tc>
          <w:tcPr>
            <w:tcW w:w="4260" w:type="dxa"/>
            <w:vAlign w:val="bottom"/>
            <w:gridSpan w:val="13"/>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gridSpan w:val="5"/>
          </w:tcPr>
          <w:p>
            <w:pPr>
              <w:spacing w:after="0"/>
              <w:rPr>
                <w:sz w:val="20"/>
                <w:szCs w:val="20"/>
                <w:color w:val="auto"/>
              </w:rPr>
            </w:pPr>
            <w:r>
              <w:rPr>
                <w:rFonts w:ascii="Arial" w:cs="Arial" w:eastAsia="Arial" w:hAnsi="Arial"/>
                <w:sz w:val="14"/>
                <w:szCs w:val="14"/>
                <w:color w:val="auto"/>
              </w:rPr>
              <w:t>101.LAB</w:t>
            </w:r>
          </w:p>
        </w:tc>
        <w:tc>
          <w:tcPr>
            <w:tcW w:w="4260" w:type="dxa"/>
            <w:vAlign w:val="bottom"/>
            <w:gridSpan w:val="13"/>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gridSpan w:val="5"/>
          </w:tcPr>
          <w:p>
            <w:pPr>
              <w:spacing w:after="0"/>
              <w:rPr>
                <w:sz w:val="20"/>
                <w:szCs w:val="20"/>
                <w:color w:val="auto"/>
              </w:rPr>
            </w:pPr>
            <w:r>
              <w:rPr>
                <w:rFonts w:ascii="Arial" w:cs="Arial" w:eastAsia="Arial" w:hAnsi="Arial"/>
                <w:sz w:val="14"/>
                <w:szCs w:val="14"/>
                <w:color w:val="auto"/>
              </w:rPr>
              <w:t>101.PRE</w:t>
            </w:r>
          </w:p>
        </w:tc>
        <w:tc>
          <w:tcPr>
            <w:tcW w:w="4260" w:type="dxa"/>
            <w:vAlign w:val="bottom"/>
            <w:gridSpan w:val="13"/>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ind w:left="1100" w:right="6480" w:hanging="1081"/>
        <w:spacing w:after="0" w:line="269" w:lineRule="auto"/>
        <w:tabs>
          <w:tab w:leader="none" w:pos="11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Cover Page Interactive Data File – the cover page XBRL tags are embedded within the Inline Instance XBRL document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w:t>
      </w:r>
    </w:p>
    <w:p>
      <w:pPr>
        <w:spacing w:after="0" w:line="213" w:lineRule="exact"/>
        <w:rPr>
          <w:sz w:val="20"/>
          <w:szCs w:val="20"/>
          <w:color w:val="auto"/>
        </w:rPr>
      </w:pPr>
    </w:p>
    <w:p>
      <w:pPr>
        <w:ind w:left="1080" w:hanging="1040"/>
        <w:spacing w:after="0"/>
        <w:tabs>
          <w:tab w:leader="none" w:pos="10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agreement.</w:t>
      </w:r>
    </w:p>
    <w:p>
      <w:pPr>
        <w:spacing w:after="0" w:line="93" w:lineRule="exact"/>
        <w:rPr>
          <w:sz w:val="20"/>
          <w:szCs w:val="20"/>
          <w:color w:val="auto"/>
        </w:rPr>
      </w:pPr>
    </w:p>
    <w:p>
      <w:pPr>
        <w:ind w:left="1080" w:right="200" w:hanging="1040"/>
        <w:spacing w:after="0" w:line="225" w:lineRule="auto"/>
        <w:tabs>
          <w:tab w:leader="none" w:pos="10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673735</wp:posOffset>
            </wp:positionV>
            <wp:extent cx="71875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0" w:name="page81"/>
    <w:bookmarkEnd w:id="80"/>
    <w:p>
      <w:pPr>
        <w:ind w:left="5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SIGNATURES</w:t>
      </w:r>
    </w:p>
    <w:p>
      <w:pPr>
        <w:spacing w:after="0" w:line="178" w:lineRule="exact"/>
        <w:rPr>
          <w:sz w:val="20"/>
          <w:szCs w:val="20"/>
          <w:color w:val="auto"/>
        </w:rPr>
      </w:pPr>
    </w:p>
    <w:p>
      <w:pPr>
        <w:ind w:firstLine="508"/>
        <w:spacing w:after="0" w:line="28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 in Sunnyvale, California, on the day of June 4, 2021.</w:t>
      </w:r>
    </w:p>
    <w:p>
      <w:pPr>
        <w:spacing w:after="0" w:line="350"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CROWDSTRIKE HOLDINGS, INC.</w:t>
      </w:r>
    </w:p>
    <w:p>
      <w:pPr>
        <w:spacing w:after="0" w:line="65" w:lineRule="exact"/>
        <w:rPr>
          <w:sz w:val="20"/>
          <w:szCs w:val="20"/>
          <w:color w:val="auto"/>
        </w:rPr>
      </w:pPr>
    </w:p>
    <w:p>
      <w:pPr>
        <w:ind w:left="5480"/>
        <w:spacing w:after="0"/>
        <w:tabs>
          <w:tab w:leader="none" w:pos="59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12065</wp:posOffset>
            </wp:positionV>
            <wp:extent cx="336613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366135" cy="6985"/>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4"/>
          <w:szCs w:val="14"/>
          <w:color w:val="auto"/>
        </w:rPr>
        <w:t>Burt W. Podbere</w:t>
      </w:r>
    </w:p>
    <w:p>
      <w:pPr>
        <w:ind w:left="6000"/>
        <w:spacing w:after="0"/>
        <w:rPr>
          <w:sz w:val="20"/>
          <w:szCs w:val="20"/>
          <w:color w:val="auto"/>
        </w:rPr>
      </w:pPr>
      <w:r>
        <w:rPr>
          <w:rFonts w:ascii="Arial" w:cs="Arial" w:eastAsia="Arial" w:hAnsi="Arial"/>
          <w:sz w:val="14"/>
          <w:szCs w:val="14"/>
          <w:i w:val="1"/>
          <w:iCs w:val="1"/>
          <w:color w:val="auto"/>
        </w:rPr>
        <w:t>Chief Financial Officer (Principal Financial Officer)</w:t>
      </w:r>
    </w:p>
    <w:p>
      <w:pPr>
        <w:spacing w:after="0" w:line="218" w:lineRule="exact"/>
        <w:rPr>
          <w:sz w:val="20"/>
          <w:szCs w:val="20"/>
          <w:color w:val="auto"/>
        </w:rPr>
      </w:pPr>
    </w:p>
    <w:p>
      <w:pPr>
        <w:ind w:left="5480"/>
        <w:spacing w:after="0"/>
        <w:tabs>
          <w:tab w:leader="none" w:pos="59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Abhishek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12065</wp:posOffset>
            </wp:positionV>
            <wp:extent cx="336613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366135" cy="6985"/>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4"/>
          <w:szCs w:val="14"/>
          <w:color w:val="auto"/>
        </w:rPr>
        <w:t>Abhishek Maheshwari</w:t>
      </w:r>
    </w:p>
    <w:p>
      <w:pPr>
        <w:ind w:left="6000"/>
        <w:spacing w:after="0"/>
        <w:rPr>
          <w:sz w:val="20"/>
          <w:szCs w:val="20"/>
          <w:color w:val="auto"/>
        </w:rPr>
      </w:pPr>
      <w:r>
        <w:rPr>
          <w:rFonts w:ascii="Arial" w:cs="Arial" w:eastAsia="Arial" w:hAnsi="Arial"/>
          <w:sz w:val="14"/>
          <w:szCs w:val="14"/>
          <w:i w:val="1"/>
          <w:iCs w:val="1"/>
          <w:color w:val="auto"/>
        </w:rPr>
        <w:t>Chief Accounting Officer (Principal Accounting Officer)</w:t>
      </w:r>
    </w:p>
    <w:p>
      <w:pPr>
        <w:sectPr>
          <w:pgSz w:w="11900" w:h="16838" w:orient="portrait"/>
          <w:cols w:equalWidth="0" w:num="1">
            <w:col w:w="11040"/>
          </w:cols>
          <w:pgMar w:left="300" w:top="298" w:right="559" w:bottom="1440"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304165</wp:posOffset>
            </wp:positionV>
            <wp:extent cx="7094220" cy="930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094220" cy="930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0942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303530</wp:posOffset>
            </wp:positionV>
            <wp:extent cx="7106285" cy="9308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06285" cy="930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8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06285" cy="930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8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06285" cy="9308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06285"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auto"/>
        </w:rPr>
        <w:t>Exhibit 31.1</w:t>
      </w:r>
    </w:p>
    <w:p>
      <w:pPr>
        <w:spacing w:after="0" w:line="178" w:lineRule="exact"/>
        <w:rPr>
          <w:sz w:val="20"/>
          <w:szCs w:val="20"/>
          <w:color w:val="auto"/>
        </w:rPr>
      </w:pPr>
    </w:p>
    <w:p>
      <w:pPr>
        <w:jc w:val="center"/>
        <w:spacing w:after="0" w:line="269" w:lineRule="auto"/>
        <w:rPr>
          <w:sz w:val="20"/>
          <w:szCs w:val="20"/>
          <w:color w:val="auto"/>
        </w:rPr>
      </w:pPr>
      <w:r>
        <w:rPr>
          <w:rFonts w:ascii="Arial" w:cs="Arial" w:eastAsia="Arial" w:hAnsi="Arial"/>
          <w:sz w:val="14"/>
          <w:szCs w:val="14"/>
          <w:b w:val="1"/>
          <w:bCs w:val="1"/>
          <w:color w:val="auto"/>
        </w:rPr>
        <w:t>CERTIFICATION OF PRINCIPAL EXECUTIVE OFFICER PURSUANT TO EXCHANGE ACT RULES 13a-14(a) AND 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George Kurtz, certify that:</w:t>
      </w:r>
    </w:p>
    <w:p>
      <w:pPr>
        <w:spacing w:after="0" w:line="178" w:lineRule="exact"/>
        <w:rPr>
          <w:sz w:val="20"/>
          <w:szCs w:val="20"/>
          <w:color w:val="auto"/>
        </w:rPr>
      </w:pPr>
    </w:p>
    <w:p>
      <w:pPr>
        <w:ind w:left="500" w:hanging="241"/>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CrowdStrike Holdings, Inc.;</w:t>
      </w:r>
    </w:p>
    <w:p>
      <w:pPr>
        <w:spacing w:after="0" w:line="177" w:lineRule="exact"/>
        <w:rPr>
          <w:rFonts w:ascii="Arial" w:cs="Arial" w:eastAsia="Arial" w:hAnsi="Arial"/>
          <w:sz w:val="14"/>
          <w:szCs w:val="14"/>
          <w:color w:val="auto"/>
        </w:rPr>
      </w:pPr>
    </w:p>
    <w:p>
      <w:pPr>
        <w:ind w:left="520" w:right="760" w:hanging="261"/>
        <w:spacing w:after="0" w:line="280" w:lineRule="auto"/>
        <w:tabs>
          <w:tab w:leader="none" w:pos="513"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right="240" w:hanging="261"/>
        <w:spacing w:after="0" w:line="280" w:lineRule="auto"/>
        <w:tabs>
          <w:tab w:leader="none" w:pos="513"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right="280" w:hanging="261"/>
        <w:spacing w:after="0" w:line="280" w:lineRule="auto"/>
        <w:tabs>
          <w:tab w:leader="none" w:pos="51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60" w:right="60" w:hanging="247"/>
        <w:spacing w:after="0" w:line="366" w:lineRule="auto"/>
        <w:tabs>
          <w:tab w:leader="none" w:pos="758"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60" w:right="280" w:hanging="247"/>
        <w:spacing w:after="0" w:line="366" w:lineRule="auto"/>
        <w:tabs>
          <w:tab w:leader="none" w:pos="755" w:val="left"/>
        </w:tabs>
        <w:numPr>
          <w:ilvl w:val="1"/>
          <w:numId w:val="4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2"/>
          <w:szCs w:val="12"/>
          <w:color w:val="auto"/>
        </w:rPr>
      </w:pPr>
    </w:p>
    <w:p>
      <w:pPr>
        <w:ind w:left="760" w:right="460" w:hanging="247"/>
        <w:spacing w:after="0" w:line="280" w:lineRule="auto"/>
        <w:tabs>
          <w:tab w:leader="none" w:pos="758" w:val="left"/>
        </w:tabs>
        <w:numPr>
          <w:ilvl w:val="1"/>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760" w:right="140" w:hanging="247"/>
        <w:spacing w:after="0" w:line="320" w:lineRule="auto"/>
        <w:tabs>
          <w:tab w:leader="none" w:pos="755" w:val="left"/>
        </w:tabs>
        <w:numPr>
          <w:ilvl w:val="1"/>
          <w:numId w:val="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right="440" w:hanging="261"/>
        <w:spacing w:after="0" w:line="280" w:lineRule="auto"/>
        <w:tabs>
          <w:tab w:leader="none" w:pos="51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760" w:right="160" w:hanging="247"/>
        <w:spacing w:after="0" w:line="280" w:lineRule="auto"/>
        <w:tabs>
          <w:tab w:leader="none" w:pos="758" w:val="left"/>
        </w:tabs>
        <w:numPr>
          <w:ilvl w:val="1"/>
          <w:numId w:val="4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Date: June 4, 2021</w:t>
      </w:r>
    </w:p>
    <w:p>
      <w:pPr>
        <w:sectPr>
          <w:pgSz w:w="11900" w:h="16838" w:orient="portrait"/>
          <w:cols w:equalWidth="0" w:num="1">
            <w:col w:w="11280"/>
          </w:cols>
          <w:pgMar w:left="300" w:top="897"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auto"/>
        </w:rPr>
        <w:t>CROWDSTRIKE HOLDINGS, INC.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By:</w:t>
            </w:r>
          </w:p>
        </w:tc>
        <w:tc>
          <w:tcPr>
            <w:tcW w:w="10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George Kurtz</w:t>
            </w:r>
          </w:p>
        </w:tc>
      </w:tr>
      <w:tr>
        <w:trPr>
          <w:trHeight w:val="171"/>
        </w:trPr>
        <w:tc>
          <w:tcPr>
            <w:tcW w:w="840" w:type="dxa"/>
            <w:vAlign w:val="bottom"/>
          </w:tcPr>
          <w:p>
            <w:pPr>
              <w:spacing w:after="0" w:line="160" w:lineRule="exact"/>
              <w:rPr>
                <w:sz w:val="20"/>
                <w:szCs w:val="20"/>
                <w:color w:val="auto"/>
              </w:rPr>
            </w:pPr>
            <w:r>
              <w:rPr>
                <w:rFonts w:ascii="Arial" w:cs="Arial" w:eastAsia="Arial" w:hAnsi="Arial"/>
                <w:sz w:val="14"/>
                <w:szCs w:val="14"/>
                <w:color w:val="auto"/>
              </w:rPr>
              <w:t>Name:</w:t>
            </w:r>
          </w:p>
        </w:tc>
        <w:tc>
          <w:tcPr>
            <w:tcW w:w="10420" w:type="dxa"/>
            <w:vAlign w:val="bottom"/>
          </w:tcPr>
          <w:p>
            <w:pPr>
              <w:ind w:left="20"/>
              <w:spacing w:after="0"/>
              <w:rPr>
                <w:sz w:val="20"/>
                <w:szCs w:val="20"/>
                <w:color w:val="auto"/>
              </w:rPr>
            </w:pPr>
            <w:r>
              <w:rPr>
                <w:rFonts w:ascii="Arial" w:cs="Arial" w:eastAsia="Arial" w:hAnsi="Arial"/>
                <w:sz w:val="14"/>
                <w:szCs w:val="14"/>
                <w:color w:val="auto"/>
              </w:rPr>
              <w:t>George Kurtz</w:t>
            </w:r>
          </w:p>
        </w:tc>
      </w:tr>
      <w:tr>
        <w:trPr>
          <w:trHeight w:val="138"/>
        </w:trPr>
        <w:tc>
          <w:tcPr>
            <w:tcW w:w="840" w:type="dxa"/>
            <w:vAlign w:val="bottom"/>
          </w:tcPr>
          <w:p>
            <w:pPr>
              <w:spacing w:after="0" w:line="138" w:lineRule="exact"/>
              <w:rPr>
                <w:sz w:val="20"/>
                <w:szCs w:val="20"/>
                <w:color w:val="auto"/>
              </w:rPr>
            </w:pPr>
            <w:r>
              <w:rPr>
                <w:rFonts w:ascii="Arial" w:cs="Arial" w:eastAsia="Arial" w:hAnsi="Arial"/>
                <w:sz w:val="14"/>
                <w:szCs w:val="14"/>
                <w:color w:val="auto"/>
              </w:rPr>
              <w:t>Title:</w:t>
            </w:r>
          </w:p>
        </w:tc>
        <w:tc>
          <w:tcPr>
            <w:tcW w:w="10420" w:type="dxa"/>
            <w:vAlign w:val="bottom"/>
          </w:tcPr>
          <w:p>
            <w:pPr>
              <w:ind w:left="20"/>
              <w:spacing w:after="0" w:line="138" w:lineRule="exact"/>
              <w:rPr>
                <w:sz w:val="20"/>
                <w:szCs w:val="20"/>
                <w:color w:val="auto"/>
              </w:rPr>
            </w:pPr>
            <w:r>
              <w:rPr>
                <w:rFonts w:ascii="Arial" w:cs="Arial" w:eastAsia="Arial" w:hAnsi="Arial"/>
                <w:sz w:val="14"/>
                <w:szCs w:val="14"/>
                <w:color w:val="auto"/>
              </w:rPr>
              <w:t>President, Chief Executive Officer, and Director</w:t>
            </w:r>
          </w:p>
        </w:tc>
      </w:tr>
      <w:tr>
        <w:trPr>
          <w:trHeight w:val="180"/>
        </w:trPr>
        <w:tc>
          <w:tcPr>
            <w:tcW w:w="840" w:type="dxa"/>
            <w:vAlign w:val="bottom"/>
          </w:tcPr>
          <w:p>
            <w:pPr>
              <w:spacing w:after="0"/>
              <w:rPr>
                <w:sz w:val="15"/>
                <w:szCs w:val="15"/>
                <w:color w:val="auto"/>
              </w:rPr>
            </w:pPr>
          </w:p>
        </w:tc>
        <w:tc>
          <w:tcPr>
            <w:tcW w:w="1042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60"/>
          </w:cols>
          <w:pgMar w:left="320" w:top="764" w:right="3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t>Exhibit 31.2</w:t>
      </w:r>
    </w:p>
    <w:p>
      <w:pPr>
        <w:spacing w:after="0" w:line="178" w:lineRule="exact"/>
        <w:rPr>
          <w:sz w:val="20"/>
          <w:szCs w:val="20"/>
          <w:color w:val="auto"/>
        </w:rPr>
      </w:pPr>
    </w:p>
    <w:p>
      <w:pPr>
        <w:jc w:val="center"/>
        <w:spacing w:after="0" w:line="269" w:lineRule="auto"/>
        <w:rPr>
          <w:sz w:val="20"/>
          <w:szCs w:val="20"/>
          <w:color w:val="auto"/>
        </w:rPr>
      </w:pPr>
      <w:r>
        <w:rPr>
          <w:rFonts w:ascii="Arial" w:cs="Arial" w:eastAsia="Arial" w:hAnsi="Arial"/>
          <w:sz w:val="14"/>
          <w:szCs w:val="14"/>
          <w:b w:val="1"/>
          <w:bCs w:val="1"/>
          <w:color w:val="auto"/>
        </w:rPr>
        <w:t>CERTIFICATION OF PRINCIPAL FINANCIAL OFFICER PURSUANT TO EXCHANGE ACT RULES 13a-14(a) AND 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Burt W. Podbere, certify that:</w:t>
      </w:r>
    </w:p>
    <w:p>
      <w:pPr>
        <w:spacing w:after="0" w:line="178" w:lineRule="exact"/>
        <w:rPr>
          <w:sz w:val="20"/>
          <w:szCs w:val="20"/>
          <w:color w:val="auto"/>
        </w:rPr>
      </w:pPr>
    </w:p>
    <w:p>
      <w:pPr>
        <w:ind w:left="520" w:hanging="261"/>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CrowdStrike Holdings, Inc.;</w:t>
      </w:r>
    </w:p>
    <w:p>
      <w:pPr>
        <w:spacing w:after="0" w:line="177" w:lineRule="exact"/>
        <w:rPr>
          <w:rFonts w:ascii="Arial" w:cs="Arial" w:eastAsia="Arial" w:hAnsi="Arial"/>
          <w:sz w:val="14"/>
          <w:szCs w:val="14"/>
          <w:color w:val="auto"/>
        </w:rPr>
      </w:pPr>
    </w:p>
    <w:p>
      <w:pPr>
        <w:ind w:left="520" w:right="760" w:hanging="261"/>
        <w:spacing w:after="0" w:line="280"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right="220" w:hanging="261"/>
        <w:spacing w:after="0" w:line="280"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right="280" w:hanging="261"/>
        <w:spacing w:after="0" w:line="280"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ind w:left="760" w:right="60" w:hanging="247"/>
        <w:spacing w:after="0" w:line="366" w:lineRule="auto"/>
        <w:tabs>
          <w:tab w:leader="none" w:pos="758"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60" w:right="280" w:hanging="247"/>
        <w:spacing w:after="0" w:line="366" w:lineRule="auto"/>
        <w:tabs>
          <w:tab w:leader="none" w:pos="755"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2"/>
          <w:szCs w:val="12"/>
          <w:color w:val="auto"/>
        </w:rPr>
      </w:pPr>
    </w:p>
    <w:p>
      <w:pPr>
        <w:ind w:left="760" w:right="460" w:hanging="247"/>
        <w:spacing w:after="0" w:line="280" w:lineRule="auto"/>
        <w:tabs>
          <w:tab w:leader="none" w:pos="758" w:val="left"/>
        </w:tabs>
        <w:numPr>
          <w:ilvl w:val="1"/>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760" w:right="140" w:hanging="247"/>
        <w:spacing w:after="0" w:line="320" w:lineRule="auto"/>
        <w:tabs>
          <w:tab w:leader="none" w:pos="755" w:val="left"/>
        </w:tabs>
        <w:numPr>
          <w:ilvl w:val="1"/>
          <w:numId w:val="4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right="440" w:hanging="261"/>
        <w:spacing w:after="0" w:line="280"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760" w:right="160" w:hanging="247"/>
        <w:spacing w:after="0" w:line="280" w:lineRule="auto"/>
        <w:tabs>
          <w:tab w:leader="none" w:pos="758"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760" w:hanging="247"/>
        <w:spacing w:after="0"/>
        <w:tabs>
          <w:tab w:leader="none" w:pos="7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Date: June 4, 2021</w:t>
      </w:r>
    </w:p>
    <w:p>
      <w:pPr>
        <w:sectPr>
          <w:pgSz w:w="11900" w:h="16838" w:orient="portrait"/>
          <w:cols w:equalWidth="0" w:num="1">
            <w:col w:w="11280"/>
          </w:cols>
          <w:pgMar w:left="300" w:top="760"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auto"/>
        </w:rPr>
        <w:t>CROWDSTRIKE HOLDINGS, INC.</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By:</w:t>
            </w:r>
          </w:p>
        </w:tc>
        <w:tc>
          <w:tcPr>
            <w:tcW w:w="10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Burt W. Podbere</w:t>
            </w:r>
          </w:p>
        </w:tc>
      </w:tr>
      <w:tr>
        <w:trPr>
          <w:trHeight w:val="171"/>
        </w:trPr>
        <w:tc>
          <w:tcPr>
            <w:tcW w:w="840" w:type="dxa"/>
            <w:vAlign w:val="bottom"/>
          </w:tcPr>
          <w:p>
            <w:pPr>
              <w:spacing w:after="0"/>
              <w:rPr>
                <w:sz w:val="20"/>
                <w:szCs w:val="20"/>
                <w:color w:val="auto"/>
              </w:rPr>
            </w:pPr>
            <w:r>
              <w:rPr>
                <w:rFonts w:ascii="Arial" w:cs="Arial" w:eastAsia="Arial" w:hAnsi="Arial"/>
                <w:sz w:val="14"/>
                <w:szCs w:val="14"/>
                <w:color w:val="auto"/>
              </w:rPr>
              <w:t>Name:</w:t>
            </w:r>
          </w:p>
        </w:tc>
        <w:tc>
          <w:tcPr>
            <w:tcW w:w="10420" w:type="dxa"/>
            <w:vAlign w:val="bottom"/>
          </w:tcPr>
          <w:p>
            <w:pPr>
              <w:ind w:left="20"/>
              <w:spacing w:after="0"/>
              <w:rPr>
                <w:sz w:val="20"/>
                <w:szCs w:val="20"/>
                <w:color w:val="auto"/>
              </w:rPr>
            </w:pPr>
            <w:r>
              <w:rPr>
                <w:rFonts w:ascii="Arial" w:cs="Arial" w:eastAsia="Arial" w:hAnsi="Arial"/>
                <w:sz w:val="14"/>
                <w:szCs w:val="14"/>
                <w:color w:val="auto"/>
              </w:rPr>
              <w:t>Burt W. Podbere</w:t>
            </w:r>
          </w:p>
        </w:tc>
      </w:tr>
      <w:tr>
        <w:trPr>
          <w:trHeight w:val="180"/>
        </w:trPr>
        <w:tc>
          <w:tcPr>
            <w:tcW w:w="840" w:type="dxa"/>
            <w:vAlign w:val="bottom"/>
          </w:tcPr>
          <w:p>
            <w:pPr>
              <w:spacing w:after="0"/>
              <w:rPr>
                <w:sz w:val="20"/>
                <w:szCs w:val="20"/>
                <w:color w:val="auto"/>
              </w:rPr>
            </w:pPr>
            <w:r>
              <w:rPr>
                <w:rFonts w:ascii="Arial" w:cs="Arial" w:eastAsia="Arial" w:hAnsi="Arial"/>
                <w:sz w:val="14"/>
                <w:szCs w:val="14"/>
                <w:color w:val="auto"/>
              </w:rPr>
              <w:t>Title:</w:t>
            </w:r>
          </w:p>
        </w:tc>
        <w:tc>
          <w:tcPr>
            <w:tcW w:w="10420" w:type="dxa"/>
            <w:vAlign w:val="bottom"/>
          </w:tcPr>
          <w:p>
            <w:pPr>
              <w:ind w:left="20"/>
              <w:spacing w:after="0"/>
              <w:rPr>
                <w:sz w:val="20"/>
                <w:szCs w:val="20"/>
                <w:color w:val="auto"/>
              </w:rPr>
            </w:pPr>
            <w:r>
              <w:rPr>
                <w:rFonts w:ascii="Arial" w:cs="Arial" w:eastAsia="Arial" w:hAnsi="Arial"/>
                <w:sz w:val="14"/>
                <w:szCs w:val="14"/>
                <w:color w:val="auto"/>
              </w:rPr>
              <w:t>Chief Financial Officer (Principal Financial Officer)</w:t>
            </w:r>
          </w:p>
        </w:tc>
      </w:tr>
    </w:tbl>
    <w:p>
      <w:pPr>
        <w:sectPr>
          <w:pgSz w:w="11900" w:h="16838" w:orient="portrait"/>
          <w:cols w:equalWidth="0" w:num="1">
            <w:col w:w="11260"/>
          </w:cols>
          <w:pgMar w:left="320" w:top="795" w:right="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Exhibit 32.1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67"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2021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June 4, 2021</w:t>
      </w:r>
    </w:p>
    <w:p>
      <w:pPr>
        <w:spacing w:after="0" w:line="19" w:lineRule="exact"/>
        <w:rPr>
          <w:sz w:val="20"/>
          <w:szCs w:val="20"/>
          <w:color w:val="auto"/>
        </w:rPr>
      </w:pPr>
    </w:p>
    <w:tbl>
      <w:tblPr>
        <w:tblLayout w:type="fixed"/>
        <w:tblInd w:w="6760" w:type="dxa"/>
        <w:tblCellMar>
          <w:top w:w="0" w:type="dxa"/>
          <w:left w:w="0" w:type="dxa"/>
          <w:bottom w:w="0" w:type="dxa"/>
          <w:right w:w="0" w:type="dxa"/>
        </w:tblCellMar>
      </w:tblPr>
      <w:tr>
        <w:trPr>
          <w:trHeight w:val="180"/>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George Kurtz</w:t>
            </w:r>
          </w:p>
        </w:tc>
      </w:tr>
      <w:tr>
        <w:trPr>
          <w:trHeight w:val="171"/>
        </w:trPr>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3740" w:type="dxa"/>
            <w:vAlign w:val="bottom"/>
          </w:tcPr>
          <w:p>
            <w:pPr>
              <w:ind w:left="20"/>
              <w:spacing w:after="0"/>
              <w:rPr>
                <w:sz w:val="20"/>
                <w:szCs w:val="20"/>
                <w:color w:val="auto"/>
              </w:rPr>
            </w:pPr>
            <w:r>
              <w:rPr>
                <w:rFonts w:ascii="Arial" w:cs="Arial" w:eastAsia="Arial" w:hAnsi="Arial"/>
                <w:sz w:val="14"/>
                <w:szCs w:val="14"/>
                <w:color w:val="auto"/>
              </w:rPr>
              <w:t>George Kurtz</w:t>
            </w:r>
          </w:p>
        </w:tc>
      </w:tr>
      <w:tr>
        <w:trPr>
          <w:trHeight w:val="138"/>
        </w:trPr>
        <w:tc>
          <w:tcPr>
            <w:tcW w:w="760" w:type="dxa"/>
            <w:vAlign w:val="bottom"/>
          </w:tcPr>
          <w:p>
            <w:pPr>
              <w:spacing w:after="0" w:line="138" w:lineRule="exact"/>
              <w:rPr>
                <w:sz w:val="20"/>
                <w:szCs w:val="20"/>
                <w:color w:val="auto"/>
              </w:rPr>
            </w:pPr>
            <w:r>
              <w:rPr>
                <w:rFonts w:ascii="Arial" w:cs="Arial" w:eastAsia="Arial" w:hAnsi="Arial"/>
                <w:sz w:val="14"/>
                <w:szCs w:val="14"/>
                <w:color w:val="auto"/>
              </w:rPr>
              <w:t>Title:</w:t>
            </w:r>
          </w:p>
        </w:tc>
        <w:tc>
          <w:tcPr>
            <w:tcW w:w="3740" w:type="dxa"/>
            <w:vAlign w:val="bottom"/>
          </w:tcPr>
          <w:p>
            <w:pPr>
              <w:ind w:left="20"/>
              <w:spacing w:after="0" w:line="138" w:lineRule="exact"/>
              <w:rPr>
                <w:sz w:val="20"/>
                <w:szCs w:val="20"/>
                <w:color w:val="auto"/>
              </w:rPr>
            </w:pPr>
            <w:r>
              <w:rPr>
                <w:rFonts w:ascii="Arial" w:cs="Arial" w:eastAsia="Arial" w:hAnsi="Arial"/>
                <w:sz w:val="14"/>
                <w:szCs w:val="14"/>
                <w:color w:val="auto"/>
              </w:rPr>
              <w:t>President, Chief Executive Officer, and Director</w:t>
            </w:r>
          </w:p>
        </w:tc>
      </w:tr>
      <w:tr>
        <w:trPr>
          <w:trHeight w:val="180"/>
        </w:trPr>
        <w:tc>
          <w:tcPr>
            <w:tcW w:w="760" w:type="dxa"/>
            <w:vAlign w:val="bottom"/>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pacing w:after="0" w:line="159"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2021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June 4, 2021</w:t>
      </w:r>
    </w:p>
    <w:p>
      <w:pPr>
        <w:spacing w:after="0" w:line="19" w:lineRule="exact"/>
        <w:rPr>
          <w:sz w:val="20"/>
          <w:szCs w:val="20"/>
          <w:color w:val="auto"/>
        </w:rPr>
      </w:pPr>
    </w:p>
    <w:tbl>
      <w:tblPr>
        <w:tblLayout w:type="fixed"/>
        <w:tblInd w:w="6760" w:type="dxa"/>
        <w:tblCellMar>
          <w:top w:w="0" w:type="dxa"/>
          <w:left w:w="0" w:type="dxa"/>
          <w:bottom w:w="0" w:type="dxa"/>
          <w:right w:w="0" w:type="dxa"/>
        </w:tblCellMar>
      </w:tblPr>
      <w:tr>
        <w:trPr>
          <w:trHeight w:val="180"/>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Burt W. Podbere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3740" w:type="dxa"/>
            <w:vAlign w:val="bottom"/>
          </w:tcPr>
          <w:p>
            <w:pPr>
              <w:ind w:left="20"/>
              <w:spacing w:after="0"/>
              <w:rPr>
                <w:sz w:val="20"/>
                <w:szCs w:val="20"/>
                <w:color w:val="auto"/>
              </w:rPr>
            </w:pPr>
            <w:r>
              <w:rPr>
                <w:rFonts w:ascii="Arial" w:cs="Arial" w:eastAsia="Arial" w:hAnsi="Arial"/>
                <w:sz w:val="14"/>
                <w:szCs w:val="14"/>
                <w:color w:val="auto"/>
              </w:rPr>
              <w:t>Burt W. Podbere</w:t>
            </w:r>
          </w:p>
        </w:tc>
        <w:tc>
          <w:tcPr>
            <w:tcW w:w="0" w:type="dxa"/>
            <w:vAlign w:val="bottom"/>
          </w:tcPr>
          <w:p>
            <w:pPr>
              <w:spacing w:after="0"/>
              <w:rPr>
                <w:sz w:val="1"/>
                <w:szCs w:val="1"/>
                <w:color w:val="auto"/>
              </w:rPr>
            </w:pPr>
          </w:p>
        </w:tc>
      </w:tr>
      <w:tr>
        <w:trPr>
          <w:trHeight w:val="138"/>
        </w:trPr>
        <w:tc>
          <w:tcPr>
            <w:tcW w:w="760" w:type="dxa"/>
            <w:vAlign w:val="bottom"/>
            <w:vMerge w:val="restart"/>
          </w:tcPr>
          <w:p>
            <w:pPr>
              <w:spacing w:after="0"/>
              <w:rPr>
                <w:sz w:val="20"/>
                <w:szCs w:val="20"/>
                <w:color w:val="auto"/>
              </w:rPr>
            </w:pPr>
            <w:r>
              <w:rPr>
                <w:rFonts w:ascii="Arial" w:cs="Arial" w:eastAsia="Arial" w:hAnsi="Arial"/>
                <w:sz w:val="14"/>
                <w:szCs w:val="14"/>
                <w:color w:val="auto"/>
              </w:rPr>
              <w:t>Title:</w:t>
            </w:r>
          </w:p>
        </w:tc>
        <w:tc>
          <w:tcPr>
            <w:tcW w:w="3740" w:type="dxa"/>
            <w:vAlign w:val="bottom"/>
          </w:tcPr>
          <w:p>
            <w:pPr>
              <w:ind w:left="20"/>
              <w:spacing w:after="0" w:line="138" w:lineRule="exact"/>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180"/>
        </w:trPr>
        <w:tc>
          <w:tcPr>
            <w:tcW w:w="760" w:type="dxa"/>
            <w:vAlign w:val="bottom"/>
            <w:vMerge w:val="continue"/>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1."/>
      <w:numFmt w:val="decimal"/>
      <w:start w:val="12"/>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3"/>
    </w:lvl>
  </w:abstractNum>
  <w:abstractNum w:abstractNumId="17">
    <w:nsid w:val="22221A70"/>
    <w:multiLevelType w:val="hybridMultilevel"/>
    <w:lvl w:ilvl="0">
      <w:lvlJc w:val="left"/>
      <w:lvlText w:val="(%1)"/>
      <w:numFmt w:val="decimal"/>
      <w:start w:val="4"/>
    </w:lvl>
  </w:abstractNum>
  <w:abstractNum w:abstractNumId="18">
    <w:nsid w:val="4516DDE9"/>
    <w:multiLevelType w:val="hybridMultilevel"/>
    <w:lvl w:ilvl="0">
      <w:lvlJc w:val="left"/>
      <w:lvlText w:val="(%1)"/>
      <w:numFmt w:val="decimal"/>
      <w:start w:val="5"/>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04" Type="http://schemas.openxmlformats.org/officeDocument/2006/relationships/hyperlink" Target="http://www.sec.gov/Archives/edgar/data/1535527/000110465919035685/a19-11597_1ex3d1.htm" TargetMode="External"/><Relationship Id="rId105" Type="http://schemas.openxmlformats.org/officeDocument/2006/relationships/hyperlink" Target="http://www.sec.gov/Archives/edgar/data/1535527/000110465919035685/a19-11597_1ex3d2.htm" TargetMode="External"/><Relationship Id="rId106"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2021-06-04T15:15:32Z</dcterms:created>
  <dcterms:modified xsi:type="dcterms:W3CDTF">2021-06-04T15:15:32Z</dcterms:modified>
</cp:coreProperties>
</file>