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FORM 10-K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p>
      <w:pPr>
        <w:pStyle w:val="TextBody"/>
        <w:bidi w:val="0"/>
        <w:spacing w:lineRule="auto" w:line="288" w:before="6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8352" w:type="dxa"/>
        <w:jc w:val="left"/>
        <w:tblInd w:w="0" w:type="dxa"/>
        <w:tblLayout w:type="fixed"/>
        <w:tblCellMar>
          <w:top w:w="28" w:type="dxa"/>
          <w:left w:w="28" w:type="dxa"/>
          <w:bottom w:w="28" w:type="dxa"/>
          <w:right w:w="28" w:type="dxa"/>
        </w:tblCellMar>
      </w:tblPr>
      <w:tblGrid>
        <w:gridCol w:w="124"/>
        <w:gridCol w:w="109"/>
        <w:gridCol w:w="109"/>
        <w:gridCol w:w="2346"/>
        <w:gridCol w:w="2346"/>
        <w:gridCol w:w="3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00" w:after="283"/>
              <w:jc w:val="center"/>
              <w:rPr>
                <w:color w:val="000000"/>
              </w:rPr>
            </w:pPr>
            <w:r>
              <w:rPr>
                <w:color w:val="000000"/>
              </w:rPr>
              <w:t>☑</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fiscal year ended January 31, 2026 </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OR</w:t>
      </w:r>
    </w:p>
    <w:tbl>
      <w:tblPr>
        <w:tblW w:w="8652" w:type="dxa"/>
        <w:jc w:val="center"/>
        <w:tblInd w:w="0" w:type="dxa"/>
        <w:tblLayout w:type="fixed"/>
        <w:tblCellMar>
          <w:top w:w="28" w:type="dxa"/>
          <w:left w:w="28" w:type="dxa"/>
          <w:bottom w:w="28" w:type="dxa"/>
          <w:right w:w="28" w:type="dxa"/>
        </w:tblCellMar>
      </w:tblPr>
      <w:tblGrid>
        <w:gridCol w:w="124"/>
        <w:gridCol w:w="109"/>
        <w:gridCol w:w="109"/>
        <w:gridCol w:w="2430"/>
        <w:gridCol w:w="2430"/>
        <w:gridCol w:w="34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8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TRANSITION REPORT PURSUANT TO SECTION 13 OR 15(d) OF THE SECURITIES EXCHANGE ACT OF 1934</w:t>
            </w:r>
          </w:p>
        </w:tc>
      </w:tr>
    </w:tbl>
    <w:p>
      <w:pPr>
        <w:pStyle w:val="TextBody"/>
        <w:bidi w:val="0"/>
        <w:spacing w:lineRule="auto" w:line="288" w:before="40" w:after="283"/>
        <w:jc w:val="center"/>
        <w:rPr>
          <w:rFonts w:ascii="Times New Roman;serif" w:hAnsi="Times New Roman;serif"/>
          <w:b w:val="false"/>
          <w:color w:val="000000"/>
          <w:sz w:val="16"/>
        </w:rPr>
      </w:pPr>
      <w:r>
        <w:rPr>
          <w:rFonts w:ascii="Times New Roman;serif" w:hAnsi="Times New Roman;serif"/>
          <w:b w:val="false"/>
          <w:color w:val="000000"/>
          <w:sz w:val="16"/>
        </w:rPr>
        <w:t>For the transition period from to</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 xml:space="preserve">Commission File Number: 001-38933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CROWDSTRIKE HOLDINGS,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tbl>
      <w:tblPr>
        <w:tblW w:w="6602" w:type="dxa"/>
        <w:jc w:val="center"/>
        <w:tblInd w:w="0" w:type="dxa"/>
        <w:tblLayout w:type="fixed"/>
        <w:tblCellMar>
          <w:top w:w="28" w:type="dxa"/>
          <w:left w:w="28" w:type="dxa"/>
          <w:bottom w:w="28" w:type="dxa"/>
          <w:right w:w="28" w:type="dxa"/>
        </w:tblCellMar>
      </w:tblPr>
      <w:tblGrid>
        <w:gridCol w:w="413"/>
        <w:gridCol w:w="362"/>
        <w:gridCol w:w="362"/>
        <w:gridCol w:w="362"/>
        <w:gridCol w:w="362"/>
        <w:gridCol w:w="37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511"/>
        <w:gridCol w:w="511"/>
        <w:gridCol w:w="732"/>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45-3788918</w:t>
            </w:r>
          </w:p>
        </w:tc>
      </w:tr>
      <w:tr>
        <w:trPr/>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Number)</w:t>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3"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206 E. 9th Street, Suite 1400, Austin, Texas 78701</w:t>
      </w:r>
    </w:p>
    <w:p>
      <w:pPr>
        <w:pStyle w:val="TextBody"/>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(888) 512-8906</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353"/>
        <w:gridCol w:w="1188"/>
        <w:gridCol w:w="1193"/>
        <w:gridCol w:w="464"/>
        <w:gridCol w:w="464"/>
        <w:gridCol w:w="466"/>
        <w:gridCol w:w="945"/>
        <w:gridCol w:w="945"/>
        <w:gridCol w:w="1335"/>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 of securities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734"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$0.0005 per share</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CRWD</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The Nasdaq Stock Market LLC </w:t>
            </w:r>
          </w:p>
        </w:tc>
      </w:tr>
      <w:tr>
        <w:trPr/>
        <w:tc>
          <w:tcPr>
            <w:tcW w:w="3734"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39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None.</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p>
      <w:pPr>
        <w:pStyle w:val="TextBody"/>
        <w:bidi w:val="0"/>
        <w:spacing w:lineRule="auto" w:line="288" w:before="20" w:after="2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of 1933, as amended. Yes ☑  No ☐</w:t>
      </w:r>
    </w:p>
    <w:p>
      <w:pPr>
        <w:pStyle w:val="TextBody"/>
        <w:bidi w:val="0"/>
        <w:spacing w:lineRule="auto" w:line="288" w:before="60" w:after="2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Section 15(d) of the Act. Yes ☐ No ☑</w:t>
      </w:r>
    </w:p>
    <w:p>
      <w:pPr>
        <w:pStyle w:val="TextBody"/>
        <w:bidi w:val="0"/>
        <w:spacing w:lineRule="auto" w:line="288" w:before="40" w:after="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lineRule="auto" w:line="288" w:before="60" w:after="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64"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674"/>
        <w:gridCol w:w="674"/>
        <w:gridCol w:w="67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common stock held by non-affiliates of the registrant, based on the closing price of a share of the registrant’s common stock on July 31, 2025 (the last business day of the registrant’s most recently completed second fiscal quarter) as reported by the Nasdaq Global Select Market on such date was approximately $109.3 billion.</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As of February 28, 2026, the number of shares of the registrant’s Class A common stock outstanding was 253,614,090.</w:t>
      </w:r>
    </w:p>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DOCUMENTS INCORPORATED BY REFERENCE</w:t>
      </w:r>
    </w:p>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relating to its 2026 Annual Meeting of Stockholders are incorporated by reference into Part III of this Form 10-K where indicated. Such Proxy Statement will be filed with the United States Securities and Exchange Commission within 120 days after the end of the fiscal year to which this Annual Report on Form 10-K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4"/>
        <w:gridCol w:w="258"/>
        <w:gridCol w:w="259"/>
        <w:gridCol w:w="2853"/>
        <w:gridCol w:w="2830"/>
        <w:gridCol w:w="2864"/>
        <w:gridCol w:w="246"/>
        <w:gridCol w:w="246"/>
        <w:gridCol w:w="35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d40284295348378ae47b1f11c9e604_13">
              <w:r>
                <w:rPr>
                  <w:rStyle w:val="InternetLink"/>
                  <w:rFonts w:ascii="Times New Roman;serif" w:hAnsi="Times New Roman;serif"/>
                  <w:b w:val="false"/>
                  <w:color w:val="0000FF"/>
                  <w:sz w:val="20"/>
                  <w:u w:val="single"/>
                </w:rPr>
                <w:t>Part I</w:t>
              </w:r>
            </w:hyperlink>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6">
              <w:r>
                <w:rPr>
                  <w:rStyle w:val="InternetLink"/>
                  <w:rFonts w:ascii="Times New Roman;serif" w:hAnsi="Times New Roman;serif"/>
                  <w:b w:val="false"/>
                  <w:color w:val="0000FF"/>
                  <w:sz w:val="20"/>
                  <w:u w:val="single"/>
                </w:rPr>
                <w:t>Item 1.</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6">
              <w:r>
                <w:rPr>
                  <w:rStyle w:val="InternetLink"/>
                  <w:rFonts w:ascii="Times New Roman;serif" w:hAnsi="Times New Roman;serif"/>
                  <w:b w:val="false"/>
                  <w:color w:val="0000FF"/>
                  <w:sz w:val="20"/>
                  <w:u w:val="single"/>
                </w:rPr>
                <w:t>Business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6">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9">
              <w:r>
                <w:rPr>
                  <w:rStyle w:val="InternetLink"/>
                  <w:rFonts w:ascii="Times New Roman;serif" w:hAnsi="Times New Roman;serif"/>
                  <w:b w:val="false"/>
                  <w:color w:val="0000FF"/>
                  <w:sz w:val="20"/>
                  <w:u w:val="single"/>
                </w:rPr>
                <w:t>Item 1A.</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9">
              <w:r>
                <w:rPr>
                  <w:rStyle w:val="InternetLink"/>
                  <w:rFonts w:ascii="Times New Roman;serif" w:hAnsi="Times New Roman;serif"/>
                  <w:b w:val="false"/>
                  <w:color w:val="0000FF"/>
                  <w:sz w:val="20"/>
                  <w:u w:val="single"/>
                </w:rPr>
                <w:t>Risk Factors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9">
              <w:r>
                <w:rPr>
                  <w:rStyle w:val="InternetLink"/>
                  <w:rFonts w:ascii="Times New Roman;serif" w:hAnsi="Times New Roman;serif"/>
                  <w:b w:val="false"/>
                  <w:color w:val="0000FF"/>
                  <w:sz w:val="20"/>
                  <w:u w:val="single"/>
                </w:rPr>
                <w:t>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22">
              <w:r>
                <w:rPr>
                  <w:rStyle w:val="InternetLink"/>
                  <w:rFonts w:ascii="Times New Roman;serif" w:hAnsi="Times New Roman;serif"/>
                  <w:b w:val="false"/>
                  <w:color w:val="0000FF"/>
                  <w:sz w:val="20"/>
                  <w:u w:val="single"/>
                </w:rPr>
                <w:t>Item 1B.</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22">
              <w:r>
                <w:rPr>
                  <w:rStyle w:val="InternetLink"/>
                  <w:rFonts w:ascii="Times New Roman;serif" w:hAnsi="Times New Roman;serif"/>
                  <w:b w:val="false"/>
                  <w:color w:val="0000FF"/>
                  <w:sz w:val="20"/>
                  <w:u w:val="single"/>
                </w:rPr>
                <w:t>Unresolved Staff Comments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22">
              <w:r>
                <w:rPr>
                  <w:rStyle w:val="InternetLink"/>
                  <w:rFonts w:ascii="Times New Roman;serif" w:hAnsi="Times New Roman;serif"/>
                  <w:b w:val="false"/>
                  <w:color w:val="0000FF"/>
                  <w:sz w:val="20"/>
                  <w:u w:val="single"/>
                </w:rPr>
                <w:t>56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25">
              <w:r>
                <w:rPr>
                  <w:rStyle w:val="InternetLink"/>
                  <w:rFonts w:ascii="Times New Roman;serif" w:hAnsi="Times New Roman;serif"/>
                  <w:b w:val="false"/>
                  <w:color w:val="0000FF"/>
                  <w:sz w:val="20"/>
                  <w:u w:val="single"/>
                </w:rPr>
                <w:t>Item 1C.</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25">
              <w:r>
                <w:rPr>
                  <w:rStyle w:val="InternetLink"/>
                  <w:rFonts w:ascii="Times New Roman;serif" w:hAnsi="Times New Roman;serif"/>
                  <w:b w:val="false"/>
                  <w:color w:val="0000FF"/>
                  <w:sz w:val="20"/>
                  <w:u w:val="single"/>
                </w:rPr>
                <w:t>Cybersecurity</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25">
              <w:r>
                <w:rPr>
                  <w:rStyle w:val="InternetLink"/>
                  <w:rFonts w:ascii="Times New Roman;serif" w:hAnsi="Times New Roman;serif"/>
                  <w:b w:val="false"/>
                  <w:color w:val="0000FF"/>
                  <w:sz w:val="20"/>
                  <w:u w:val="single"/>
                </w:rPr>
                <w:t>56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28">
              <w:r>
                <w:rPr>
                  <w:rStyle w:val="InternetLink"/>
                  <w:rFonts w:ascii="Times New Roman;serif" w:hAnsi="Times New Roman;serif"/>
                  <w:b w:val="false"/>
                  <w:color w:val="0000FF"/>
                  <w:sz w:val="20"/>
                  <w:u w:val="single"/>
                </w:rPr>
                <w:t>Item 2.</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28">
              <w:r>
                <w:rPr>
                  <w:rStyle w:val="InternetLink"/>
                  <w:rFonts w:ascii="Times New Roman;serif" w:hAnsi="Times New Roman;serif"/>
                  <w:b w:val="false"/>
                  <w:color w:val="0000FF"/>
                  <w:sz w:val="20"/>
                  <w:u w:val="single"/>
                </w:rPr>
                <w:t>Properties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28">
              <w:r>
                <w:rPr>
                  <w:rStyle w:val="InternetLink"/>
                  <w:rFonts w:ascii="Times New Roman;serif" w:hAnsi="Times New Roman;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31">
              <w:r>
                <w:rPr>
                  <w:rStyle w:val="InternetLink"/>
                  <w:rFonts w:ascii="Times New Roman;serif" w:hAnsi="Times New Roman;serif"/>
                  <w:b w:val="false"/>
                  <w:color w:val="0000FF"/>
                  <w:sz w:val="20"/>
                  <w:u w:val="single"/>
                </w:rPr>
                <w:t>Item 3.</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31">
              <w:r>
                <w:rPr>
                  <w:rStyle w:val="InternetLink"/>
                  <w:rFonts w:ascii="Times New Roman;serif" w:hAnsi="Times New Roman;serif"/>
                  <w:b w:val="false"/>
                  <w:color w:val="0000FF"/>
                  <w:sz w:val="20"/>
                  <w:u w:val="single"/>
                </w:rPr>
                <w:t>Legal Proceedings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31">
              <w:r>
                <w:rPr>
                  <w:rStyle w:val="InternetLink"/>
                  <w:rFonts w:ascii="Times New Roman;serif" w:hAnsi="Times New Roman;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34">
              <w:r>
                <w:rPr>
                  <w:rStyle w:val="InternetLink"/>
                  <w:rFonts w:ascii="Times New Roman;serif" w:hAnsi="Times New Roman;serif"/>
                  <w:b w:val="false"/>
                  <w:color w:val="0000FF"/>
                  <w:sz w:val="20"/>
                  <w:u w:val="single"/>
                </w:rPr>
                <w:t xml:space="preserve">Item 4. </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34">
              <w:r>
                <w:rPr>
                  <w:rStyle w:val="InternetLink"/>
                  <w:rFonts w:ascii="Times New Roman;serif" w:hAnsi="Times New Roman;serif"/>
                  <w:b w:val="false"/>
                  <w:color w:val="0000FF"/>
                  <w:sz w:val="20"/>
                  <w:u w:val="single"/>
                </w:rPr>
                <w:t>Mine Safety Disclosures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34">
              <w:r>
                <w:rPr>
                  <w:rStyle w:val="InternetLink"/>
                  <w:rFonts w:ascii="Times New Roman;serif" w:hAnsi="Times New Roman;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d40284295348378ae47b1f11c9e604_37">
              <w:r>
                <w:rPr>
                  <w:rStyle w:val="InternetLink"/>
                  <w:rFonts w:ascii="Times New Roman;serif" w:hAnsi="Times New Roman;serif"/>
                  <w:b w:val="false"/>
                  <w:color w:val="0000FF"/>
                  <w:sz w:val="20"/>
                  <w:u w:val="single"/>
                </w:rPr>
                <w:t>Part II</w:t>
              </w:r>
            </w:hyperlink>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40">
              <w:r>
                <w:rPr>
                  <w:rStyle w:val="InternetLink"/>
                  <w:rFonts w:ascii="Times New Roman;serif" w:hAnsi="Times New Roman;serif"/>
                  <w:b w:val="false"/>
                  <w:color w:val="0000FF"/>
                  <w:sz w:val="20"/>
                  <w:u w:val="single"/>
                </w:rPr>
                <w:t>Item 5.</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40">
              <w:r>
                <w:rPr>
                  <w:rStyle w:val="InternetLink"/>
                  <w:rFonts w:ascii="Times New Roman;serif" w:hAnsi="Times New Roman;serif"/>
                  <w:b w:val="false"/>
                  <w:color w:val="0000FF"/>
                  <w:sz w:val="20"/>
                  <w:u w:val="single"/>
                </w:rPr>
                <w:t>58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43">
              <w:r>
                <w:rPr>
                  <w:rStyle w:val="InternetLink"/>
                  <w:rFonts w:ascii="Times New Roman;serif" w:hAnsi="Times New Roman;serif"/>
                  <w:b w:val="false"/>
                  <w:color w:val="0000FF"/>
                  <w:sz w:val="20"/>
                  <w:u w:val="single"/>
                </w:rPr>
                <w:t>Item 6.</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43">
              <w:r>
                <w:rPr>
                  <w:rStyle w:val="InternetLink"/>
                  <w:rFonts w:ascii="Times New Roman;serif" w:hAnsi="Times New Roman;serif"/>
                  <w:b w:val="false"/>
                  <w:color w:val="0000FF"/>
                  <w:sz w:val="20"/>
                  <w:u w:val="single"/>
                </w:rPr>
                <w:t>[Reserved]</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43">
              <w:r>
                <w:rPr>
                  <w:rStyle w:val="InternetLink"/>
                  <w:rFonts w:ascii="Times New Roman;serif" w:hAnsi="Times New Roman;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46">
              <w:r>
                <w:rPr>
                  <w:rStyle w:val="InternetLink"/>
                  <w:rFonts w:ascii="Times New Roman;serif" w:hAnsi="Times New Roman;serif"/>
                  <w:b w:val="false"/>
                  <w:color w:val="0000FF"/>
                  <w:sz w:val="20"/>
                  <w:u w:val="single"/>
                </w:rPr>
                <w:t>Item 7.</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46">
              <w:r>
                <w:rPr>
                  <w:rStyle w:val="InternetLink"/>
                  <w:rFonts w:ascii="Times New Roman;serif" w:hAnsi="Times New Roman;serif"/>
                  <w:b w:val="false"/>
                  <w:color w:val="0000FF"/>
                  <w:sz w:val="20"/>
                  <w:u w:val="single"/>
                </w:rPr>
                <w:t>60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79">
              <w:r>
                <w:rPr>
                  <w:rStyle w:val="InternetLink"/>
                  <w:rFonts w:ascii="Times New Roman;serif" w:hAnsi="Times New Roman;serif"/>
                  <w:b w:val="false"/>
                  <w:color w:val="0000FF"/>
                  <w:sz w:val="20"/>
                  <w:u w:val="single"/>
                </w:rPr>
                <w:t>Item 7A.</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79">
              <w:r>
                <w:rPr>
                  <w:rStyle w:val="InternetLink"/>
                  <w:rFonts w:ascii="Times New Roman;serif" w:hAnsi="Times New Roman;serif"/>
                  <w:b w:val="false"/>
                  <w:color w:val="0000FF"/>
                  <w:sz w:val="20"/>
                  <w:u w:val="single"/>
                </w:rPr>
                <w:t>Quantitative and Qualitative Disclosures about Market Risk</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79">
              <w:r>
                <w:rPr>
                  <w:rStyle w:val="InternetLink"/>
                  <w:rFonts w:ascii="Times New Roman;serif" w:hAnsi="Times New Roman;serif"/>
                  <w:b w:val="false"/>
                  <w:color w:val="0000FF"/>
                  <w:sz w:val="20"/>
                  <w:u w:val="single"/>
                </w:rPr>
                <w:t>78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82">
              <w:r>
                <w:rPr>
                  <w:rStyle w:val="InternetLink"/>
                  <w:rFonts w:ascii="Times New Roman;serif" w:hAnsi="Times New Roman;serif"/>
                  <w:b w:val="false"/>
                  <w:color w:val="0000FF"/>
                  <w:sz w:val="20"/>
                  <w:u w:val="single"/>
                </w:rPr>
                <w:t>Item 8.</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82">
              <w:r>
                <w:rPr>
                  <w:rStyle w:val="InternetLink"/>
                  <w:rFonts w:ascii="Times New Roman;serif" w:hAnsi="Times New Roman;serif"/>
                  <w:b w:val="false"/>
                  <w:color w:val="0000FF"/>
                  <w:sz w:val="20"/>
                  <w:u w:val="single"/>
                </w:rPr>
                <w:t>Financial Statements and Supplementary Data</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82">
              <w:r>
                <w:rPr>
                  <w:rStyle w:val="InternetLink"/>
                  <w:rFonts w:ascii="Times New Roman;serif" w:hAnsi="Times New Roman;serif"/>
                  <w:b w:val="false"/>
                  <w:color w:val="0000FF"/>
                  <w:sz w:val="20"/>
                  <w:u w:val="single"/>
                </w:rPr>
                <w:t>79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54">
              <w:r>
                <w:rPr>
                  <w:rStyle w:val="InternetLink"/>
                  <w:rFonts w:ascii="Times New Roman;serif" w:hAnsi="Times New Roman;serif"/>
                  <w:b w:val="false"/>
                  <w:color w:val="0000FF"/>
                  <w:sz w:val="20"/>
                  <w:u w:val="single"/>
                </w:rPr>
                <w:t>Item 9.</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54">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54">
              <w:r>
                <w:rPr>
                  <w:rStyle w:val="InternetLink"/>
                  <w:rFonts w:ascii="Times New Roman;serif" w:hAnsi="Times New Roman;serif"/>
                  <w:b w:val="false"/>
                  <w:color w:val="0000FF"/>
                  <w:sz w:val="20"/>
                  <w:u w:val="single"/>
                </w:rPr>
                <w:t>124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57">
              <w:r>
                <w:rPr>
                  <w:rStyle w:val="InternetLink"/>
                  <w:rFonts w:ascii="Times New Roman;serif" w:hAnsi="Times New Roman;serif"/>
                  <w:b w:val="false"/>
                  <w:color w:val="0000FF"/>
                  <w:sz w:val="20"/>
                  <w:u w:val="single"/>
                </w:rPr>
                <w:t>Item 9A.</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57">
              <w:r>
                <w:rPr>
                  <w:rStyle w:val="InternetLink"/>
                  <w:rFonts w:ascii="Times New Roman;serif" w:hAnsi="Times New Roman;serif"/>
                  <w:b w:val="false"/>
                  <w:color w:val="0000FF"/>
                  <w:sz w:val="20"/>
                  <w:u w:val="single"/>
                </w:rPr>
                <w:t>Controls and Procedures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57">
              <w:r>
                <w:rPr>
                  <w:rStyle w:val="InternetLink"/>
                  <w:rFonts w:ascii="Times New Roman;serif" w:hAnsi="Times New Roman;serif"/>
                  <w:b w:val="false"/>
                  <w:color w:val="0000FF"/>
                  <w:sz w:val="20"/>
                  <w:u w:val="single"/>
                </w:rPr>
                <w:t>125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60">
              <w:r>
                <w:rPr>
                  <w:rStyle w:val="InternetLink"/>
                  <w:rFonts w:ascii="Times New Roman;serif" w:hAnsi="Times New Roman;serif"/>
                  <w:b w:val="false"/>
                  <w:color w:val="0000FF"/>
                  <w:sz w:val="20"/>
                  <w:u w:val="single"/>
                </w:rPr>
                <w:t>Item 9B.</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60">
              <w:r>
                <w:rPr>
                  <w:rStyle w:val="InternetLink"/>
                  <w:rFonts w:ascii="Times New Roman;serif" w:hAnsi="Times New Roman;serif"/>
                  <w:b w:val="false"/>
                  <w:color w:val="0000FF"/>
                  <w:sz w:val="20"/>
                  <w:u w:val="single"/>
                </w:rPr>
                <w:t>Other Information</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60">
              <w:r>
                <w:rPr>
                  <w:rStyle w:val="InternetLink"/>
                  <w:rFonts w:ascii="Times New Roman;serif" w:hAnsi="Times New Roman;serif"/>
                  <w:b w:val="false"/>
                  <w:color w:val="0000FF"/>
                  <w:sz w:val="20"/>
                  <w:u w:val="single"/>
                </w:rPr>
                <w:t>125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66">
              <w:r>
                <w:rPr>
                  <w:rStyle w:val="InternetLink"/>
                  <w:rFonts w:ascii="Times New Roman;serif" w:hAnsi="Times New Roman;serif"/>
                  <w:b w:val="false"/>
                  <w:color w:val="0000FF"/>
                  <w:sz w:val="20"/>
                  <w:u w:val="single"/>
                </w:rPr>
                <w:t>Item 9C.</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66">
              <w:r>
                <w:rPr>
                  <w:rStyle w:val="InternetLink"/>
                  <w:rFonts w:ascii="Times New Roman;serif" w:hAnsi="Times New Roman;serif"/>
                  <w:b w:val="false"/>
                  <w:color w:val="0000FF"/>
                  <w:sz w:val="20"/>
                  <w:u w:val="single"/>
                </w:rPr>
                <w:t>Disclosure Regarding Foreign Jurisdictions that Prevent Inspections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66">
              <w:r>
                <w:rPr>
                  <w:rStyle w:val="InternetLink"/>
                  <w:rFonts w:ascii="Times New Roman;serif" w:hAnsi="Times New Roman;serif"/>
                  <w:b w:val="false"/>
                  <w:color w:val="0000FF"/>
                  <w:sz w:val="20"/>
                  <w:u w:val="single"/>
                </w:rPr>
                <w:t>126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d40284295348378ae47b1f11c9e604_169">
              <w:r>
                <w:rPr>
                  <w:rStyle w:val="InternetLink"/>
                  <w:rFonts w:ascii="Times New Roman;serif" w:hAnsi="Times New Roman;serif"/>
                  <w:b w:val="false"/>
                  <w:color w:val="0000FF"/>
                  <w:sz w:val="20"/>
                  <w:u w:val="single"/>
                </w:rPr>
                <w:t>Part III</w:t>
              </w:r>
            </w:hyperlink>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72">
              <w:r>
                <w:rPr>
                  <w:rStyle w:val="InternetLink"/>
                  <w:rFonts w:ascii="Times New Roman;serif" w:hAnsi="Times New Roman;serif"/>
                  <w:b w:val="false"/>
                  <w:color w:val="0000FF"/>
                  <w:sz w:val="20"/>
                  <w:u w:val="single"/>
                </w:rPr>
                <w:t>Item 10.</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72">
              <w:r>
                <w:rPr>
                  <w:rStyle w:val="InternetLink"/>
                  <w:rFonts w:ascii="Times New Roman;serif" w:hAnsi="Times New Roman;serif"/>
                  <w:b w:val="false"/>
                  <w:color w:val="0000FF"/>
                  <w:sz w:val="20"/>
                  <w:u w:val="single"/>
                </w:rPr>
                <w:t>Directors, Executive Officers and Corporate Governance</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72">
              <w:r>
                <w:rPr>
                  <w:rStyle w:val="InternetLink"/>
                  <w:rFonts w:ascii="Times New Roman;serif" w:hAnsi="Times New Roman;serif"/>
                  <w:b w:val="false"/>
                  <w:color w:val="0000FF"/>
                  <w:sz w:val="20"/>
                  <w:u w:val="single"/>
                </w:rPr>
                <w:t>126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75">
              <w:r>
                <w:rPr>
                  <w:rStyle w:val="InternetLink"/>
                  <w:rFonts w:ascii="Times New Roman;serif" w:hAnsi="Times New Roman;serif"/>
                  <w:b w:val="false"/>
                  <w:color w:val="0000FF"/>
                  <w:sz w:val="20"/>
                  <w:u w:val="single"/>
                </w:rPr>
                <w:t>Item 11.</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75">
              <w:r>
                <w:rPr>
                  <w:rStyle w:val="InternetLink"/>
                  <w:rFonts w:ascii="Times New Roman;serif" w:hAnsi="Times New Roman;serif"/>
                  <w:b w:val="false"/>
                  <w:color w:val="0000FF"/>
                  <w:sz w:val="20"/>
                  <w:u w:val="single"/>
                </w:rPr>
                <w:t>Executive Compensation</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75">
              <w:r>
                <w:rPr>
                  <w:rStyle w:val="InternetLink"/>
                  <w:rFonts w:ascii="Times New Roman;serif" w:hAnsi="Times New Roman;serif"/>
                  <w:b w:val="false"/>
                  <w:color w:val="0000FF"/>
                  <w:sz w:val="20"/>
                  <w:u w:val="single"/>
                </w:rPr>
                <w:t>126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78">
              <w:r>
                <w:rPr>
                  <w:rStyle w:val="InternetLink"/>
                  <w:rFonts w:ascii="Times New Roman;serif" w:hAnsi="Times New Roman;serif"/>
                  <w:b w:val="false"/>
                  <w:color w:val="0000FF"/>
                  <w:sz w:val="20"/>
                  <w:u w:val="single"/>
                </w:rPr>
                <w:t>Item 12.</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78">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78">
              <w:r>
                <w:rPr>
                  <w:rStyle w:val="InternetLink"/>
                  <w:rFonts w:ascii="Times New Roman;serif" w:hAnsi="Times New Roman;serif"/>
                  <w:b w:val="false"/>
                  <w:color w:val="0000FF"/>
                  <w:sz w:val="20"/>
                  <w:u w:val="single"/>
                </w:rPr>
                <w:t>127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81">
              <w:r>
                <w:rPr>
                  <w:rStyle w:val="InternetLink"/>
                  <w:rFonts w:ascii="Times New Roman;serif" w:hAnsi="Times New Roman;serif"/>
                  <w:b w:val="false"/>
                  <w:color w:val="0000FF"/>
                  <w:sz w:val="20"/>
                  <w:u w:val="single"/>
                </w:rPr>
                <w:t>Item 13.</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81">
              <w:r>
                <w:rPr>
                  <w:rStyle w:val="InternetLink"/>
                  <w:rFonts w:ascii="Times New Roman;serif" w:hAnsi="Times New Roman;serif"/>
                  <w:b w:val="false"/>
                  <w:color w:val="0000FF"/>
                  <w:sz w:val="20"/>
                  <w:u w:val="single"/>
                </w:rPr>
                <w:t>Certain Relationships and Related Transactions and Director Independence</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81">
              <w:r>
                <w:rPr>
                  <w:rStyle w:val="InternetLink"/>
                  <w:rFonts w:ascii="Times New Roman;serif" w:hAnsi="Times New Roman;serif"/>
                  <w:b w:val="false"/>
                  <w:color w:val="0000FF"/>
                  <w:sz w:val="20"/>
                  <w:u w:val="single"/>
                </w:rPr>
                <w:t>127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84">
              <w:r>
                <w:rPr>
                  <w:rStyle w:val="InternetLink"/>
                  <w:rFonts w:ascii="Times New Roman;serif" w:hAnsi="Times New Roman;serif"/>
                  <w:b w:val="false"/>
                  <w:color w:val="0000FF"/>
                  <w:sz w:val="20"/>
                  <w:u w:val="single"/>
                </w:rPr>
                <w:t>Item 14.</w:t>
              </w:r>
            </w:hyperlink>
            <w:r>
              <w:rPr>
                <w:color w:val="000000"/>
              </w:rPr>
              <w:t xml:space="preserve"> </w:t>
            </w:r>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84">
              <w:r>
                <w:rPr>
                  <w:rStyle w:val="InternetLink"/>
                  <w:rFonts w:ascii="Times New Roman;serif" w:hAnsi="Times New Roman;serif"/>
                  <w:b w:val="false"/>
                  <w:color w:val="0000FF"/>
                  <w:sz w:val="20"/>
                  <w:u w:val="single"/>
                </w:rPr>
                <w:t>Principal Accountant Fees and Services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84">
              <w:r>
                <w:rPr>
                  <w:rStyle w:val="InternetLink"/>
                  <w:rFonts w:ascii="Times New Roman;serif" w:hAnsi="Times New Roman;serif"/>
                  <w:b w:val="false"/>
                  <w:color w:val="0000FF"/>
                  <w:sz w:val="20"/>
                  <w:u w:val="single"/>
                </w:rPr>
                <w:t>127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d40284295348378ae47b1f11c9e604_187">
              <w:r>
                <w:rPr>
                  <w:rStyle w:val="InternetLink"/>
                  <w:rFonts w:ascii="Times New Roman;serif" w:hAnsi="Times New Roman;serif"/>
                  <w:b w:val="false"/>
                  <w:color w:val="0000FF"/>
                  <w:sz w:val="20"/>
                  <w:u w:val="single"/>
                </w:rPr>
                <w:t>Part IV</w:t>
              </w:r>
            </w:hyperlink>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90">
              <w:r>
                <w:rPr>
                  <w:rStyle w:val="InternetLink"/>
                  <w:rFonts w:ascii="Times New Roman;serif" w:hAnsi="Times New Roman;serif"/>
                  <w:b w:val="false"/>
                  <w:color w:val="0000FF"/>
                  <w:sz w:val="20"/>
                  <w:u w:val="single"/>
                </w:rPr>
                <w:t>Item 15.</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90">
              <w:r>
                <w:rPr>
                  <w:rStyle w:val="InternetLink"/>
                  <w:rFonts w:ascii="Times New Roman;serif" w:hAnsi="Times New Roman;serif"/>
                  <w:b w:val="false"/>
                  <w:color w:val="0000FF"/>
                  <w:sz w:val="20"/>
                  <w:u w:val="single"/>
                </w:rPr>
                <w:t>Exhibits and Financial Statement Schedules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90">
              <w:r>
                <w:rPr>
                  <w:rStyle w:val="InternetLink"/>
                  <w:rFonts w:ascii="Times New Roman;serif" w:hAnsi="Times New Roman;serif"/>
                  <w:b w:val="false"/>
                  <w:color w:val="0000FF"/>
                  <w:sz w:val="20"/>
                  <w:u w:val="single"/>
                </w:rPr>
                <w:t>127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93">
              <w:r>
                <w:rPr>
                  <w:rStyle w:val="InternetLink"/>
                  <w:rFonts w:ascii="Times New Roman;serif" w:hAnsi="Times New Roman;serif"/>
                  <w:b w:val="false"/>
                  <w:color w:val="0000FF"/>
                  <w:sz w:val="20"/>
                  <w:u w:val="single"/>
                </w:rPr>
                <w:t>Item 16.</w:t>
              </w:r>
            </w:hyperlink>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93">
              <w:r>
                <w:rPr>
                  <w:rStyle w:val="InternetLink"/>
                  <w:rFonts w:ascii="Times New Roman;serif" w:hAnsi="Times New Roman;serif"/>
                  <w:b w:val="false"/>
                  <w:color w:val="0000FF"/>
                  <w:sz w:val="20"/>
                  <w:u w:val="single"/>
                </w:rPr>
                <w:t>Form 10-K Summary</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93">
              <w:r>
                <w:rPr>
                  <w:rStyle w:val="InternetLink"/>
                  <w:rFonts w:ascii="Times New Roman;serif" w:hAnsi="Times New Roman;serif"/>
                  <w:b w:val="false"/>
                  <w:color w:val="0000FF"/>
                  <w:sz w:val="20"/>
                  <w:u w:val="single"/>
                </w:rPr>
                <w:t>127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99">
              <w:r>
                <w:rPr>
                  <w:rStyle w:val="InternetLink"/>
                  <w:rFonts w:ascii="Times New Roman;serif" w:hAnsi="Times New Roman;serif"/>
                  <w:b w:val="false"/>
                  <w:color w:val="0000FF"/>
                  <w:sz w:val="20"/>
                  <w:u w:val="single"/>
                </w:rPr>
                <w:t>Signatures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99">
              <w:r>
                <w:rPr>
                  <w:rStyle w:val="InternetLink"/>
                  <w:rFonts w:ascii="Times New Roman;serif" w:hAnsi="Times New Roman;serif"/>
                  <w:b w:val="false"/>
                  <w:color w:val="0000FF"/>
                  <w:sz w:val="20"/>
                  <w:u w:val="single"/>
                </w:rPr>
                <w:t>131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202">
              <w:r>
                <w:rPr>
                  <w:rStyle w:val="InternetLink"/>
                  <w:rFonts w:ascii="Times New Roman;serif" w:hAnsi="Times New Roman;serif"/>
                  <w:b w:val="false"/>
                  <w:color w:val="0000FF"/>
                  <w:sz w:val="20"/>
                  <w:u w:val="single"/>
                </w:rPr>
                <w:t>Power of Attorney</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202">
              <w:r>
                <w:rPr>
                  <w:rStyle w:val="InternetLink"/>
                  <w:rFonts w:ascii="Times New Roman;serif" w:hAnsi="Times New Roman;serif"/>
                  <w:b w:val="false"/>
                  <w:color w:val="0000FF"/>
                  <w:sz w:val="20"/>
                  <w:u w:val="single"/>
                </w:rPr>
                <w:t>132</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64" w:before="24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Securities Act of 1933, as amended (the “Securities Act”), the Securities Exchange Act of 1934, as amended (the “Exchange Act”), and the Private Securities Litigation Reform Act of 1995. All statements contained in this Annual Report on Form 10-K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include, but are not limited to, statements concerning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our cloud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effects of increased competition in our markets and our ability to compete effectively;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the security and availability of our cloud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and expand our customer base, including by attracting new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develop new solutions, or enhancements to our existing solutions, and bring them to market in a timely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anticipated trends, growth rates and challenges in our business and in the markets in which we operate;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business plan and our ability to effectively manage our growth and associated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beliefs and objectives for future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relationships with third parties, including channel partners and technology alliance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protect and enhance our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defend litigation brought against us and respond to government investigations and inquiries;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expand in our existing markets and into new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sufficiency of cash and cash equivalents and cash flow from operations to meet cash needs for at least the next 12 months;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anticipated developments relating to our valuation allowances for our deferred tax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expand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comply with laws and regulations that currently apply or become applicable to our business both in the United States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develop, maintain, and improve our internal control over financial reporting;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macroeconomic factors, including inflation and instability in the global credit and financial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close and integrate acquisitions to contribute to our growth objectives;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attraction and retention of qualified employees and key personnel;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July 19 Incident (as defined below), including potential or anticipated developments, our remediation and other efforts in connection with the incident, the outcome of lawsuits, claims and inquiries related to the incident, our customer commitment packages, and the effect on our customer and partner relationships and our business, results of operations and financial condition;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expected impacts of the Strategic Plan (as defined below).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statements are based on our current plans, estimates and projections in light of information currently available to us. These forward-looking statements may be affected by risks, uncertainties and other factors discussed elsewhere in this Annual Report on Form 10-K,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Annual Report on Form 10-K speak only as of the date on which such statements are made, and we undertake no obligation to update them in light of new information or future events, except as required by law.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Founded in 2011, CrowdStrike reinvented cybersecurity for the cloud and artificial intelligence (“AI”) era and transformed the way cybersecurity is delivered and experienced by customers. When we started CrowdStrike, cyberattackers had an asymmetric advantage over legacy cybersecurity products that could not keep pace with rapid changes in adversary tactics, a dynamic that has intensified as adversaries increasingly leverage automation, identity abuse, and AI to operate at machine speed.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took a fundamentally different approach to solve this problem with the AI-native CrowdStrike Falcon cybersecurity platform, which serves as the operating system for cybersecurity. CrowdStrike built the first, true, cloud-native platform with AI at the core, capable of harnessing vast amounts of security and enterprise data to drive real-time security decisions and response – stopping breaches at scale through a single lightweight sensor.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CrowdStrike Falcon platform is designed to be the definitive platform for cybersecurity consolidation, purpose-built to stop breaches. The platform’s single, lightweight sensor collects and integrates data from across the enterprise, including endpoints, cloud workloads, identities, and third-party sources. This data is ingested once and reused across multiple security functions, forming the foundation for detection, investigation, and response across the platform. We use this to train our AI to detect and prevent threats and drive workflow automation to give security teams machine speed advantage to stop adversaries. By consolidating and replacing legacy point products and fragmented platforms across key areas of security and IT, the Falcon platform delivers a unified, modern approach that increases capabilities, reduces complexity, and lowers costs – all while stopping breaches.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approach has defined a new category called the AI Security Cloud, which has the power to transform the cybersecurity industry the same way the cloud has transformed the customer relationship management, human resources, and service management industries. Using cloud-scale AI, our AI Security Cloud enriches and correlates trillions of cybersecurity events per week with indicators of attack, threat intelligence, and enterprise data (including data from across endpoints, workloads, identities, DevOps, IT assets, configurations and AI interactions). This data is continuously curated, labeled, and validated through real-world security operations, including managed detection and response, threat intelligence, and incident response activities, creating high-fidelity intelligence grounded in real adversary behavior and outcomes – cyber Reinforced Learning from Human Feedback (“RLHF”) at scale.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intelligence is used to train and refine our AI models, enabling the Falcon platform to provide real-time context on adversary behavior, inform security decisions, and automatically prevent threats across our customer base. The more data that is fed into our Falcon platform, the more intelligent the AI Security Cloud becomes, the stronger our ability to anticipate and counter evolving adversary tradecraft, and the more our customers benefit, creating a powerful network effect that increases the overall value we provide.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CrowdStrike: The Architectural Purpose Behind the Platform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Falcon platform was purpose-built in the cloud to harness the power of data and AI to deliver the next generation of automated protection and provide threat hunters with the intelligence required to stop sophisticated attacks, including malware-free and fileless attacks. This approach has made CrowdStrike an industry leader in protection across endpoints, cloud workloads, identity data, and AI systems, delivering consistent security execution across hybrid and cloud environments, and allowing us to rapidly extend this best-in-class protection across new and emerging areas of enterprise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Today, we offer 33 cloud modules on our Falcon platform via a SaaS subscription-based model that spans multiple large markets, including corporate endpoint and cloud workload security, managed security services, security and vulnerability management, IT operations management, identity protection, next-generation security information and event management (“SIEM”) and log management, threat intelligence services, data protection, SaaS security posture management, Security Orchestration, Automation and Response (“SOAR”) and AI powered workflow automation, and security for generative AI and AI-driven systems through AI detection and response.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Falcon platform is composed of tightly integrated, proprietary technologies that enable us to deliver superior protection and performance, while reducing complexity for our customers. Our Falcon platform consists of our easily deployed, intelligent lightweight sensor, and our Enterprise Graph, which unifies our ground-breaking graph technologies into a single, connected intelligence layer.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single, lightweight-sensor approach has changed how organizations experience cybersecurity, delivering protection without impacting the user, resources or productivity. With the lightweight sensor installed on each endpoint and cloud workload, our Falcon platform automates detection and prevention capabilities in real time across our entire global customer base. This also enables our Falcon platform to intelligently ingest data once and stream high fidelity data back into the Security Cloud to be re-used for multiple use cases, continuously improve our Falcon platform’s AI algorithms and make its real-time decision-making faster and smarter to keep customers ahead of changing adversary tactics.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Enterprise Graph correlates and contextualizes the vast data of our Security Cloud to transform raw signals into authoritative security context, enabling us to collect data once and reuse it repeatedly to support real-time detection, investigation, and response across the platform. By creating a living, connected model of the enterprise, the Enterprise Graph makes signals immediately actionable by both AI-driven workflows and human analysts. The highly advanced graph technologies underpinning the Falcon platform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Threat Graph, which uses a combination of AI and behavioral pattern-matching techniques to correlate and analyze trillions of cybersecurity events, enriched with threat intelligence, and third-party data to identify and link threat activity together to automatically prevent threats in real time across CrowdStrike’s global customer base. This also provides customers with increased visibility of attacks for proactive threat hunting and timely detection and remediation of novel threats.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Intel Graph, which analyzes and correlates data and threat intelligence to visualize the connections between adversaries and attacks to help customers prioritize investigations and gain a deep understanding of the threat landscape. The latest intel on adversaries, tactics, techniques, and procedures is delivered seamlessly within the CrowdStrike Falcon platform and is mapped to the MITRE ATT&amp;CK® framework.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Asset Graph, which dynamically monitors and tracks the complex interactions among assets, providing a single holistic view of the risks those assets pose. Asset Graph provides graph visualizations of the relationships among all assets such as devices, users, accounts, applications, cloud workloads and operations technology, along with the rich context necessary for proper security hygiene and proactive security posture management to reduce risk in their organizations - without impacting IT.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Falcon platform was purpose-built with the foresight that the future of cybersecurity would need to be cloud-native and AI-driven. While AI is revolutionizing many technology fields, including cybersecurity solutions, to be truly effective, algorithms that enable AI depend on the quality and volume of data that trains them and the selection of the right differentiating features from that data.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is why we believe our Security Cloud and our cloud-native architecture creates a fundamental differentiator from our competitors. The expansive amount of high fidelity data crowdsourced and captured in our Security Cloud enables the continuous training of our algorithms. We call this cloud-scale AI. Our technology is uniquely effective because we not only have a massive amount of high fidelity data to continuously train our AI models but also because we couple that data with deep human cybersecurity expertise, which supports our industry-leading efficacy and low false positives.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By analyzing and correlating information across our massive, crowdsourced dataset, we are able to deploy our AI algorithms at cloud-scale and build a more intelligent, effective solution to detect threats and stop breaches that on-premise, cloud-hosted and hybrid products cannot match due to the inherent architectural limitations those products have with respect to data storage and analysis. The more data that is fed into our Falcon platform, the more intelligent the Security Cloud becomes, and the more our customers benefit, creating a powerful network effect that increases the overall value we provide.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Industry Background: The Trends Driving a Need for a New Approach to Security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there are a number of important trends that drive the need for a new approach to security. These include:</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The Increasing Speed, Sophistication and Disruption of Cybersecurity Threats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Adversary sophistication continues to increase as militaries and intelligence services of well-funded nation-states, technically advanced criminal organizations and hackers advance their tactics. In addition, the commoditization of technologies like generative AI makes it easier for low-skilled adversaries to move faster and launch more sophisticated attacks. This includes non-malware based attacks like social engineering that exploit user identities and credentials. These attacks are pervasive, targeting a broad range of industries including technology, transportation, healthcare, financial services, governments and political organizations, utility, retail, and public infrastructure. The number and scale of attacks continue to increase. The typical attack cycle starts with attackers attempting to penetrate endpoints to establish a beachhead. Once inside, adversaries steal and exploit legitimate credentials to escalate privileges, move laterally and progress and attack, often downloading malware or ransomware. At this stage in the threat lifecycle, the adversary is able to encrypt, destroy, or silently exfiltrate sensitive data.</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An Expanded Attack Surface Driven By Cloud, AI and Distributed Environments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Organizations everywhere are embracing digital transformation and are becoming more distributed as they adopt the cloud, increase workforce mobility, and grow their number of connected devices. They are adding more workloads to a myriad of different endpoints beyond the traditional cybersecurity perimeter, exposing an increasingly broad attack surface to adversaries. This trend accelerated significantly with the need to support an increasingly remote workforce in 2020 due to the COVID-19 pandemic and we believe this trend continues today.</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A Growing Cyber Skills Gap</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Trained cybersecurity professionals are in high demand, and organizations continue to face a dire shortage of talent to fill much needed cybersecurity positions. As a result, existing cybersecurity teams are often overwhelmed by the velocity of cyberattacks and the operational burden created by fragmented tools, siloed data, and high volumes of low-fidelity alerts that require manual investigation and correlation across multiple systems. Adversaries exploit this complexity by accelerating attacks, while AI-enabled techniques compress response windows, increasing the need for automation and AI-driven security execution to keep pace. </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The Need to Reduce Complexity and Simplify Security Operations</w:t>
      </w:r>
      <w:r>
        <w:rPr>
          <w:rFonts w:ascii="Times New Roman;serif" w:hAnsi="Times New Roman;serif"/>
          <w:b w:val="false"/>
          <w:color w:val="000000"/>
          <w:sz w:val="20"/>
        </w:rPr>
        <w:t xml:space="preserve">: Organizations are increasingly looking to reduce the complexity of their security and IT stack. Modern security requires fewer point products, fewer agents and technologies that consume fewer resources. Increasingly, organizations are looking to standardize on trusted platforms that deliver an immediate return on investment and lower total cost of ownership. </w:t>
      </w:r>
    </w:p>
    <w:p>
      <w:pPr>
        <w:pStyle w:val="TextBody"/>
        <w:bidi w:val="0"/>
        <w:spacing w:lineRule="auto" w:line="288" w:before="240" w:after="283"/>
        <w:jc w:val="left"/>
        <w:rPr/>
      </w:pPr>
      <w:r>
        <w:rPr>
          <w:rFonts w:ascii="Times New Roman;serif" w:hAnsi="Times New Roman;serif"/>
          <w:b/>
          <w:color w:val="000000"/>
          <w:sz w:val="20"/>
        </w:rPr>
        <w:t>Competitive Market: Existing Security Solutions Are Limited and Exacerbate Ongoing Trends</w:t>
      </w:r>
      <w:r>
        <w:rPr>
          <w:rFonts w:ascii="Times New Roman;serif" w:hAnsi="Times New Roman;serif"/>
          <w:b w:val="false"/>
          <w:color w:val="000000"/>
          <w:sz w:val="20"/>
        </w:rPr>
        <w:t>:</w:t>
      </w:r>
      <w:r>
        <w:rPr>
          <w:color w:val="000000"/>
        </w:rPr>
        <w:t xml:space="preserv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aforementioned trends are exacerbated by the architectural limitations of legacy cybersecurity products and fragmented platforms, which are characterized by: </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On-Premise Security and Bolt-On Cloud Products That Lead to Constrained and Impacted Users</w:t>
      </w:r>
      <w:r>
        <w:rPr>
          <w:rFonts w:ascii="Times New Roman;serif" w:hAnsi="Times New Roman;serif"/>
          <w:b w:val="false"/>
          <w:color w:val="000000"/>
          <w:sz w:val="20"/>
        </w:rPr>
        <w:t xml:space="preserve">: On-premise products are siloed, lack integration, and have limited ability to collect, process, and analyze vast amounts of data—attributes that are required to be effective in today’s increasingly dynamic threat landscape. Meanwhile, these solutions often require more sensors on the endpoint as new capabilities are patchworked together, which can have a dramatic negative impact on user performance.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Many on-premise vendors have tried to solve this problem by simply extending on-premise products to the cloud. Since their products were not purpose built to run in the cloud, traditional on-premise issues such as complex deployments, data silos, lack of integrations, limited scalability, and high maintenance costs continue to manifest. We believe that any product that was originally designed for on-premise deployments and migrated to the cloud cannot by definition be a cloud native solution.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Some other vendors attempt to solve this problem by acquiring disparate products and stitching them together into fragmented platforms. This can force customers to focus on implementing integrations, not security outcomes and stopping the breach. The resulting complexity can impede workflows and slow down response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Legacy Signature-Based Products That Are Not Effective Against Unknown Threats</w:t>
      </w:r>
      <w:r>
        <w:rPr>
          <w:rFonts w:ascii="Times New Roman;serif" w:hAnsi="Times New Roman;serif"/>
          <w:b w:val="false"/>
          <w:color w:val="000000"/>
          <w:sz w:val="20"/>
        </w:rPr>
        <w:t>: Signature-based products are designed to detect attacks that are already cataloged as previously identified threats. As a result, such products are fundamentally unable to prevent unknown threats resulting from shifts in attacker tradecraft. An attacker may be able to bypass a signature-based defense with just a slight modification to an existing attack. Many significant breaches seen in the last two decades have involved the failure of a legacy signature-based antivirus product to detect a previously unknown or modified version of a previously known attack.</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Malware-Focused Products That Miss Sophisticated Attacks</w:t>
      </w:r>
      <w:r>
        <w:rPr>
          <w:rFonts w:ascii="Times New Roman;serif" w:hAnsi="Times New Roman;serif"/>
          <w:b w:val="false"/>
          <w:color w:val="000000"/>
          <w:sz w:val="20"/>
        </w:rPr>
        <w:t>: Traditionally, organizations have focused on protecting their networks and endpoints against malware-based attacks. These attacks involve malware built for the specific purpose of performing malicious activities, stealing data, or destroying systems. Our 2026 Global Threat Report observed that 82% of detections were malware-free. Therefore, a malware-centric defensive approach will leave the organization vulnerable to attacks that do not leverage malware.</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Application Whitelisting Products That Are Ineffective</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Application whitelisting products resort to an “always allow” or “always block” policy on an endpoint to allow or prevent processes from executing. Whitelisting relies in part on manually creating and maintaining a complex list of rules, burdening end users and IT organizations. This does not prevent fileless attacks from exploiting legitimate whitelisted applications, compromising the integrity of the whitelisting product.</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The Limitations of Legacy SIEMs</w:t>
      </w:r>
      <w:r>
        <w:rPr>
          <w:rFonts w:ascii="Times New Roman;serif" w:hAnsi="Times New Roman;serif"/>
          <w:b w:val="false"/>
          <w:color w:val="000000"/>
          <w:sz w:val="20"/>
        </w:rPr>
        <w:t>: Originally designed years or even decades ago for a vastly different cybersecurity landscape, legacy SIEM solutions struggle to meet the demands of modern security operations. These systems lack the scalability to handle today’s data volumes and adversary speed, while escalating costs make centralized data collection and retention increasingly difficult. Poor scalability contributes to siloed, disjointed SOC architectures, forcing analysts to manually correlate data across multiple consoles, diverting time and resources from threat detection and response. Complex onboarding processes further delay time-to-value, requiring significant effort to integrate new data sources. As a result, legacy SIEMs hinder operational efficiency, limit visibility, and increase the risk of data breaches.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CrowdStrike: Built for This Moment and the Future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 cloud-native architecture of the Falcon platform and Security Cloud provides a sustainable advantage in addressing the needs of our customers as their businesses and the threat landscape continues to evolve.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customers compelling business value that includes ease of adoption, rapid time-to-value, superior efficacy rates in detecting threats and preventing breaches, and reduced total cost of ownership by consolidating legacy, siloed, and multi-sensor security products in a single solution. We also allow thinly-stretched security organizations to automate previously manual tasks, freeing them to focus on their most important objectives. With the Falcon platform, organizations can transform how they combat threats, evolving from slow, manual, and reactionary to fast, automated, and predictive, while gaining visibility across the threat lifecycle.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benefits of our approach and the CrowdStrike Falcon platform include:</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The Power of the Crowd</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Our crowdsourced data enables every customer to benefit from contributing to the Security Cloud. As more high fidelity data is fed into our Security Cloud, our AI models continue to train and improve, increasing the overall efficacy of the Falcon platform. This unique data layer is powered and turned into action by the Enterprise Graph. Enterprise Graph unifies our pioneering graph technologies (including Threat Graph, Intel Graph, and Asset Graph) into a living, connected model of the enterprise. This makes signals instantly actionable by both AI agents and human analysts to put threats, adversaries, and assets into the context needed to make the rapid, informed decisions that stop breaches.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Driving AI Innovation and Security</w:t>
      </w:r>
      <w:r>
        <w:rPr>
          <w:rFonts w:ascii="Times New Roman;serif" w:hAnsi="Times New Roman;serif"/>
          <w:b w:val="false"/>
          <w:color w:val="000000"/>
          <w:sz w:val="20"/>
        </w:rPr>
        <w:t xml:space="preserve">: We are a pioneer in leveraging AI to transform cybersecurity, combining AI for cybersecurity with cybersecurity for AI. The Falcon platform’s AI-native architecture uses advanced models and the power of the Security Cloud to detect and stop breaches, while innovations like Charlotte AI represent a significant advancement in agentic AI—delivering autonomous security decisions within customer-defined guardrails to triage detections, reduce noise, and accelerate response. Charlotte AI, powered by high-fidelity data and continual training, reduces routine investigation workloads, bridging critical skills gaps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stretched teams. As AI continues to evolve, CrowdStrike is driving the next generation of AI-powered agentic cybersecurity—enabling AI to act independently while ensuring human oversight and control. Beyond delivering AI-driven protection, we also secure the AI systems organizations depend on, helping customers safeguard generative AI applications and agents, protect sensitive data, and mitigate the risks posed by AI misconfigurations and vulnerabilities. By advancing AI innovation and security, we empower organizations to stay ahead of adversaries, increase operational efficiency, and securely embrace the AI-driven future.</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High Efficacy, Low False Positives</w:t>
      </w:r>
      <w:r>
        <w:rPr>
          <w:rFonts w:ascii="Times New Roman;serif" w:hAnsi="Times New Roman;serif"/>
          <w:b w:val="false"/>
          <w:color w:val="000000"/>
          <w:sz w:val="20"/>
        </w:rPr>
        <w:t>: The vast telemetry of the Security Cloud and the best practices employed in continually training our AI models results in exceptionally high efficacy rates and low false positives, delivering proven performance in real-world scenarios.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Consolidation of Siloed Products</w:t>
      </w:r>
      <w:r>
        <w:rPr>
          <w:rFonts w:ascii="Times New Roman;serif" w:hAnsi="Times New Roman;serif"/>
          <w:b w:val="false"/>
          <w:color w:val="000000"/>
          <w:sz w:val="20"/>
        </w:rPr>
        <w:t>: Integrating and maintaining numerous security products creates blind spots that attackers can exploit, increases costs, and negatively impacts both end-user system performance and the experience of the security analyst. Our cloud-native platform gives customers a unified approach to address their most critical areas of risk seamlessly. We empower customers to rapidly deploy and scale industry leading technologies across Endpoint and Workspace Security, Identity Protection, Cloud Security, Next-Gen SIEM and Modern Log Management, Data Protection, Exposure Management, IT Automation, ITSecOps and Risk, Threat Intelligence, and SaaS Security Posture Management from a single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Reducing Sensor Bloat</w:t>
      </w:r>
      <w:r>
        <w:rPr>
          <w:rFonts w:ascii="Times New Roman;serif" w:hAnsi="Times New Roman;serif"/>
          <w:b w:val="false"/>
          <w:color w:val="000000"/>
          <w:sz w:val="20"/>
        </w:rPr>
        <w:t xml:space="preserve">: Our single intelligent lightweight sensor enables frictionless deployment of our platform at scale, enabling customers to rapidly adopt our technology across any type of workload running on a variety of endpoints. The sensor is non-intrusive to the end user, requires no reboots and continues to protect the endpoint and track activity even when offline. Through our single lightweight sensor approach, customers can adopt multiple platform modules to address their critical areas of risk without burdening the endpoint with multiple sensors. Legacy approaches often require multiple sensors as they layer on new capabilities. This can severely impact user performance and create barriers to security. </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Rapid Time to Value</w:t>
      </w:r>
      <w:r>
        <w:rPr>
          <w:rFonts w:ascii="Times New Roman;serif" w:hAnsi="Times New Roman;serif"/>
          <w:b w:val="false"/>
          <w:color w:val="000000"/>
          <w:sz w:val="20"/>
        </w:rPr>
        <w:t>: Our cloud-native platform was built to rapidly scale industry leading protection across the entire enterprise, eliminating lengthy implementation periods and professional services engagements that next-gen and legacy competitors may require. Our single sensor, collect once and re-use many times approach enables us to activate new modules in real time.</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Elite Security Teams as a Force Multiplier</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Adversaries are relentlessly innovating new forms of sophisticated attacks, bypassing traditional malware to exploit user credentials and identities. In this evolving landscape, automation and autonomous security</w:t>
      </w:r>
      <w:r>
        <w:rPr>
          <w:color w:val="000000"/>
        </w:rPr>
        <w:t xml:space="preserve"> </w:t>
      </w:r>
      <w:r>
        <w:rPr>
          <w:rFonts w:ascii="Times New Roman;serif" w:hAnsi="Times New Roman;serif"/>
          <w:b w:val="false"/>
          <w:color w:val="000000"/>
          <w:sz w:val="20"/>
        </w:rPr>
        <w:t xml:space="preserve">are no longer sufficient on their own. Stopping today’s sophisticated attacks requires a combination of powerful automation and elite threat hunting. Falcon Complete provides a comprehensive monitoring, management, response, and remediation solution to our customers and is designed to bring enterprise level security to companies that may lack the resources or expertise to do so on their own.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CrowdStrike Falcon OverWatch, part of CrowdStrike Counter Adversary Operations, combines world-class human intelligence from our elite security experts with the power of the Falcon platform. OverWatch is a force multiplier that extends the capabilities and improves the productivity of our customers’ security teams. Because our world-class team can see attacks across our entire customer base, their expertise is enhanced by their constant visibility into the threat landscape.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these elite security teams (including Falcon Complete, Falcon Overwatch, and our Professional Services teams) are key ingredients into the development of our automation and AI systems. New and increasingly sophisticated models are developed, benchmarked, and validated using data distilled from their operations. As these models gain capabilities and efficacy, our elite teams become more efficient in dealing with existing threats, which in turn allows for more focus on emerging and novel threats, which further enhances their models and automation systems, creating a positive feedback loop and data flywheel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Alleviating the Skills Shortage through Automation</w:t>
      </w:r>
      <w:r>
        <w:rPr>
          <w:rFonts w:ascii="Times New Roman;serif" w:hAnsi="Times New Roman;serif"/>
          <w:b w:val="false"/>
          <w:color w:val="000000"/>
          <w:sz w:val="20"/>
        </w:rPr>
        <w:t>: CrowdStrike automates manual tasks to free security teams to focus on their most important job – stopping the breach. Our Falcon Fusion capability automates workflows to reduce the need to switch between different security tools and tasks, while our Falcon Insight XDR and Falcon Next-Gen SIEM modules provide a unified solution that enables security teams to rapidly and efficiently identify, hunt, and eliminate threats across multiple security domains using first and third party datasets.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Lower Total Cost of Ownership</w:t>
      </w:r>
      <w:r>
        <w:rPr>
          <w:rFonts w:ascii="Times New Roman;serif" w:hAnsi="Times New Roman;serif"/>
          <w:b w:val="false"/>
          <w:color w:val="000000"/>
          <w:sz w:val="20"/>
        </w:rPr>
        <w:t>: Our cloud-native platform eliminates our customers’ need for initial or ongoing purchases of hardware and does not require their personnel to configure, implement or integrate disparate point products. Additionally, our comprehensive platform reduces overall personnel costs associated with ongoing maintenance, as well as the need for software patches and upgrades for separate products.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Securing Identities and Data Across the Pillars of Modern Enterprise Security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modern attacks and adversaries grow more sophisticated, CrowdStrike believes that stopping breaches in the modern era requires security that delivers unified visibility and protection across three critical areas: Endpoint and Cloud workloads, Identity Threat Protection and Data Protection.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 to the CrowdStrike 2026 Global Threat Report, 82% of detections in 2025 were malware-free, reflecting a sustained shift toward hands-on-keyboard operations, abuse of legitimate tools, and credential-driven movement that are difficult to distinguish from normal use behavior. Stopping these advanced attacks requires a holistic approach that delivers true end-to-end protection across workloads, identities, and data. CrowdStrike is able to natively enforce protection at the device layer, the identity layer, and the data layer, extending our bold vision for security by driving modern Defense in Depth to the enterprise.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By delivering these powerful capabilities through a unified platform with a single sensor, CrowdStrike is able to connect the endpoint and workload to user identity, and the data that is being used and accessed. Customers can see the full health and state of endpoints and workloads, in context with the identity that is using and accessing them, aligned with where data is being created, who is using it, where it flows and how it is protected. CrowdStrike delivers this through a unified platform experience. This is how CrowdStrike believes security should and must be delivered today to combat advanced adversaries and stop breaches in the modern era. This means security solutions that are easy to deploy, easy to manage, and highly effective.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The CrowdStrike Falcon Platform: Built to Innovate and Scale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platform approach allows us to rapidly innovate, build, and deploy highly integrated modules that address critical customer problems and access additional market opportunities. Our Falcon platform is composed of two tightly integrated proprietary technologies: our lightweight sensor and our Security Cloud. Our cloud-delivered modules integrate seamlessly within the Falcon platform to provide customers with a unified set of cloud-delivered technologies across Endpoint and Workspace Security, Identity Protection, Cloud Security, Next-Gen SIEM and Modern Log Management, Data Protection, Exposure Management, IT Automation, ITSecOps and Risk, Threat Intelligence, and SaaS Security Posture Management.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Falcon platform also encompasses recently acquired technologies where integration may be ongoing. We can rapidly and cost effectively develop and deliver additional cloud modules on our Falcon platform without the need for additional sensors, and are expanding options for our new customers to test modules on a trial basis as well as offering in-application trials for existing customers. Our expanding set of open APIs and the Foundry app development platform allow customers and partners to build their own capabilities on top of the Falcon platform.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Unifying data from our modules and customers into a single cloud infrastructure gives us significant advantages in developing and delivering innovative AI capabilities to detect and prevent threats, as well as improving user productivity and efficiency through cutting-edge generative AI systems such as our Charlotte AI module.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CrowdStrike Falcon Platform: Unified Security Across Major Categories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cloud-native Falcon platform integrates seamlessly with our single lightweight sensor to deliver robust functionality across key areas of cybersecurity and IT operations. The Falcon platform delivered 32 cloud modules as of January 31, 2026 and currently delivers 33 cloud modules, enabling customers to address their most critical areas of risk with speed, confidence, and visibility through one unified platform. Key areas of focus include:</w:t>
      </w:r>
    </w:p>
    <w:p>
      <w:pPr>
        <w:pStyle w:val="TextBody"/>
        <w:bidi w:val="0"/>
        <w:spacing w:lineRule="auto" w:line="288" w:before="240" w:after="283"/>
        <w:ind w:left="0" w:right="0" w:firstLine="360"/>
        <w:jc w:val="left"/>
        <w:rPr/>
      </w:pPr>
      <w:r>
        <w:rPr>
          <w:rFonts w:ascii="Times New Roman;serif" w:hAnsi="Times New Roman;serif"/>
          <w:b/>
          <w:color w:val="000000"/>
          <w:sz w:val="20"/>
        </w:rPr>
        <w:t>Endpoint Security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Falcon platform offers next-generation antivirus, endpoint detection and response (“EDR”) and extended detection and response (“XDR”) to defend against malware, fileless attacks, and advanced threats. With cross-domain telemetry and unified incident management, we enable organizations to detect, investigate, and respond to threats across the security stack efficiently and effectively.</w:t>
      </w:r>
    </w:p>
    <w:p>
      <w:pPr>
        <w:pStyle w:val="TextBody"/>
        <w:bidi w:val="0"/>
        <w:spacing w:lineRule="auto" w:line="288" w:before="240" w:after="283"/>
        <w:ind w:left="0" w:right="0" w:firstLine="360"/>
        <w:jc w:val="left"/>
        <w:rPr/>
      </w:pPr>
      <w:r>
        <w:rPr>
          <w:rFonts w:ascii="Times New Roman;serif" w:hAnsi="Times New Roman;serif"/>
          <w:b/>
          <w:color w:val="000000"/>
          <w:sz w:val="20"/>
        </w:rPr>
        <w:t>Cloud Security</w:t>
      </w:r>
      <w:r>
        <w:rPr>
          <w:rFonts w:ascii="Times New Roman;serif" w:hAnsi="Times New Roman;serif"/>
          <w:b w:val="false"/>
          <w:color w:val="000000"/>
          <w:sz w:val="20"/>
        </w:rPr>
        <w:t>: CrowdStrike provides robust cloud security solutions to protect workloads, containers, and applications in real time. Our offerings include runtime protection, cloud security posture management, application security posture management and more to secure multi-cloud environments and enhance the resilience of cloud-native applications. By integrating seamlessly into developer workflows, we empower teams to shift security left and mitigate vulnerabilities before deployment.</w:t>
      </w:r>
    </w:p>
    <w:p>
      <w:pPr>
        <w:pStyle w:val="TextBody"/>
        <w:bidi w:val="0"/>
        <w:spacing w:lineRule="auto" w:line="288" w:before="240" w:after="283"/>
        <w:ind w:left="0" w:right="0" w:firstLine="360"/>
        <w:jc w:val="left"/>
        <w:rPr/>
      </w:pPr>
      <w:r>
        <w:rPr>
          <w:rFonts w:ascii="Times New Roman;serif" w:hAnsi="Times New Roman;serif"/>
          <w:b/>
          <w:color w:val="000000"/>
          <w:sz w:val="20"/>
        </w:rPr>
        <w:t>Exposure Management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CrowdStrike’s exposure management solutions unify data from multiple sources, including IT hygiene, vulnerability management, and external attack surface management. These capabilities allow organizations to predict attack paths, prioritize remediation efforts, and proactively reduce their risk exposure. Real-time insights and guided actions empower customers to address vulnerabilities before they can be exploited.</w:t>
      </w:r>
    </w:p>
    <w:p>
      <w:pPr>
        <w:pStyle w:val="TextBody"/>
        <w:bidi w:val="0"/>
        <w:spacing w:lineRule="auto" w:line="288" w:before="240" w:after="283"/>
        <w:ind w:left="0" w:right="0" w:firstLine="360"/>
        <w:jc w:val="left"/>
        <w:rPr/>
      </w:pPr>
      <w:r>
        <w:rPr>
          <w:rFonts w:ascii="Times New Roman;serif" w:hAnsi="Times New Roman;serif"/>
          <w:b/>
          <w:color w:val="000000"/>
          <w:sz w:val="20"/>
        </w:rPr>
        <w:t>Managed Detection and Response (“MDR”)</w:t>
      </w:r>
      <w:r>
        <w:rPr>
          <w:rFonts w:ascii="Times New Roman;serif" w:hAnsi="Times New Roman;serif"/>
          <w:b w:val="false"/>
          <w:color w:val="000000"/>
          <w:sz w:val="20"/>
        </w:rPr>
        <w:t>: Falcon Complete Next-Gen MDR delivers a comprehensive managed security service subscription that combines 24/7 expert monitoring, investigation, response, and remediation to stop breaches across the entire attack lifecycle. Delivered by CrowdStrike’s team of security experts and powered by the AI-native Falcon platform, it combines industry-leading endpoint protection and extends managed protection across cloud security, identity protection, asset visibility, and Next-Gen SIEM, with 24/7 managed threat hunting from Falcon Adversary OverWatch for a full-stack MDR service. Falcon Complete Next-Gen MDR is also backed by an underwritten limited warranty policy, underscoring our commitment to breach protection and customer confidence.</w:t>
      </w:r>
    </w:p>
    <w:p>
      <w:pPr>
        <w:pStyle w:val="TextBody"/>
        <w:bidi w:val="0"/>
        <w:spacing w:lineRule="auto" w:line="288" w:before="240" w:after="283"/>
        <w:ind w:left="0" w:right="0" w:firstLine="360"/>
        <w:jc w:val="left"/>
        <w:rPr/>
      </w:pPr>
      <w:r>
        <w:rPr>
          <w:rFonts w:ascii="Times New Roman;serif" w:hAnsi="Times New Roman;serif"/>
          <w:b/>
          <w:color w:val="000000"/>
          <w:sz w:val="20"/>
        </w:rPr>
        <w:t>Counter Adversary Operations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CrowdStrike’s Counter Adversary Operations include proactive threat hunting and intelligence capabilities. These solutions leverage the insights of elite security experts and the power of Threat Graph to identify and mitigate advanced threats, providing customers with actionable intelligence to strengthen their defenses.</w:t>
      </w:r>
    </w:p>
    <w:p>
      <w:pPr>
        <w:pStyle w:val="TextBody"/>
        <w:bidi w:val="0"/>
        <w:spacing w:lineRule="auto" w:line="288" w:before="240" w:after="283"/>
        <w:ind w:left="0" w:right="0" w:firstLine="360"/>
        <w:jc w:val="left"/>
        <w:rPr/>
      </w:pPr>
      <w:r>
        <w:rPr>
          <w:rFonts w:ascii="Times New Roman;serif" w:hAnsi="Times New Roman;serif"/>
          <w:b/>
          <w:color w:val="000000"/>
          <w:sz w:val="20"/>
        </w:rPr>
        <w:t>Identity Protection</w:t>
      </w:r>
      <w:r>
        <w:rPr>
          <w:rFonts w:ascii="Times New Roman;serif" w:hAnsi="Times New Roman;serif"/>
          <w:b w:val="false"/>
          <w:color w:val="000000"/>
          <w:sz w:val="20"/>
        </w:rPr>
        <w:t>: Identity protection solutions from CrowdStrike safeguard against identity-based attacks with real-time detection, behavioral analytics, and policy enforcement. These capabilities provide visibility into anomalies and lateral movement, enabling organizations to defend their most critical assets.</w:t>
      </w:r>
    </w:p>
    <w:p>
      <w:pPr>
        <w:pStyle w:val="TextBody"/>
        <w:bidi w:val="0"/>
        <w:spacing w:lineRule="auto" w:line="288" w:before="240" w:after="283"/>
        <w:ind w:left="0" w:right="0" w:firstLine="360"/>
        <w:jc w:val="left"/>
        <w:rPr/>
      </w:pPr>
      <w:r>
        <w:rPr>
          <w:rFonts w:ascii="Times New Roman;serif" w:hAnsi="Times New Roman;serif"/>
          <w:b/>
          <w:color w:val="000000"/>
          <w:sz w:val="20"/>
        </w:rPr>
        <w:t>Next-Generation SIEM and Log Management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CrowdStrike’s Next-Gen SIEM and log management solutions deliver AI-driven detection, advanced data pipelining, centralized case management, investigation, and response capabilities, alongside high-performance log management for any data source. This comprehensive approach enhances security operations and enables organizations to respond to threats with speed and precision.</w:t>
      </w:r>
    </w:p>
    <w:p>
      <w:pPr>
        <w:pStyle w:val="TextBody"/>
        <w:bidi w:val="0"/>
        <w:spacing w:lineRule="auto" w:line="288" w:before="240" w:after="283"/>
        <w:ind w:left="0" w:right="0" w:firstLine="360"/>
        <w:jc w:val="left"/>
        <w:rPr/>
      </w:pPr>
      <w:r>
        <w:rPr>
          <w:rFonts w:ascii="Times New Roman;serif" w:hAnsi="Times New Roman;serif"/>
          <w:b/>
          <w:color w:val="000000"/>
          <w:sz w:val="20"/>
        </w:rPr>
        <w:t>Generative AI</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Innovations like Charlotte AI leverage generative AI and agentic reasoning to automate time-intensive tasks, enabling security analysts to work more efficiently. Charlotte AI transforms hours of routine investigation into minutes, addressing critical skills gaps and enhancing operational efficiency. Powered by the Falcon platform’s unique data advantage, Charlotte continues to evolve, delivering time savings and workflow automation to meet the demands of modern security operations.</w:t>
      </w:r>
    </w:p>
    <w:p>
      <w:pPr>
        <w:pStyle w:val="TextBody"/>
        <w:bidi w:val="0"/>
        <w:spacing w:lineRule="auto" w:line="288" w:before="240" w:after="283"/>
        <w:ind w:left="0" w:right="0" w:firstLine="360"/>
        <w:jc w:val="left"/>
        <w:rPr/>
      </w:pPr>
      <w:r>
        <w:rPr>
          <w:rFonts w:ascii="Times New Roman;serif" w:hAnsi="Times New Roman;serif"/>
          <w:b/>
          <w:color w:val="000000"/>
          <w:sz w:val="20"/>
        </w:rPr>
        <w:t>Securing AI</w:t>
      </w:r>
      <w:r>
        <w:rPr>
          <w:rFonts w:ascii="Times New Roman;serif" w:hAnsi="Times New Roman;serif"/>
          <w:b w:val="false"/>
          <w:color w:val="000000"/>
          <w:sz w:val="20"/>
        </w:rPr>
        <w:t>: The Falcon platform provides comprehensive security from emerging threats and new attack surfaces for organizations implementing their own generative AI services and applications. AI Detection and Response (“AIDR”) provides visibility and governance into how employees use AI and how AI agents operate by mapping relationships between users, prompts, models, agents, and Model Context Protocol (“MCP”) servers, and enforcing policy across these relationships. Unstructured data is analyzed for malicious actions such as prompt injection, and sensitive data can be automatically redacted to keep AI interactions safe and compliant.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pPr>
      <w:r>
        <w:rPr>
          <w:rFonts w:ascii="Times New Roman;serif" w:hAnsi="Times New Roman;serif"/>
          <w:b/>
          <w:color w:val="000000"/>
          <w:sz w:val="20"/>
        </w:rPr>
        <w:t>IT Automation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Falcon for IT converges security and IT operations, providing visibility into enterprise assets and enabling rapid resolution of issues. With generative AI workflows and automation capabilities, Falcon for IT empowers organizations to streamline IT processes, resolve operational challenges quickly, and maintain a secure and efficient infrastructure.</w:t>
      </w:r>
    </w:p>
    <w:p>
      <w:pPr>
        <w:pStyle w:val="TextBody"/>
        <w:bidi w:val="0"/>
        <w:spacing w:lineRule="auto" w:line="288" w:before="240" w:after="283"/>
        <w:ind w:left="0" w:right="0" w:firstLine="360"/>
        <w:jc w:val="left"/>
        <w:rPr/>
      </w:pPr>
      <w:r>
        <w:rPr>
          <w:rFonts w:ascii="Times New Roman;serif" w:hAnsi="Times New Roman;serif"/>
          <w:b/>
          <w:color w:val="000000"/>
          <w:sz w:val="20"/>
        </w:rPr>
        <w:t>SaaS Security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Adaptive Shield, a CrowdStrike company, delivers continuous monitoring and proactive risk mitigation for business-critical SaaS applications. With context and visibility, organizations can address risks from users, devices, and non-human identities.</w:t>
      </w:r>
    </w:p>
    <w:p>
      <w:pPr>
        <w:pStyle w:val="TextBody"/>
        <w:bidi w:val="0"/>
        <w:spacing w:lineRule="auto" w:line="288" w:before="240" w:after="283"/>
        <w:ind w:left="0" w:right="0" w:firstLine="360"/>
        <w:jc w:val="left"/>
        <w:rPr/>
      </w:pPr>
      <w:r>
        <w:rPr>
          <w:rFonts w:ascii="Times New Roman;serif" w:hAnsi="Times New Roman;serif"/>
          <w:b/>
          <w:color w:val="000000"/>
          <w:sz w:val="20"/>
        </w:rPr>
        <w:t>Data Protection</w:t>
      </w:r>
      <w:r>
        <w:rPr>
          <w:rFonts w:ascii="Times New Roman;serif" w:hAnsi="Times New Roman;serif"/>
          <w:b w:val="false"/>
          <w:color w:val="000000"/>
          <w:sz w:val="20"/>
        </w:rPr>
        <w:t>: Falcon Data Protection prevents data theft by combining content with context, providing real-time visibility into sensitive data movement across endpoints, web applications, cloud drives, and USB storage devices. This modern approach empowers organizations to secure enterprise data without disrupting productivity, addressing the unique risks of the GenAI era.</w:t>
      </w:r>
    </w:p>
    <w:p>
      <w:pPr>
        <w:pStyle w:val="TextBody"/>
        <w:bidi w:val="0"/>
        <w:spacing w:lineRule="auto" w:line="288" w:before="240" w:after="283"/>
        <w:ind w:left="0" w:right="0" w:firstLine="360"/>
        <w:jc w:val="left"/>
        <w:rPr/>
      </w:pPr>
      <w:r>
        <w:rPr>
          <w:rFonts w:ascii="Times New Roman;serif" w:hAnsi="Times New Roman;serif"/>
          <w:b/>
          <w:color w:val="000000"/>
          <w:sz w:val="20"/>
        </w:rPr>
        <w:t>Application Development</w:t>
      </w:r>
      <w:r>
        <w:rPr>
          <w:rFonts w:ascii="Times New Roman;serif" w:hAnsi="Times New Roman;serif"/>
          <w:b w:val="false"/>
          <w:color w:val="000000"/>
          <w:sz w:val="20"/>
        </w:rPr>
        <w:t>: The Falcon Foundry no-code application development platform allows customers to quickly create their own apps to solve custom security and IT use-cases with full access to CrowdStrike’s data, threat intelligence, automation, and cloud-scale infrastructure.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Bringing CrowdStrike to the Market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primarily sell the Falcon platform through our sales and partner teams that leverage our network of channel partners to maximize effectiveness and scale. We have a low friction land-and-expand sales strategy. Key elements of our growth strategy include:</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Growing Our Customer Base by Replacing Legacy and Other Endpoint Security Products. </w:t>
      </w:r>
      <w:r>
        <w:rPr>
          <w:rFonts w:ascii="Times New Roman;serif" w:hAnsi="Times New Roman;serif"/>
          <w:b w:val="false"/>
          <w:color w:val="000000"/>
          <w:sz w:val="20"/>
        </w:rPr>
        <w:t>Given the limitations of existing legacy and other endpoint security products, many organizations are replacing their existing legacy and other endpoint security products with our Falcon platform. We will continue to invest in customer acquisition programs, including our channel partnerships and new programs, like our free trial program of Falcon Go that is easily downloaded from our website, the AWS Marketplace, the Google Marketplace, and the Microsoft Marketplace. We also increasingly work with Managed Service Providers (“MSPs”), and Managed Security Service Providers (“MSSPs”), who operate the Falcon platform on a customer’s behalf, acting as an outsourced security team to manage risk, products, and outcomes for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Further Penetrating Existing Customers. </w:t>
      </w:r>
      <w:r>
        <w:rPr>
          <w:rFonts w:ascii="Times New Roman;serif" w:hAnsi="Times New Roman;serif"/>
          <w:b w:val="false"/>
          <w:color w:val="000000"/>
          <w:sz w:val="20"/>
        </w:rPr>
        <w:t>Our growth will depend in part on our ability to continue to expand our relationships with our customers by deploying on additional endpoints in their environment and cross-selling more cloud modules. When customers deploy our lightweight sensor, they can easily add additional cloud modules. We also offer in-application trial usage of additional modules to cross-sell to existing customers. While some new customers initially deploy our Falcon platform broadly across the organization, others elect to deploy only in selected business units and later deploy on additional endpoints and subscribe to additional modules. Over time, we seek to deploy our solution enterprise-wide for all customers. The power of our land-and-expand strategy is evidenced by our 115% dollar-based net retention rate as of January 31, 2026.</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Leveraging Our Falcon Platform to Enter New Markets. </w:t>
      </w:r>
      <w:r>
        <w:rPr>
          <w:rFonts w:ascii="Times New Roman;serif" w:hAnsi="Times New Roman;serif"/>
          <w:b w:val="false"/>
          <w:color w:val="000000"/>
          <w:sz w:val="20"/>
        </w:rPr>
        <w:t>Because we leverage a single data model and open cloud architecture, we are uniquely positioned to continue innovating and rapidly deploying new cloud modules on our platform. For example, Falcon Discover includes use cases outside of security, such as application license management, AWS spend analysis, and asset inventory. Because our lightweight sensor collects diverse endpoint data once for repeated use, we can expand our addressable market by rapidly adding new cloud modules that leverage this data. We intend to continue to develop new cloud modules for broader endpoint use cases.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Broadening Our Reach into New Customer Segments. </w:t>
      </w:r>
      <w:r>
        <w:rPr>
          <w:rFonts w:ascii="Times New Roman;serif" w:hAnsi="Times New Roman;serif"/>
          <w:b w:val="false"/>
          <w:color w:val="000000"/>
          <w:sz w:val="20"/>
        </w:rPr>
        <w:t>While we initially targeted large sophisticated enterprises, we have expanded our go-to-market efforts to include customers of all sizes with a dedicated inside sales team focused on smaller organizations. We also released Falcon Complete in 2018, our turnkey solution that combines the most popular cloud modules of our Falcon platform with our remediation and response capabilities, to create a solution for customers with limited or no internal security expertise. As a result, we can sell our Falcon platform to the largest enterprises or smallest businesses with any level of security sophistication and budget. We continue to look for new ways to broaden our reach into new customer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Broadening Our Reach into U.S. Public Sector Verticals. </w:t>
      </w:r>
      <w:r>
        <w:rPr>
          <w:rFonts w:ascii="Times New Roman;serif" w:hAnsi="Times New Roman;serif"/>
          <w:b w:val="false"/>
          <w:color w:val="000000"/>
          <w:sz w:val="20"/>
        </w:rPr>
        <w:t>We continue to invest heavily in the acquisition of customers in the U.S. federal government as well as the state, local, and higher education verticals. Our platform is authorized by several federal agencies via the Federal Risk and Authorization Management Program (“FedRAMP”). Additionally, Department of Defense organizations can rely upon CrowdStrike’s Impact Level 5 provisional authorization to satisfy their cloud-based security requirements. To further meet the compliance demands of the government, customers can elect to deploy the Falcon platform in the AWS GovCloud. We have also successfully been embedded into several strategic government-wide cybersecurity programs and contracts, such as the Department of Homeland Security’s Continuous Diagnostics and Mitigation Approved Products List, which serves to provide federal agencies with innovative security tools. As a result, the Cybersecurity and Infrastructure Security Agency has leveraged a significant investment in our platform to support modernization efforts within the Federal Civilian Executive Branch. Further evidence of our progress into these critical markets is demonstrated by virtue of the fact that 25 of the 50 U.S. states have standardized on CrowdStrike’s platform at the enterprise level.</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Expanding Our International Footprint. </w:t>
      </w:r>
      <w:r>
        <w:rPr>
          <w:rFonts w:ascii="Times New Roman;serif" w:hAnsi="Times New Roman;serif"/>
          <w:b w:val="false"/>
          <w:color w:val="000000"/>
          <w:sz w:val="20"/>
        </w:rPr>
        <w:t xml:space="preserve">We are expanding our international operations and intend to invest globally to broaden our international footprint. We grew our international revenue from $1,270.7 million for fiscal 2025 to $1,595.4 million for fiscal 2026, representing an increase of 26%. We intend to grow our international customer base by increasing our investments in our overseas operations, including adding headcount in Europe, the Middle East, Asia-Pacific, including Japan, and expanding data centers overseas. </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Extending Our Falcon Platform and Ecosystem. </w:t>
      </w:r>
      <w:r>
        <w:rPr>
          <w:rFonts w:ascii="Times New Roman;serif" w:hAnsi="Times New Roman;serif"/>
          <w:b w:val="false"/>
          <w:color w:val="000000"/>
          <w:sz w:val="20"/>
        </w:rPr>
        <w:t>We designed our architecture to be open, interoperable, and highly extensible. We launched the CrowdStrike Marketplace, the first open cloud-based application PaaS for cybersecurity, which allows customers to purchase CrowdStrike products and provides an ecosystem of trusted partners and applications for our customers to choose from. We plan to continue investing in the CrowdStrike Store to empower our partners by making it easier to build applications and to enable our customers to more easily discover, try, and purchase additional cloud modules from both trusted partners and us. We also endeavor to work with more partners, new partner types, new technology companies, and new service providers to help more customer segments and new customers realize novel outcomes from the Falcon Platform.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Technology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designed an innovative architecture from the ground up to overcome the limitations of existing security products and deliver cloud-based solutions. The key design principles of our Falcon platform include:</w:t>
      </w:r>
    </w:p>
    <w:p>
      <w:pPr>
        <w:pStyle w:val="TextBody"/>
        <w:bidi w:val="0"/>
        <w:spacing w:lineRule="auto" w:line="288" w:before="240" w:after="283"/>
        <w:ind w:left="0" w:right="0" w:firstLine="360"/>
        <w:jc w:val="left"/>
        <w:rPr/>
      </w:pPr>
      <w:r>
        <w:rPr>
          <w:rFonts w:ascii="Times New Roman;serif" w:hAnsi="Times New Roman;serif"/>
          <w:b/>
          <w:color w:val="000000"/>
          <w:sz w:val="20"/>
        </w:rPr>
        <w:t xml:space="preserve">Cloud Native Architecture. </w:t>
      </w:r>
      <w:r>
        <w:rPr>
          <w:rFonts w:ascii="Times New Roman;serif" w:hAnsi="Times New Roman;serif"/>
          <w:b w:val="false"/>
          <w:color w:val="000000"/>
          <w:sz w:val="20"/>
        </w:rPr>
        <w:t>We built the Falcon platform entirely in and for the cloud, enabling collection and analysis of a massive, crowdsourced dataset from all of our customers to stop breaches. Our platform is designed to be redundant, resilient, and high-performing. Delivering security from the cloud enables agility, ease of use, and protection for workloads on a variety of endpoints wherever they are located. As customer adoption grows, the network effect of each additional endpoint added to the Falcon platform will amplify the breadth and depth of our dataset and intelligence.</w:t>
      </w:r>
    </w:p>
    <w:p>
      <w:pPr>
        <w:pStyle w:val="TextBody"/>
        <w:bidi w:val="0"/>
        <w:spacing w:lineRule="auto" w:line="288" w:before="240" w:after="283"/>
        <w:ind w:left="0" w:right="0" w:firstLine="360"/>
        <w:jc w:val="left"/>
        <w:rPr/>
      </w:pPr>
      <w:r>
        <w:rPr>
          <w:rFonts w:ascii="Times New Roman;serif" w:hAnsi="Times New Roman;serif"/>
          <w:b/>
          <w:color w:val="000000"/>
          <w:sz w:val="20"/>
        </w:rPr>
        <w:t>Falcon Sensor.</w:t>
      </w:r>
      <w:r>
        <w:rPr>
          <w:color w:val="000000"/>
        </w:rPr>
        <w:t xml:space="preserve"> </w:t>
      </w:r>
      <w:r>
        <w:rPr>
          <w:rFonts w:ascii="Times New Roman;serif" w:hAnsi="Times New Roman;serif"/>
          <w:b w:val="false"/>
          <w:color w:val="000000"/>
          <w:sz w:val="20"/>
        </w:rPr>
        <w:t>We designed an intelligent lightweight sensor that is installed on each endpoint or cloud workload. This sensor incorporates identification and prevention of known and unknown malware and fileless attacks using machine learning, AI, exploit blocking, and advanced behavioral techniques, to protect workloads across all endpoints while capturing and recording high fidelity endpoint data. Our sensor is capable of acting autonomously and continues to collect data and protect workloads running on endpoints even when offline. The sensor recommences transmitting data to our Falcon platform when the connection to the cloud has been re-established. Our lightweight sensor is built to support Windows, Mac, and Linux operating systems. The sensor is hardened against attacks and uses a combination of kernel and user-mode modules to collect and transmit high fidelity endpoint events as they take place on a system. It correlates these events using a local situational model on the endpoint, analyzes via agent-based AI models and is capable of taking a variety of preventative and responsive actions on the endpoint, either automatically or via human control. Events are streamed by the sensor to the cloud in real time in order to be further analyzed in the Threat Graph, where additional correlation and AI algorithms can be applied. The sensor is also capable of being remotely reconfigured in real time based on analytics in our cloud platform to collect and analyze different events or take other actions as risk and threat postures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pPr>
      <w:r>
        <w:rPr>
          <w:rFonts w:ascii="Times New Roman;serif" w:hAnsi="Times New Roman;serif"/>
          <w:b/>
          <w:color w:val="000000"/>
          <w:sz w:val="20"/>
        </w:rPr>
        <w:t>Threat Graph.</w:t>
      </w:r>
      <w:r>
        <w:rPr>
          <w:color w:val="000000"/>
        </w:rPr>
        <w:t xml:space="preserve"> </w:t>
      </w:r>
      <w:r>
        <w:rPr>
          <w:rFonts w:ascii="Times New Roman;serif" w:hAnsi="Times New Roman;serif"/>
          <w:b w:val="false"/>
          <w:color w:val="000000"/>
          <w:sz w:val="20"/>
        </w:rPr>
        <w:t>Threat Graph is our proprietary, powerful, scalable, and dynamic graph database. Threat Graph continually looks for malicious activity by combining AI with behavioral pattern-matching techniques to look beyond file features and track the behaviors of every OS process and software program executed on an endpoint in a customer’s network environment. By applying powerful graph analytics and AI algorithms to cybersecurity, we enrich the data collected with our proprietary and third-party threat intelligence, such as adversary capabilities, motivations, attributions, and threat indicators. The graph data model allows our AI algorithms to identify relationships between events that are not directly related but which could indicate an attack that would otherwise remain undetected. We believe that our AI algorithms are advantaged by the rich proprietary dataset that we use to train them. Threat Graph provides customers with complete real time and historical visibility and insight into events occurring on their endpoints for hunting and searching, even if the endpoint is unreachable or no longer exists.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Threat Graph also provides query and hunting capability over the full set of high-fidelity events collected in the graph. This correlated data, natively represented in a graph structure, enables new products and cloud modules to be created rapidly since the platform provides the visibility, collection, correlation, and actions over data as reusable building blocks. This collect-once, use repeatedly approach is the reason why we have been able to deliver new cloud modules covering IT hygiene and vulnerability management quickly and enables us to continue expanding the Falcon platform rapidly in the future. </w:t>
      </w:r>
    </w:p>
    <w:p>
      <w:pPr>
        <w:pStyle w:val="TextBody"/>
        <w:bidi w:val="0"/>
        <w:spacing w:lineRule="auto" w:line="288" w:before="240" w:after="283"/>
        <w:ind w:left="0" w:right="0" w:firstLine="360"/>
        <w:jc w:val="left"/>
        <w:rPr/>
      </w:pPr>
      <w:r>
        <w:rPr>
          <w:rFonts w:ascii="Times New Roman;serif" w:hAnsi="Times New Roman;serif"/>
          <w:b/>
          <w:color w:val="000000"/>
          <w:sz w:val="20"/>
        </w:rPr>
        <w:t xml:space="preserve">Intel Graph. </w:t>
      </w:r>
      <w:r>
        <w:rPr>
          <w:rFonts w:ascii="Times New Roman;serif" w:hAnsi="Times New Roman;serif"/>
          <w:b w:val="false"/>
          <w:color w:val="000000"/>
          <w:sz w:val="20"/>
        </w:rPr>
        <w:t xml:space="preserve">Intel Graph analyzes and correlates massive amounts of data on adversaries, their victims and their tools, providing extraordinary insights into shifting adversary tactics and techniques, powering our adversary-focused approach with world-class threat intelligence. </w:t>
      </w:r>
    </w:p>
    <w:p>
      <w:pPr>
        <w:pStyle w:val="TextBody"/>
        <w:bidi w:val="0"/>
        <w:spacing w:lineRule="auto" w:line="288" w:before="240" w:after="283"/>
        <w:ind w:left="0" w:right="0" w:firstLine="360"/>
        <w:jc w:val="left"/>
        <w:rPr/>
      </w:pPr>
      <w:r>
        <w:rPr>
          <w:rFonts w:ascii="Times New Roman;serif" w:hAnsi="Times New Roman;serif"/>
          <w:b/>
          <w:color w:val="000000"/>
          <w:sz w:val="20"/>
        </w:rPr>
        <w:t>Asset Graph.</w:t>
      </w:r>
      <w:r>
        <w:rPr>
          <w:color w:val="000000"/>
        </w:rPr>
        <w:t xml:space="preserve"> </w:t>
      </w:r>
      <w:r>
        <w:rPr>
          <w:rFonts w:ascii="Times New Roman;serif" w:hAnsi="Times New Roman;serif"/>
          <w:b w:val="false"/>
          <w:color w:val="000000"/>
          <w:sz w:val="20"/>
        </w:rPr>
        <w:t>Asset Graph dynamically monitors and tracks the complex interactions among enterprise entities, providing a single holistic view of the risks those assets pose. Asset Graph provides graph visualizations of the relationships among entities and assets such as devices, users, accounts, cloud workloads, along with the rich context necessary for proper security hygiene and proactive security posture management to reduce risk in their organizations.</w:t>
      </w:r>
    </w:p>
    <w:p>
      <w:pPr>
        <w:pStyle w:val="TextBody"/>
        <w:bidi w:val="0"/>
        <w:spacing w:lineRule="auto" w:line="288" w:before="240" w:after="283"/>
        <w:ind w:left="0" w:right="0" w:firstLine="360"/>
        <w:jc w:val="left"/>
        <w:rPr/>
      </w:pPr>
      <w:r>
        <w:rPr>
          <w:rFonts w:ascii="Times New Roman;serif" w:hAnsi="Times New Roman;serif"/>
          <w:b/>
          <w:color w:val="000000"/>
          <w:sz w:val="20"/>
        </w:rPr>
        <w:t>High Fidelity Data and Smart Filtering.</w:t>
      </w:r>
      <w:r>
        <w:rPr>
          <w:color w:val="000000"/>
        </w:rPr>
        <w:t xml:space="preserve"> </w:t>
      </w:r>
      <w:r>
        <w:rPr>
          <w:rFonts w:ascii="Times New Roman;serif" w:hAnsi="Times New Roman;serif"/>
          <w:b w:val="false"/>
          <w:color w:val="000000"/>
          <w:sz w:val="20"/>
        </w:rPr>
        <w:t>The presence of a local graph model in our sensor enables it to track the state of the machine in real time, perform rapid machine learning and behavioral analysis, and provide efficient event streaming to the cloud. We call this “smart filtering.” This allows us to keep performance overhead on the endpoint to a minimum, dramatically reduce the bandwidth required for sensor-cloud communication, efficiently process large volumes of data, and separate signals from noise. The Falcon sensor collects and analyzes unfiltered data with local machine learning and behavioral algorithms on the endpoint but only streams high fidelity endpoint events to the cloud to just send what is necessary for detection, prevention and investigation of attacks. This smart filtering architecture allows us to reduce network load for our customers. The Falcon platform collects an array of high fidelity endpoint events, such as code execution, network, file system and user activity. This information can be used for a variety of use cases beyond security, such as IT operations and vulnerability management.</w:t>
      </w:r>
    </w:p>
    <w:p>
      <w:pPr>
        <w:pStyle w:val="TextBody"/>
        <w:bidi w:val="0"/>
        <w:spacing w:lineRule="auto" w:line="288" w:before="240" w:after="283"/>
        <w:ind w:left="0" w:right="0" w:firstLine="360"/>
        <w:jc w:val="left"/>
        <w:rPr/>
      </w:pPr>
      <w:r>
        <w:rPr>
          <w:rFonts w:ascii="Times New Roman;serif" w:hAnsi="Times New Roman;serif"/>
          <w:b/>
          <w:color w:val="000000"/>
          <w:sz w:val="20"/>
        </w:rPr>
        <w:t>Management Interface.</w:t>
      </w:r>
      <w:r>
        <w:rPr>
          <w:color w:val="000000"/>
        </w:rPr>
        <w:t xml:space="preserve"> </w:t>
      </w:r>
      <w:r>
        <w:rPr>
          <w:rFonts w:ascii="Times New Roman;serif" w:hAnsi="Times New Roman;serif"/>
          <w:b w:val="false"/>
          <w:color w:val="000000"/>
          <w:sz w:val="20"/>
        </w:rPr>
        <w:t>The Falcon platform management interface gives customers an intuitive and informative view of their complete environment, with timely alerts and detailed search capabilities. We provide real-time endpoint and cloud workload visibility to allow customers to review details and respond to threats instantly and effectively, from anywhere, and maintain an index of these events for future use.</w:t>
      </w:r>
    </w:p>
    <w:p>
      <w:pPr>
        <w:pStyle w:val="TextBody"/>
        <w:bidi w:val="0"/>
        <w:spacing w:lineRule="auto" w:line="288" w:before="240" w:after="283"/>
        <w:ind w:left="0" w:right="0" w:firstLine="360"/>
        <w:jc w:val="left"/>
        <w:rPr/>
      </w:pPr>
      <w:r>
        <w:rPr>
          <w:rFonts w:ascii="Times New Roman;serif" w:hAnsi="Times New Roman;serif"/>
          <w:b/>
          <w:color w:val="000000"/>
          <w:sz w:val="20"/>
        </w:rPr>
        <w:t>APIs and Integrations.</w:t>
      </w:r>
      <w:r>
        <w:rPr>
          <w:color w:val="000000"/>
        </w:rPr>
        <w:t xml:space="preserve"> </w:t>
      </w:r>
      <w:r>
        <w:rPr>
          <w:rFonts w:ascii="Times New Roman;serif" w:hAnsi="Times New Roman;serif"/>
          <w:b w:val="false"/>
          <w:color w:val="000000"/>
          <w:sz w:val="20"/>
        </w:rPr>
        <w:t>Our Falcon platform and architecture is built around a rich set of APIs that efficiently and effectively complement and expand a customer’s existing security infrastructure, such as security information event management, or SIEMs, intrusion prevention systems and intrusion detection systems. The platform includes streaming, query and batch APIs allowing customers and partners to integrate a variety of solutions seamlessly. It also includes rich management and control APIs. The platform allows third parties to develop additional cloud modules and features, furthering the power of the Falcon platform. By connecting existing security systems to the Falcon platform, we allow our customers to further leverage their security investments.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Data Center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data center co-location facilities throughout the United States and in Europe, and we also utilize third-party data centers located in the United States and Europe. Our technology infrastructure, combined with select use of third-party resources, provides us with a distributed, resilient and scalable architecture on a global scale.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Professional Services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Falcon platform and cloud modules, we also offer incident response, forensic investigatory, and breach recovery services; technical assessment and strategic advisory services; Next-Gen SEIM consulting; platform deployment and operational services; as well as training and certifications to assist organizations that have experienced a breach or who are assessing their security posture and ability to respond to breaches.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Incident Response, Forensics, and Recovery Services.</w:t>
      </w:r>
      <w:r>
        <w:rPr>
          <w:color w:val="000000"/>
        </w:rPr>
        <w:t xml:space="preserve"> </w:t>
      </w:r>
      <w:r>
        <w:rPr>
          <w:rFonts w:ascii="Times New Roman;serif" w:hAnsi="Times New Roman;serif"/>
          <w:b w:val="false"/>
          <w:color w:val="000000"/>
          <w:sz w:val="20"/>
        </w:rPr>
        <w:t xml:space="preserve">Our incident response services typically begin by deploying our lightweight sensor to a customer’s endpoints or cloud workloads to provide visibility in order to determine if an attacker is currently in the environment, what assets have been compromised, and how much damage has been done. In addition to enriching the response team’s understanding of the attack, the full suite of Falcon platform’s next-gen prevention capabilities, cloud security, exposure management, and identity protection offerings can also be leveraged to help to slow down and prevent an active attacker from moving at-will throughout a compromised customer’s environment, increasing the risk and potential damage to the customer. We also provide customized surgical recovery services by providing the tools and staffing to eject attackers out of the network, lock down credentials from further use, remediate impacted systems and ensure adversaries stay out. In addition to providing valuable breach remediation to our customers, our incident response services also act as a strong lead generation engine for our Falcon platform, cloud, identity, Next-Gen SIEM, and many other modules. After experiencing the benefits of our platform firsthand, many of our incident response customers become subscription customers. </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Consulting Services.</w:t>
      </w:r>
      <w:r>
        <w:rPr>
          <w:color w:val="000000"/>
        </w:rPr>
        <w:t xml:space="preserve"> </w:t>
      </w:r>
      <w:r>
        <w:rPr>
          <w:rFonts w:ascii="Times New Roman;serif" w:hAnsi="Times New Roman;serif"/>
          <w:b w:val="false"/>
          <w:color w:val="000000"/>
          <w:sz w:val="20"/>
        </w:rPr>
        <w:t>Our proactive consulting security services include technical assessment and strategic advisory services designed to help organizations understand their cyber maturity levels. These services include endpoint, identity, and cloud workload compromise assessments, cybersecurity maturity assessments, security program in-depth assessments, service organization control assessments, IT hygiene assessments, and active directory security assessments. We advise customers on readiness and preparation through the execution of table-top exercises, live fire exercises, red team/blue team assessments, and advanced adversary emulation exercises. We also offer AI red-teaming and other AI security services to help organizations understand where these emerging models introduce cyber risk, where they can be exploited, and where to take corrective security actions. All of these services are designed to evaluate our customers’ security profile so they can identify areas of vulnerability, secure their network, and improve their response if their defenses are breached. Our services also align to executive and board level cybersecurity priorities and are designed to help organizations effectively achieve cybersecurity risk reduction objectives and to maximize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Platform Professional Services.</w:t>
      </w:r>
      <w:r>
        <w:rPr>
          <w:color w:val="000000"/>
        </w:rPr>
        <w:t xml:space="preserve"> </w:t>
      </w:r>
      <w:r>
        <w:rPr>
          <w:rFonts w:ascii="Times New Roman;serif" w:hAnsi="Times New Roman;serif"/>
          <w:b w:val="false"/>
          <w:color w:val="000000"/>
          <w:sz w:val="20"/>
        </w:rPr>
        <w:t>Our platform deployment and operational services are designed to help customers maximize the value of their investment in the CrowdStrike Falcon platform and transform their Security Operations Centers. These services provide seamless deployment of Falcon modules across endpoint, cloud, identity, Next-Gen SIEM and virtually every other module ensuring rapid time-to-value and alignment to CrowdStrike’s recommended security configurations to prevent breaches. For customers requiring deeper, hands-on expertise, we offer Resident Services with experts embedded directly with customer teams to provide tailored guidance, ongoing optimization, and support for evolving security needs. Our services are designed to accelerate time-to-value, enhance security posture, and ensure the long-term success of SIEM deployments within any organization. Additionally, our operational services provide tailored guidance and best practices to optimize platform performance, streamline workflows, and address specific cybersecurity challenges. The goal of these services are to empower organizations to fully operationalize CrowdStrike’s solutions, enhance security posture, and achieve measurable outcomes in cyber risk reduction with the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CrowdStrike University Training and Certification.</w:t>
      </w:r>
      <w:r>
        <w:rPr>
          <w:color w:val="000000"/>
        </w:rPr>
        <w:t xml:space="preserve"> </w:t>
      </w:r>
      <w:r>
        <w:rPr>
          <w:rFonts w:ascii="Times New Roman;serif" w:hAnsi="Times New Roman;serif"/>
          <w:b w:val="false"/>
          <w:color w:val="000000"/>
          <w:sz w:val="20"/>
        </w:rPr>
        <w:t xml:space="preserve">We offer training and certification services to customers and partners on CrowdStrike technologies and cybersecurity topics to facilitate the adoption of CrowdStrike and to broaden and deepen their skills. CrowdStrike University is an online learning management system that organizes all CrowdStrike e-learning, instructor-led training and certification preparation courses in one place, providing a personalized learning experience for individuals who have an active training subscription. CrowdStrike currently offers proctored exam certifications through industry leading training partner Pearson Vue for our CrowdStrike Certified Falcon Administrator, Falcon Responder, Falcon Hunter, Cloud Specialist, Identity Specialist, and Next-Gen SIEM Engineer programs. Our offerings are designed to accommodate varying levels of proficiency from foundational concepts to advanced skills in threat detection, incident response, cloud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intelligence and other proactive security operations aligned to the Falcon platform. Our training offerings provide a structured learning path to accelerate CrowdStrike adoption, drive operational success, and equip professionals with validated expertise in modern cybersecurity practices.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the world’s largest enterprises, government organizations, and high-profile brands trust us to protect their business. As of January 31, 2026, we are trusted by more than 88,000 organizations, including our end customers and those of our Managed Security Service Providers (“MSSPs”), worldwide. Historically, we and our channel partners have primarily sold to large organizations, but have increasingly focused on selling to small and medium-sized businesses, particularly through our trial-to-pay model. We engage our customers through our global customer and technical advisory boards in which we solicit feedback from our customers on a regular basis allowing us to understand their evolving needs. We have used this feedback to develop new cloud modules, such as Falcon FileVantage, and we intend to continue to develop new cloud modules based on our customer’s feedback. Our business is not dependent on any particular end customer.</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sales and marketing organizations work together closely to drive market awareness, build a strong sales pipeline and cultivate customer relationships to drive revenue growth.</w:t>
      </w:r>
    </w:p>
    <w:p>
      <w:pPr>
        <w:pStyle w:val="TextBody"/>
        <w:bidi w:val="0"/>
        <w:spacing w:lineRule="auto" w:line="288" w:before="240" w:after="283"/>
        <w:ind w:left="0" w:right="0" w:firstLine="360"/>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primarily sell subscriptions to our Falcon platform and cloud modules through our world-class, global sales team, which is comprised of field sales and inside sales professionals who are segmented by a customer’s organizational size. Our sales team also leverages a powerful go-to-market sales motion with our vast ecosystem of channel and alliances partners. We also use our sales team to identify current customers who may be interested in free trials of additional cloud modules, which serves as a powerful driver of our land and expand model. By segmenting our sales teams, we can deploy a low-touch sales model that efficiently identifies prospective customers.</w:t>
      </w:r>
    </w:p>
    <w:p>
      <w:pPr>
        <w:pStyle w:val="TextBody"/>
        <w:bidi w:val="0"/>
        <w:spacing w:lineRule="auto" w:line="288" w:before="240" w:after="283"/>
        <w:ind w:left="0" w:right="0" w:firstLine="360"/>
        <w:jc w:val="left"/>
        <w:rPr>
          <w:rFonts w:ascii="Times New Roman;serif" w:hAnsi="Times New Roman;serif"/>
          <w:b/>
          <w:color w:val="000000"/>
          <w:sz w:val="20"/>
        </w:rPr>
      </w:pPr>
      <w:r>
        <w:rPr>
          <w:rFonts w:ascii="Times New Roman;serif" w:hAnsi="Times New Roman;serif"/>
          <w:b/>
          <w:color w:val="000000"/>
          <w:sz w:val="20"/>
        </w:rPr>
        <w:t>Marketing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marketing organization is focused on building our brand reputation, increasing the awareness and reputation of our platform, and driving customer demand. As part of these efforts, we deliver targeted content to demonstrate thought leadership in the security industry, including speaking engagements with the security industry’s foremost organizations to provide expert advice, issuing regular reports on the state of the industry, educating the public about cybersecurity threats, and identifying and naming adversary groups. We also engage in paid media, web marketing, industry and trade conferences (including our annual Fal.Con conference), analyst engagements, whitepaper development, demand generation via digital and web, and targeted displacement campaigns. We employ a wide range of digital programs, including search engine marketing, online and social media initiatives, and content syndication to increase traffic to our website and encourage prospective customers to sign up for a free trial of the Falcon platform. Additionally, we engage in joint marketing activities with our channel and technology alliance partners.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Partnership Ecosystem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 partner-first go-to-market strategy to land new logos and expand in existing accounts. We partner with a diverse set of partners. We work with a wide array of go-to-market partners in our technology alliance partners to design go-to-market strategies that combine our platform with products and/or services provided by our technology alliance partners. These partner integrations deliver more secure solutions and an improved end user experience to their customers. Our technology alliance partnerships focus on security analytics, network and infrastructure security, threat platforms and orchestration, and automation. The CrowdStrike Store is an open cloud-based application PaaS for cybersecurity and the industry’s first unified security cloud ecosystem of trusted third-party applications. Falcon for AWS, available in the AWS Marketplace, allows customers to easily purchase and take advantage of the metered billing (pay-as-you-go) pricing option to scale their consumption as their business needs change. In addition to AWS, we bring CrowdStrike to market through Google Marketplace, and starting fiscal year 2027, the Microsoft Marketplace. We work with a vast network of resellers, distributors, MSSPs, MSPs, and global system integrators (“GSIs”) to deliver diverse customer experiences, tailored to the needs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customer. Our best-in-class ecosystem helps us source new logos, expand within existing accounts, and maintain high renewal rates because we meet customers where they are and work with those they trust.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organizations are responsible for the design, architecture, operation and quality of our cloud native Falcon platform. In addition, the research and development organizations work closely with our customer success teams to promote customer satisfaction.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is a result of our continuous drive for innovation. Our internal team of security experts, researchers, intelligence analysts, and threat hunters continuously analyzes the evolving global threat landscape to develop products that defend against today’s most sophisticated and stealthy attacks and report on emerging security issues. We invest substantial resources in research and development to enhance our Falcon platform, and develop new cloud modules, features and functionality. We believe timely development of new, and enhancement of our existing products, services, and features is essential to maintaining our competitive position. We work closely with our customers and channel partners to gain valuable insight into their security management practices to assist us in designing new cloud modules and features that extend the capability of our platform. Our technical staff monitors and tests our software on a regular basis, and we also make our Falcon platform available for third-party validation. We also maintain a regular release process to update and enhance our existing solutions. In addition, we engage security consulting firms to perform periodic vulnerability analysis of our solutions.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leadership team is predominantly located in the United States. We also maintain research and development centers internationally, including in Romania, Israel and India. We employ subject matter experts in a number of jurisdictions around the world. We plan to continue to dedicate significant resources to research and development.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primarily compete with established and emerging security product vendors. While the market for traditional endpoint and IT operations solutions has historically been intensely competitive, we believe that the architecture of our cloud-native, single sensor platform fundamentally differentiates us compared to both next-gen and legacy competitors in the security industry. Additionally, as we look to enter into adjacent markets and expand our total addressable market, we may face new competitors. However, we do not believe any of our competitors currently have a true platform offering equivalent to the Falcon platform, which can be leveraged to win in legacy markets and define new categories.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competitors currently include the following by general category: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legacy antivirus product providers who offer a broad range of approaches and solutions including traditional signature-based antivirus protection;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alternative endpoint security providers who generally offer a mix of on-premises and cloud-hosted products that rely heavily on malware-only or application whitelisting techniques;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network security vendors who are supplementing their core perimeter-based offerings with endpoint or cloud security solutions;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cloud security vendors, including those who focus on public cloud infrastructure and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identity security vendors that seek to identify and secure user accounts and related activities;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professional service providers who offer cybersecurity response services;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legacy SIEM vendors who offer a range of log management and security capabilities.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compete on the basis of a number of factors, including but not limited to our: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ability to offer a unified and modular platform that enables rapid innovation, scaling, and deployment;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ability to identify security threats and prevent security breaches;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ability to integrate with other participants in the security ecosystem;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time to value, price, and total cost of ownership;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brand awareness, reputation, and trust in the provider’s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strength of sales, marketing, and channel partner relationships;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customer support, incident response, and proactive services;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ability to rapidly ingest and search both first and third-party data.</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certain of our competitors enjoy greater resources, recognition, deeper customer relationships, larger existing customer bases, or more mature intellectual property portfolios, we believe that we compete favorably with respect to these factors and that we are well positioned as a leading provider of endpoint and workload security solutions.</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grow our global portfolio of intellectual property rights in connection with our products, services, research and development, and other activities to protect our proprietary technology relevant to our business. We file patent applications to protect our intellectual property and believe that the duration of our issued patents is sufficient when considering the expected lives of our products. We intend to continue pursuing additional intellectual property protection to the extent we believe it would be beneficial and cost-effective. Despite our efforts to protect our intellectual property rights, they may not be respected in the future, particularly in certain foreign jurisdictions where laws may not protect our proprietary rights as fully as in the United States,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or other third-parties may also claim that our security platform and other solutions infringe their intellectual property rights. In particular, some companies in our industry have extensive patent portfolios. From time to time, third parties have in the past and may in the future assert claims of infringement, misappropriation and other violations of intellectual property rights against us or our customers, with whom our agreements may obligate us to indemnify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For additional information, see the section titled “Risk Factors—Risks Related to Intellectual Property, Legal, and Regulatory Matters—The success of our business depends in part on our ability to protect and enforce our intellectual property rights.”</w:t>
      </w:r>
    </w:p>
    <w:p>
      <w:pPr>
        <w:pStyle w:val="TextBody"/>
        <w:bidi w:val="0"/>
        <w:spacing w:lineRule="auto" w:line="288"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both single and multi-year subscription contracts for our solutions. We generally invoice our subscription customers at the beginning of the subscription term, or in some instances, such as in multi-year arrangements, in installments. Until we have the contractual right to invoice, these contract amounts are classified as backlog. They are not recorded in deferred revenue or elsewhere in our consolidated financial statements. As of January 31, 2026, we had backlog of approximately $4.2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pStyle w:val="TextBody"/>
        <w:bidi w:val="0"/>
        <w:spacing w:lineRule="auto" w:line="288"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pStyle w:val="TextBody"/>
        <w:bidi w:val="0"/>
        <w:spacing w:lineRule="auto" w:line="288"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31, 2026, we had 10,698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Attraction, Retention, and Talent Development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Supporting our people is a foundational value for CrowdStrike. We believe the company’s success depends on our ability to attract, retain and develop employees. The skills, experience and industry knowledge of key employees significantly benefit our customers, operations and our overall company performance.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talent sourcing is aligned to our organizational strategy to provide the expertise and skills needed to move our mission forward. We have created a high-performance talent model that pinpoints the top traits and qualities we look for in talent and that may already exist within the organization, then consistently use that model to develop interview questions, screen candidates, and make hiring decisions.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CrowdStrike has always been a mission-focused organization. We hire and develop people based on their merits and alignment to our mission of stopping breaches. Our work requires us to consider problems from all angles. We believe that an open, collaborative environment strengthens our ability to build strong teams, serve our customers and drive innovation.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attract high performers, we have a team dedicated to building and promoting our employer brand focused on creating a strong employer value proposition, which includes: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Competitive pay and benefits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Flexible working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Roles and tasks designed for growth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Professional development opportunities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Organizational reputation and culture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robust compensation and benefits programs to help meet the needs of our employees. In addition to base salary, these programs (which vary by country/region) include annual bonuses or commission plans, equity awards, an employee stock purchase plan, a 401(k) plan or pension schemes internationally, healthcare and insurance benefits, health savings and flexible spending accounts, paid time off, family leave, family care resources, flexible work schedules, adoption and infertility assistance, and employee assistance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invest resources to develop the talent needed to remain a leader in cybersecurity. We deliver numerous training opportunities, provide rotational assignment opportunities, have expanded our focus on continuous learning and development, and ensure we manage performance, provide feedback, and develop talent.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Distributed Workforce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CrowdStrike, the ability to work remotely or in a hybrid arrangement is a deliberate strategy that we believe fuels rapid innovation and helps us attract, hire and retain the best and brightest around the world, regardless of their specific location. Our culture is purpose-built around this ability, creating a competitive advantage for both the company and its customers and minimizing disruption from localized issues such as natural disasters, political events, or health emergencies.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CrowdStrike has had a distributed workforce since its inception. While working remotely has its advantages, we also believe that building community and engagement happens at a faster pace when people can come together.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beginning, we recognized that creating high-functioning, effective remote and hybrid teams would require careful planning and system design to not only establish the culture but help it grow and evolve organically. We have designed our processes, systems, and teams so that most employees can perform their jobs without needing to be physically present in the same room or even in the same time zone. Part of supporting our remote and hybrid culture also involves actively encouraging personal well-being through initiatives, including wellness programs, engagement programs (speaker series, employee resource groups, gift exchanges, mentorship opportunities, virtual events, etc.), community outreach activities, recognition programs, and groups to connect people, no matter where they are geographically, with similar interests, life circumstances or backgrounds. We continue to find ways to bring our employees together to build community and camaraderie.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People and Core Values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CrowdStrike, we embrace the mantra of “One Team. One Fight.” Our global team is passionate about working together toward our mission to stop breaches, knowing they will be fully included, supported and valued along the way. We are Fanatical About the Customer, Relentlessly Focused on Innovation and believe that our Limitless Passion drives Unlimited Potential for every CrowdStriker. Our Core Values sum up our culture. We provide the support and resources needed to enable people to do their best work.</w:t>
      </w:r>
    </w:p>
    <w:p>
      <w:pPr>
        <w:pStyle w:val="TextBody"/>
        <w:bidi w:val="0"/>
        <w:spacing w:lineRule="auto" w:line="288" w:before="240" w:after="283"/>
        <w:ind w:left="0" w:right="0" w:hanging="360"/>
        <w:jc w:val="center"/>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our current executive officers as of March 4, 2026:</w:t>
      </w:r>
    </w:p>
    <w:tbl>
      <w:tblPr>
        <w:tblW w:w="6623" w:type="dxa"/>
        <w:jc w:val="left"/>
        <w:tblInd w:w="0" w:type="dxa"/>
        <w:tblLayout w:type="fixed"/>
        <w:tblCellMar>
          <w:top w:w="28" w:type="dxa"/>
          <w:left w:w="28" w:type="dxa"/>
          <w:bottom w:w="28" w:type="dxa"/>
          <w:right w:w="28" w:type="dxa"/>
        </w:tblCellMar>
      </w:tblPr>
      <w:tblGrid>
        <w:gridCol w:w="568"/>
        <w:gridCol w:w="500"/>
        <w:gridCol w:w="506"/>
        <w:gridCol w:w="109"/>
        <w:gridCol w:w="109"/>
        <w:gridCol w:w="109"/>
        <w:gridCol w:w="145"/>
        <w:gridCol w:w="145"/>
        <w:gridCol w:w="146"/>
        <w:gridCol w:w="109"/>
        <w:gridCol w:w="109"/>
        <w:gridCol w:w="109"/>
        <w:gridCol w:w="1156"/>
        <w:gridCol w:w="1156"/>
        <w:gridCol w:w="1647"/>
      </w:tblGrid>
      <w:tr>
        <w:trPr/>
        <w:tc>
          <w:tcPr>
            <w:tcW w:w="56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Position</w:t>
            </w:r>
          </w:p>
        </w:tc>
      </w:tr>
      <w:tr>
        <w:trPr/>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Kurtz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Burt W. Podbere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Sentonas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no family relationship between any of our directors or executive officers and any other director or executive officer.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George Kurtz - President, Chief Executive Officer, and Director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Mr. Kurtz is one of our co-founders and has served as our President, Chief Executive Officer, and a member of our board of directors since November 2011. From October 2004 to October 2011, Mr. Kurtz served in executive roles at McAfee, Inc., a security technology company, including as Executive Vice President and Worldwide Chief Technology Officer from October 2009 to October 2011. In October 1999, Mr. Kurtz founded Foundstone, Inc., a security technology company, where he served as its Chief Executive Officer until it was acquired by McAfee, Inc. in October 2004. Since November 2017, he has also served as Chairman of the Board, and as President for the CrowdStrike Foundation, a nonprofit established to support the next generation of talent and research in cybersecurity and artificial intelligence through scholarships, grants, and other activities. He also served on the board of directors of Hewlett Packard Enterprise, an enterprise information technology company, from June 2019 to April 2023. Mr. Kurtz holds a B.S. in accounting from Seton Hall University. Mr. Kurtz also holds a CPA license from the State of New Jersey with an inactive status.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Burt W. Podbere - Chief Financial Officer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Mr. Podbere has served as our Chief Financial Officer since September 2015. From May 2014 to August 2015, Mr. Podbere served as Chief Financial Officer for OpenDNS, Inc. (acquired by Cisco in 2015), a cloud-delivered network security company, where he oversaw the finance function. From October 2011 to April 2014, he served as Chief Financial Officer for Net Optics, Inc. (acquired by Ixia in 2013), a manufacturer of network monitoring and intelligent access solutions for physical and virtual networks. Since November 2017, he has also served as Treasurer and as a board member for the CrowdStrike Foundation, a nonprofit established to support the next generation of talent and research in cybersecurity and artificial intelligence through scholarships, grants, and other activities. Mr. Podbere is a Chartered Accountant and holds a B.A. from McGill University.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Michael Sentonas - President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Mr. Sentonas has served as our President since March 2023. Prior to being appointed President, Mr. Sentonas served as our Chief Technology Officer since February 2020, and as our Vice President, Technology Strategy from May 2016 to February 2020. Immediately prior to joining us, Mr. Sentonas served at McAfee Corp. from March 2004 to April 2016 in various positions, and finally as Chief Technology Officer – Security Connected from November 2013 to April 2016. Mr. Sentonas is a board member of the CrowdStrike Foundation, a nonprofit established to support the next generation of talent and research in cybersecurity and artificial intelligence through scholarships, grants, and other activities, and a member of the Forbes Technology Counsel, an organization for senior technology executives. He is an active public speaker on security issues and advises government and business communities on global and local cyber security threats. Mr. Sentonas holds a B.S. in computer science from Edith Cowan University, Western Australia.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Annual Report on Form 10-K.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Annual Report on Form 10-K, Quarterly Reports on Form 10-Q, Current Reports on Form 8-K, and amendments to these reports are filed with the SEC pursuant to Sections 13(a) and 15(d) of the Exchange Act. Such reports and other information filed or furnished by us with the SEC are available free of charge on our website at https://ir.crowdstrike.com/financial-information/sec-filings, as soon as reasonably practicable after we file such material with, or furnish it to, the SEC. The SEC maintains a website that contains the materials we file with or furnish to the SEC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description of the risks and uncertainties associated with our business is set forth below. You should carefully consider the risks and uncertainties described below, as well as the other information in this Annual Report on Form 10-K,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or “common stock,” could decline, and you could lose all or part of your investment.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Annual Report on Form 10-K, as well as the other information in this Annual Report on Form 10-K and the other filings that we make with the SEC.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July 19 Incident has had, and is expected to continue to have, an adverse effect on our business, sales, customer and partner relations, reputation, results of operations and financial condition.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experienced rapid growth in recent periods, and if we do not manage our future growth, our business and results of operations will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a history of losses, and while we have achieved profitability in certain periods, including fiscal 2024, we may not be able to achieve or sustain profitability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organizations do not adopt cloud-based SaaS-delivered endpoint security solutions, our ability to grow our business and results of operations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attract new customers, our future results of operations could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our customers do not renew their subscriptions for our products and add additional cloud modules to their subscriptions, our future results of operations could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sales cycles can be long and unpredictable, and our sales efforts require considerable time and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our solutions fail or are perceived to fail to detect or prevent incidents or have or are perceived to have defects, errors, or vulnerabilities, our brand and reputation would be harmed, which would adversely affect our business and results of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our key technical, sales and management personnel to grow our business, and the loss of one or more key employees could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attract and retain qualified personnel, our business could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not able to maintain and enhance our CrowdStrike and Falcon brands and our reputation as a provider of high-efficacy security solutions, our business and results of operations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Claims by others that we infringe their proprietary technology or other intellectual property rights could result in significant costs and substantially harm our business, financial condition, results of operations, and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comply with laws and regulations applicable to our business could subject us to fines and penalties and could also cause us to lose customers or negatively impact our ability to contract with customers, including those in the public sector.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currently, and may in the future become, involved in litigation that may adversely affect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July 19 Incident has had, and is expected to continue to have, an adverse effect on our business, sales, customer and partner relations, reputation, results of operations and financial condition.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19, 2024, we released a content configuration update for our Falcon sensor that resulted in system crashes for certain Windows systems (the “July 19 Incident”). We have incurred, and expect to continue to incur, significant costs and expenses related to the incident. The July 19 Incident has harmed, and is expected to continue to harm, our business, sales, customer and partner relations, and our reputation. As a result of the July 19 Incident, certain of our existing or prospective customers have deferred or decided against purchases of our products and services and terminated or chosen not to renew their contracts with us, and others may take similar actions in the future. The July 19 Incident has negatively impacted, and may in the future negatively impact, our existing or prospective partners’ ability or willingness to promote our products or services. Certain of our competitors have aggressively approached our current and prospective customers and partners to attempt to capitalize on the July 19 Incident, and may continue to do so. Furthermore, we have agreed to, and expect to agree to in the future, provide incentives in connection with our commercial arrangements with our customers, including subscription period extensions, discounts or promotional modules. The July 19 Incident has received negative media coverage and harmed our reputation and brand. Additional negative media coverage and publicity, whether directly or indirectly related to the July 19 Incident, may harm our reputation and brand further, exacerbating the effects discussed herein. These factors may result in harm to our business, results of operations and financial condition. While we are investing in enhancements to software resiliency, testing and customer controls following the July 19 Incident, we cannot guarantee that such enhancements will be effective, or that our products do not have or will not have defects, errors, or vulnerabilities.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party to a number of legal proceedings relating to the July 19 Incident, such as lawsuits filed by or on behalf of third parties, including securities litigation brought on behalf of certain purchasers of our common stock, derivative litigation asserting claims against certain officers and directors, and putative class actions brought by individual consumers. We have also received inquiries from governmental authorities and other third parties, and governmental authorities may seek to impose undertakings, injunctive relief, consent decrees or other penalties, which could, among other things, materially increase our expenses or otherwise require us to alter how we operate our business. Third parties, including governmental authorities, may take certain actions in response to the July 19 Incident that may negatively impact our business and operations and may result in additional costs and expenses relating to compliance, product development or other matters. Some customers and other third parties claiming to have been impacted by the incident have asserted claims against us or otherwise communicated their intent to seek indemnification or compensation from us. Additional claims may also be asserted by or on behalf of customers, customers’ insurers, partners, stockholders or others seeking monetary damages or other relief. These lawsuits, claims and inquiries are resulting, and are expected to result in the future, in the incurrence of significant costs and expenses, the diversion of management’s attention from the operation of our business and other negative impacts on our business and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maintain insurance policies that may cover certain costs, claims and liabilities in connection with the July 19 Incident, we expect that our insurance coverage will not cover all costs, claims and liabilities actually incurred, and we cannot be certain that our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experienced rapid growth in recent periods, and if we do not manage our future growth, our business and results of operations will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experienced rapid revenue growth in recent periods and we expect to continue to invest broadly across our organization to support our growth.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effectively attract, integrate, and retain a large number of new employees, particularly members of our sales and marketing and research and development teams;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further improve our Falcon platform, including our cloud modules, and IT infrastructure, including expanding and optimizing our data centers, to support our business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enhance our information and communication systems to ensure that our employees and offices around the world are well coordinated and can effectively communicate with each other and our growing base of channel partners and customers;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improve our financial, management, and compliance systems and controls.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 history of losses, and while we have achieved profitability in certain periods, we may not be able to achieve or sustain profitability in the future.</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We have incurred net losses each year prior to fiscal 2024, and we may not achieve or maintain profitability in the future. We experienced net losses of $162.5 million and $15.2 million for fiscal 2026 and 2025, respectively, and net income of $72.2 million for fiscal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As of January 31, 2026, we had an accumulated deficit of $1.3 billion. While we have experienced significant growth in revenue in recent periods, and have achieved profitability during certain periods, including fiscal 2024, we cannot assure you when or whether we will reach sustained profitability. We also expect our operating expenses to increase in the future as we continue to invest for our future growth, which will negatively affect our results of operations if our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 does not increase.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organizations do not adopt cloud-based SaaS-delivered endpoint security solutions, our ability to grow our business and results of operations may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damage to our reputation including as a result of the July 19 Incident,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to the extent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(such as those experienced in connection with the July 19 Incident),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could erode our competitive position, significantly impair our revenue growth, and negatively impact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our future results of operations could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or changes and uncertainty regarding trade policies or tariffs, the outbreak of diseases or other public health crises, volatility in the banking and financial services sector, or inflation (as well as government policies such as raising interest rates in response to inflation), have in the past and may in the future cause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current and prospective customers to delay or cut their overall security and IT operations spending, and such delays or cuts may fall disproportionately on cloud-based security solutions like ours. Economic weakness, customer financial difficulties, constrained spending on security and IT operations, and the impact of the July 19 Incident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customers do not renew their subscriptions for our products and add additional cloud modules to their subscriptions, our future results of operations could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to three years,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renewals and expansion may decline or fluctuate as a result of a number of factors, including our customers’ satisfaction with our products and services, our customers’ ability to fully utilize their product subscriptions, our pricing, customer security and networking issues and requirements, our customers’ spending levels, decreases in the number of endpoints to which our customers deploy our solutions, mergers and acquisitions involving our customers, industry developments, competition, the impact of the July 19 Incident, including the impact of our customer commitment packages, and general economic and geopolitical conditions. Any such impacts on customer renewals may result from a variety of different factors, including customers electing to renew with shorter subscription periods, fewer cloud modules, fewer endpoints or smaller contract values. If our efforts to maintain and expand our relationships with our existing customers are not successful, our business, results of operations, and financial condition may materially suffer.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sales cycles can be long and unpredictable, and our sales efforts require considerable time and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or geopolitical conditions, including in connection with changes in trade policies and tariffs, may lead to additional scrutiny of budgets by current and prospective customers, which has resulted in, for example, longer sales cycles for products and services, and may result in shifting demand for IT products and services, and slower adoption of new technologies. We have also experienced, and may continue to experience, longer sales cycles in connection with the July 19 Incident. We may also experience longer sales cycles as customers seek to consolidate on our Falcon platform and negotiate larger deals, including in connection with our flexible subscription offering.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capabilities, including performance and reliability, of our Falcon platform, including our cloud modules, services, and features compared to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and the ability of our competitors, to improve existing products, services, and features, or to develop new ones to address evolving customer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retain, and motivate talented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relationships with channel partners and direct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strength of our sales and marketing efforts;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strength of our reputation and brand, including the impact to our reputation and brand as a result of the July 19 Incident;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acquisitions or consolidation within our industry, which may result in more formidable competitors.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competitors include the following by general category: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legacy antivirus product providers who offer a broad range of approaches and solutions including traditional signature-based anti-virus protection;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alternative endpoint security providers who generally offer a mix of on-premise and cloud-hosted products that rely heavily on malware-only or application whitelisting techniques;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network security vendors who are supplementing their core perimeter-based offerings with endpoint or cloud security solutions;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cloud security vendors, including those who focus on public cloud infrastructure and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identity security vendors that seek to identify and secure user accounts and related activities;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professional service providers who offer cybersecurity response services;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legacy SIEM vendors who offer a range of log management and security capabilities.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are changing rapidly and significantly as a result of technological advancements, including with respect to AI. Our competitors may more successfully incorporate AI into their products, gain or leverage superior access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solutions.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Competitive pricing pressure may reduce our gross profits and adversely affect our financial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solutions fail or are perceived to fail to detect or prevent incidents or have or are perceived to have defects, errors, or vulnerabilities, our brand and reputation would be harmed, which would adversely affect our business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has contained, and may in the future contain defects, errors or vulnerabilities that are not detected until after deployment. For example, the July 19 Incident harmed our brand and reputation, business and results of operations. In addition, we identified a transport layer security issue that impacted certain Falcon Linux sensors, which led us to release a security fix and publish a security advisory to remediate the matter in February 2025. If we fail to timely detect defects or errors before deployment in the future, our brand and reputation, business and results of operations will suffer further.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Furthermore, any defects, errors or vulnerabilities in third-party technology or solutions we rely on could result in disruptions to our operations and adversely impact our business, financial condition and results of operations.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In addition, bad actors have attempted to leverage the July 19 Incident to facilitate malicious activity, including, for example, through sending phishing emails posing as CrowdStrike support. Such activity, whether or not successful, could result in additional harm to our business.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or data of our customers would be especially detrimental to our reputation, customer confidence in our solution, and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factors, many of which are beyond our control, can affect the delivery, availability, and the performance of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development and maintenance of the infrastructure of the internet;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performance and availability of third-party providers of cloud infrastructure services, such as AWS, with the necessary speed, data capacity and security for providing reliable internet access and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physical or electronic break-ins, acts of war or terrorism, human error or interference (including by disgruntled employees, former employees or contractors) and other catastrophic events;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cyberattacks, including denial of service attacks, targeted at us, our data centers, or the infrastructure of the internet;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by us to maintain and update our cloud infrastructure to meet our data capacity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errors, defects or performance problems in our software, including third-party software incorporated in our software;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improper deployment or configuration of our solutions;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failure of our redundancy systems, in the event of a service disruption at one of our data centers, to provide failover to other data centers in our data center network;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failure of our disaster recovery and business continuity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us or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our key technical, sales and management personnel to grow our business, and the loss of one or more key employees could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attract and retain qualified personnel, our business could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addition, job candidates and existing employees often consider the value of the equity awards they receive in connection with their employment. Therefore, volatility or lack of performance in our stock price could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In addition, the Strategic Plan (as defined in the notes to our consolidated financial statements) could negatively affect our ability to </w:t>
      </w:r>
      <w:r>
        <w:rPr>
          <w:rFonts w:ascii="Times New Roman;serif" w:hAnsi="Times New Roman;serif"/>
          <w:b w:val="false"/>
          <w:color w:val="000000"/>
          <w:sz w:val="20"/>
          <w:shd w:fill="FFFFFF" w:val="clear"/>
        </w:rPr>
        <w:t>recruit and retain skilled personnel</w:t>
      </w:r>
      <w:r>
        <w:rPr>
          <w:rFonts w:ascii="Times New Roman;serif" w:hAnsi="Times New Roman;serif"/>
          <w:b w:val="false"/>
          <w:color w:val="000000"/>
          <w:sz w:val="20"/>
        </w:rPr>
        <w:t>. Any failure to successfully attract, integrate or retain qualified personnel to fulfill our current or future needs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effectively expand and train our direct sales force, we may be unable to add new customers or increase sales to our existing customers, and our business will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we recognize revenue from subscriptions to our platform over the term of the subscription, downturns or upturns in new business will not be immediately reflected in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generally recognize revenue from customers ratably over the terms of their subscription, which is generally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In addition, subscription commencement dates may be impacted by a number of factors, some of which we may exercise varying degrees of control over, including terms negotiated with our customers and our internal review, approval and provisioning processes. As a result, the impact of new subscriptions may not be immediately reflected in our results of operations. Moreover, the effect of downturns or upturns in new sales and potential changes in our rate of renewals, including as a result of the July 19 Incident, may not be fully reflected in our results of operations until future periods. In addition, customer commitment packages introduced following the July 19 Incident that extend subscription periods will lengthen the applicable term over which we recognize revenue, which has adversely affected, and is expected to continue to adversely affect, our results. We may also be unable to timely reduce our cost structure in line with a significant deterioration in sales or renewals that would adversely affect our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new and retain existing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budgeting cycles, seasonal buying patterns, and purchasing practices of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economic difficulties confronting our customers, which may impact the number of modules or endpoint deployments they are willing or able to purchase;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insolvency or credit difficulties confronting our customers, affecting their ability to purchase or pay for our solutions, including in connection with our customer and end-user financing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length of our sales cycles;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customer or channel partner requirements or market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disruption in our relationship with channel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growth rate of the cloud-based SaaS-delivered endpoint security solutions market;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success of new product and service introductions by us or our competitors or any other competitive developments, including consolidation among our customers or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decisions by organizations to purchase security solutions from larger, more established security vendors or from their primary IT equipment vendors;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our pricing policies or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awareness of cybersecurity threats, particularly advanced cyberattacks, and the market adoption of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security breaches of, technical difficulties with or interruptions to, the use of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to our business from the July 19 Incident;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negative media coverage or publicity;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expand our business domestically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amount and timing of operating costs (including new hires), tightening of labor markets and capital expenditures related to the expansion of our business;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extraordinary expenses such as litigation, regulatory or other dispute-related settlement payments or outcomes;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or decreases in our expenses caused by fluctuations in foreign currency exchange rates;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accounting pronouncements or changes in our accounting policies or practices;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relating to our valuation allowances for our deferred tax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deteriorating or volatile conditions in the global economy and financial markets, including as a result of weak or negative gross domestic product growth, uncertainty or disruptions in the capital and credit markets, changing interest rates, inflation, tariffs and trade restrictions, bank failures or adverse conditions impacting financial institutions, and supply-chain disruptions;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events, geopolitical unrest or tension, acts of war and terrorism.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processes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 For example, we are currently party to securities litigation brought in connection with the July 19 Incident on behalf of certain purchasers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not able to maintain and enhance our CrowdStrike and Falcon brands and our reputation as a provider of high-efficacy security solutions, our business and results of operations may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CrowdStrike and Falcon brands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brands depends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has in the past adversely affected, and may in the future adversely affect, our reputation and brand. For example, the July 19 Incident, which received significant media attention and negative publicity, harmed our reputation and brand.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international operations and plans for future international expansion expose us to significant risks, and failure to manage those risks could adversely impact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derived approximately 33%, 32%, and 32% of our total revenue from our international customers for fiscal 2026, fiscal 2025, and fiscal 2024,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difficulty in negotiating contracts with standard terms, enforcing contracts and managing collections, and longer collection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higher costs of doing business internationally, including costs incurred in establishing and maintaining office space and equipment for our international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management communication and integration problems resulting from cultural and geographic dispersion;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risks associated with trade restrictions and foreign legal requirements, including any importation, certification, and localization of our Falcon platform that may be required in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risk of unexpected changes, or threat of changes, in regulatory practices, tariffs, and tax laws and treaties or the application thereof;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heightened risk of unfair or corrupt business practices in certain geographies and of improper or fraudulent sales arrangements that may impact financial results and result in restatements of, or irregularities in, financial statements;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uncertainty of protection for intellectual property rights in some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and political conditions in these foreign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exchange controls or tax regulations that might prevent us from repatriating cash earned outside the United States;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and economic instability in some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double taxation of our international earnings and potentially adverse tax consequences due to changes in the tax laws of the United States or the foreign jurisdictions in which we operate;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unexpected costs for the localization of our services, including translation into foreign languages and adaptation for local practices and regulatory requirements (including, but not limited to data localization requirements, digital sovereignty requirements and other restrictions, such as those emerging in the EU);</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requirements to comply with foreign privacy, data protection, and information security laws and regulations and the risks and costs of noncompliance;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difficulty in identifying, attracting and retaining local qualified personnel, and the costs and expenses associated with such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difficulty identifying qualified channel partners and maintaining successful relationships with such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differing employment practices and labor relations issues;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in managing and staffing international offices and increased travel, infrastructure, and legal compliance costs associated with multiple international locations.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depends, in part, on sales to government organizations, and significant changes in the contracting or fiscal policies of such government organizations could have an adverse effect on our business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to such government entities include, but are not limited to, the following risks: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selling to governmental agencies can be highly competitive, expensive and time consuming, often requiring significant upfront time and expense without any assurance that such efforts will generate a sale;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obtain personnel security clearances and facility clearances to perform on classified contracts for government agencies, and there is no guarantee that we will be able to obtain or maintain such clearances;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certification, software supply chain, and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product requirements are often technically complex and assessors may require us to make costly changes to our products to meet such requirements without any assurance that such changes will generate a sale or improve the efficacy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attitudes towards us as a company, our platform or the capabilities that we offer as a viable software solution may change, and reduce interest in our products and services as acceptable solutions;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political environment, including before or after a change to the leadership within the government administration, can create uncertainty or changes in policy or priorities and reduce available funding for our products and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even if we are awarded a sale, the terms of such contracts may be unusually burdensome;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 foregoing risks could cause governments and governmental agencies to delay or refrain from purchasing our solutions in the future or otherwise have an adverse effect on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timely and cost-effectively scale and adapt our existing technology to meet our customers’ performance and other requirements.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including those involving AI,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and platforms, to operate and make, in various layers of technology stacks, our products and services available to customers. If we are unable to adapt to product or policy changes in such ecosystems, or if we do not effectively operate with such ecosystems, demand for and availability of our products or services could decline. To the extent that we do not effectively scale our operations and infrastructure to meet the needs of our business,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maintain customer satisfaction depends in part on the quality of our customer support.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of our larger organizational customers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need to raise additional capital to expand our operations and invest in new solutions, which capital may not be available on terms acceptable to us, or at all, and which could reduce our ability to compete and could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that the combination of our existing cash and cash equivalents and cash flows from operations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common stock could decline. If we engage in additional debt financing, the holders of such debt would have priority over the holders of our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cannot maintain our company culture as we grow, we could lose the innovation, teamwork, passion, and focus on execution that we believe contribute to our success and our business may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Such risks may become more pronounced as we continue to scale our business. The technology industry has experienced widespread component shortages and delivery delays, including as a result of geopolitical tensions (including actual or threatened changes in tariffs and trade restrictions), public health crises and natural disasters. We may also experience component shortages and pricing increases from certain of our suppliers as a result of increased demand for such components.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exposed to the credit risks of certain of our customers and end-users, which could adversely impact our business, financial condition or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financing arrangements for certain of our customers and end-users to purchase our products and services. Such financing activities expose us to the credit risks of our customers and end-users and these risks may be more pronounced if our customers and end-users are negatively impacted by a global economic downturn or periods of economic uncertainty. There can be no assurance that our efforts to monitor and mitigate these credit risks will be effective. If we are unable to adequately control these risks, our business, financial condition or results of operations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 Legal, and Regulatory Matters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success of our business depends in part on our ability to protect and enforce our intellectual property rights.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Claims by others that we infringe their proprietary technology or other intellectual property rights could result in significant costs and substantially harm our business, financial condition, results of operations, and prospects.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license technology from third parties, and our inability to maintain those licenses could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and in the future will likely consider, proposals from time to time for comprehensive federal data privacy and security legislation, to which we may become subject if passed.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and create mandatory breach notification requirements under certain circumstances. While the GDPR and U.K. GDPR remain substantially similar for the time being, the U.K. government has adopted reforms to its data protection legal framework in its Data Use and Access Act 2025, which became law on June 19, 2025 (phasing in between June 2025 and June 2026) and will introduce significant changes from the GDPR. This may lead to additional compliance costs and could increase overall risk exposure as businesses may no longer be able to take a unified approach across the European Economic Area (“EEA”) and the U.K., and such businesses may need to amend their processes and procedures to align with the new framework. Implementing mechanisms to endeavor to ensure compliance with the GDPR and the U.K. GDPR may be onerous and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Legal developments in the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December 2031 unless extended or renewed and it may be revoked in the future by the European Commission if the U.K. data protection regime is reformed in ways that deviate substantially from the GDPR. The EU has also enacted legislation that would regulate non-personal data and establish new cybersecurity standards, and other countries, including the U.K., may similarly do so in the future. In particular, the EU’s Digital Services Act and the EU’s Data Act both entered into force in 2024 and impose certain content moderation, notice and transparency obligations on digital platforms and intermediaries and certain data and cloud service interoperability and switching obligations to enable users to switch between cloud service providers (as well as certain requirements concerning cross-border international transfers of non-personal data outside the EEA), respectively. Additionally, the EU’s Network and Information Security Directive II, adopted in 2023, regulates resilience and incident response capabilities of entities operating in a number of sectors, including the digital infrastructure sector and provides for EU member states to have issued implementing legislation by October 2024. Further, the EU’s Digital Operational Resiliency Act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jurisdictions in which we operate, such procedures and controls may not be effective in ensuring compliance or preventing unauthorized transfers of personal data.</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In many jurisdictions, enforcement actions and consequences for non-compliance with data privacy and security laws, rules, regulations, standards, certifications, contractual requirements or other obligations are rising. Data subjects may also have a private right of action, as well as support from consumer privacy advocates or organizations, to lodge complaints with supervisory authorities, seek judicial remedies and obtain compensation for damages resulting from violations of applicable data privacy and security laws, rules and regulations. In addition, privacy advocates and industry groups have proposed, and may propose in the future, self-regulatory standards that may legally or contractually apply to us or be alleged to apply to us. Any failure or perceived failure by us or any third parties with which we do business to comply with applicable privacy policies, data privacy or security laws, rules, regulations, standards, certifications or contractual obligations, or any compromise of security that results in unauthorized access to, or unauthorized loss, destruction, use, modification, acquisition, disclosure, release, transfer or other processing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comply with laws and regulations applicable to our business could subject us to fines and penalties and could also cause us to lose customers or negatively impact our ability to contract with customers, including those in the public sector.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new laws and regulations, or new applications of existing laws and regulations, that target topics such as AI, critical infrastructure software resiliency, digital sovereignty requirements and concentration risk. Our efforts to comply with applicable laws and regulations may increase operating costs, which could adversely affect our business and operations. Noncompliance by us, our employees, representatives, contractors, channel partners, agents, intermediaries, or other third parties with applicable regulations or requirements could subject us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investigations, enforcement actions and sanctions;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mandatory changes to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disgorgement of profits, fines and damages;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civil and criminal penalties or injunctions;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claims for damages by our customers or channel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termination of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loss of intellectual property rights;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our license to do business in the jurisdictions in which we operate;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temporary or permanent debarment from sales to government organizations.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 service in those countries.</w:t>
      </w:r>
      <w:r>
        <w:rPr>
          <w:color w:val="000000"/>
        </w:rPr>
        <w:t xml:space="preserve"> </w:t>
      </w:r>
      <w:r>
        <w:rPr>
          <w:rFonts w:ascii="Times New Roman;serif" w:hAnsi="Times New Roman;serif"/>
          <w:b w:val="false"/>
          <w:color w:val="000000"/>
          <w:sz w:val="20"/>
        </w:rPr>
        <w:t>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anti-corruption, anti-bribery and similar laws, and non-compliance with such laws can subject us to criminal penalties or significant fines and harm our business and reputation.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Some of our technology incorporates “open source” software, which could negatively affect our ability to sell our Falcon platform and subject us to possible litigation.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resulting in time-consuming and costly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diverting management’s time and attention from developing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pay monetary damages or enter into royalty and licensing agreements that we would not normally find acceptable;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causing delays in the deployment of our Falcon platform or service offerings to our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stop offering certain services or features of our Falcon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redesign certain components of our Falcon platform using alternative non-infringing or non-open source technology, which could require significant effort and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disclose our software source code and the detailed program commands for our software;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satisfy indemnification obligations to our customers.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utilize AI, which could expose us to liability or adversely affect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incorporate novel uses of AI technologies, including generative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and our operations, may result in new or enhanced governmental or regulatory scrutiny, litigation, confidentiality, ethical concerns, or other complications that could adversely affect our business, reputation, or financial results. For example, generative AI has been known to produce false or “hallucinatory” interferences or outputs,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In addition, the use of AI by other companies has resulted in, and may in the future result in, data breaches and cybersecurity incidents that implicate the personal information of AI users. Further, the use of AI presents emerging ethical, social, legal and other issues, and if we enable or offer solutions that draw scrutiny or controversy due to perceived or actual risks or impacts on customers or on society as a whole, we may experience brand or reputational harm, competitive harm, delays in customer purchasing decisions and/or legal liability. Our continued incorporation of AI, including generative AI, into our products and operations requires us to expend significant resources. If such investments do not deliver anticipated benefits or are not otherwise successful, our business and results of operations may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For example, in the EU, the first set of provisions under the EU’s AI Act became effective in February 2025, with additional provisions becoming effective on later dates.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 As further indication of a trend in increased regulatory and legislative oversight of the use and development of AI, in 2024, California enacted a range of laws regulating the use and development of AI, which generally relate to transparency, privacy and fairness, among other concerns. Other states, including Texas, Colorado and Utah, have also enacted AI-related laws, and several more have proposed enacting such laws.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Further, any content or other output created by our use of AI-powered tools may not be subject to copyright protection, which may adversely affect our ability to enforce our intellectual property rights. Because AI technology itself is highly complex and rapidly developing, it is not possible to predict all of the legal, operational or technological risks that may arise relating to the use of AI.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provide service level commitments under some of our customer contracts. If we fail to meet these contractual commitments, we could be obligated to provide credits for future service and our business could suffer.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To the extent we are unable to meet our stated service level commitments or to the extent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to the extent we suffer performance issues or downtime that exceeds the service level commitments under our agreements with our customers.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currently, and may in the future become, involved in litigation that may adversely affect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securities litigation, compliance with laws and regulatory requirements and other matters, and we may become subject to additional types of claims, suits, investigations and proceedings as our business develops or in connection with the July 19 Incident.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subject to liability claims for damages related to errors or defects in our solutions, and we are currently subject to claims, and may in the future become subject to additional claims, arising out of the July 19 Incident.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may not cover all of our indemnification obligations and they may not fully or effectively protect us from claims as a result of federal, state, or local laws or ordinances, or unfavorable judicial decisions in the United States or other countries. The sale and support of our products also entail the risk of product liability claims.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received, and may continue to receive, claims in connection with the July 19 Incident.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insurance to mitigate potential losses arising from certain claims associated with the use of our products, but our insurance coverage may not adequately cover all claims asserted against us, including our liability related to the July 19 Incident.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of our common stock may be volatile regardless of our operating performance, and you could lose all or part of your investment.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the prices at which our common stock will trade. The market price of our common stock depends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financial projections we may provide to the public, any changes in these projections or our failure to meet these projections;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by us or our competitors of new products or services or new or terminated significant contracts, commercial relationships or capital commitments;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industry or financial analyst or investor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of industry or financial analysts to maintain coverage of us, changes in financial estimates by any analysts who follow our company,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developments in our business or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rights or our solutions, or third-party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announced or completed acquisitions of businesses or technologies by us or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major changes in our management or our board of directors, particularly with respect to Mr. Kurtz;</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effects of public health crises, pandemics and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emergence of new or different information relating to the impact of the July 19 Incident;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amounts or frequency of stock repurchases;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 events or factors, including those resulting from war, incidents of terrorism or responses to these events.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We are currently party to securities litigation asserted against us arising out of the July 19 Incident. Any securities litigation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share repurchase program may not result in benefits to stockholder value.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we announced that our board of directors authorized a program under which we are authorized to repurchase up to $1.0 billion of our outstanding shares of common stock (the “Share Repurchase Program”). Such repurchases may be made from time to time using a variety of methods, including open market purchases, privately negotiated transactions and trading plans intended to qualify under Rule 10b5-1 under the Exchange Act. The Share Repurchase Program does not have a fixed expiration date and may be suspended or discontinued at any time. We are not obligated to use the Share Repurchase Program to acquire any specific amount of common stock. We intend to use the Share Repurchase Program opportunistically depending on market prices and other factors.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timing and amount of any repurchases will be subject to liquidity, market and economic conditions, any applicable restrictions under future credit facilities, compliance with applicable legal requirements, and other relevant factors. Repurchases of shares of our common stock under the Share Repurchase Program will reduce the amount of cash we have available to fund working capital, repay debt, make capital expenditures and strategic acquisitions or pursue business opportunities, and for other general corporate purposes. The Share Repurchase Program may not enhance long-term stockholder value because the market price of our common stock may decline below the levels at which we repurchased shares and short-term stock price fluctuations could reduce the effectiveness of this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substantial amounts of our common stock in the public markets, or the perception that they might occur, could reduce the price that our common stock might otherwise attain and may dilute your voting power and your ownership interest in us.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Sales of a substantial number of shares of our common stock in the public market, particularly sales by our directors, executive officers and significant stockholders, or the perception that these sales could occur, could adversely affect the market price of our common stock. As of February 28, 2026, we had</w:t>
      </w:r>
      <w:r>
        <w:rPr>
          <w:color w:val="000000"/>
        </w:rPr>
        <w:t> </w:t>
      </w:r>
      <w:r>
        <w:rPr>
          <w:rFonts w:ascii="Times New Roman;serif" w:hAnsi="Times New Roman;serif"/>
          <w:b w:val="false"/>
          <w:color w:val="000000"/>
          <w:sz w:val="20"/>
        </w:rPr>
        <w:t>253,614,090 shares of Class A common stock outstanding.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issue our shares of common stock or securities convertible into shares of our common stock from time to time in connection with a financing, acquisition, investments or otherwise. Any such issuance could result in substantial dilution to our existing stockholders and cause the market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industry or financial analysts do not publish research or reports about our business, or if they issue inaccurate or unfavorable research regarding our common stock, our stock price and trading volume could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As a result, your ability to achieve a return on your investment will depend on appreciation in the price of our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may become limited by restrictions on our ability to pay dividends or make distributions under the terms of any future credit facility. Accordingly, investors must rely on sales of their common stock after price appreciation, which may never occur, as the only way to realize any future gains on their investments.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certain amendments to our amended and restated certificate of incorporation require the approval of two-thirds of the then-outstanding voting power of our capital stock;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may prohibit large stockholders, in particular those owning 15% or more of our outstanding voting stock, from merging or combining with us for a certain period of time.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the Court of Chancery of the State of Delaware is the exclusive forum for: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to interpret, apply, enforce or determine the validity of our amended and restated certificate of incorporation or our amended and restated bylaws;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indebtedness could adversely affect our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January 31, 2026, we had $750.0 million principal amount of indebtedness outstanding (excluding intercompany indebtedness). Our indebtedness could have important consequences,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our ability to obtain additional financing to fund future working capital, capital expenditures,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a portion of our cash flows to be dedicated to debt service payments instead of other purposes, thereby reducing the amount of cash flows available for working capital, capital expenditures, acquisitions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increasing our vulnerability to adverse changes in general economic, industry and competitive conditions;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increasing our cost of borrowing.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generate sufficient cash to service all of our indebtedness, including the Senior Notes, and may be forced to take other actions to satisfy our obligations under our indebtedness, which may not be successful.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Senior Notes.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cannot make scheduled payments on our indebtedness, we will be in default and holders of our Senior Notes could declare all outstanding principal and interest to be due and payable. Such a default could result in material adverse consequences that negatively impact our business, the market price for our common stock, and our ability to obtain financing in the future. If we breach the covenants under our debt instruments, we would be in default under such instruments. The holders of such indebtedness could exercise their rights, as described above, and we could be forced into bankruptcy or liquidation.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indenture that governs our Senior Notes contains, and future credit agreements may contain, terms which restrict our current and future operations, particularly our ability to respond to changes or to take certain actions.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that governs our Senior Notes contains a number of restrictive covenants that impose significant operating and financial restrictions on us and may limit our ability to engage in acts that may be in our long-term best interest, including, among other things, restrictions on our ability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additional indebtedness and guarantee indebtedness;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prepay, redeem or repurchase certain indebtedness;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sell or otherwise dispose of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liens;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enter into transactions with affiliates;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alter the businesses we conduct;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enter into agreements restricting our subsidiaries’ ability to pay dividends;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consolidate, merge with, or sell all or substantially all of our assets to, another person.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covenants in the indenture and supplemental indenture that govern the Senior Notes are subject to exceptions and qualifications.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our ability to produce timely and accurate financial statements or comply with applicable regulations could be impaired.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to maintain effective disclosure controls and internal control over financial reporting could have a material and adverse effect on our business and results of operations and could cause a decline in the price of our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we have in the past made,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risks we may face in connection with acquisitions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management time and focus from operating our business to addressing acquisition integration challenges;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coordination of research and development and sales and marketing functions;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integration of administrative systems, employee, product and service offerings;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retention of key employees from the acquired company;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relationships with strategic partners as a result of product acquisitions or strategic positioning resulting from the acquisition;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need to implement or improve controls, procedures, and policies at a business that prior to the acquisition may have lacked sufficiently effective controls, procedures and policies;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additional legal, regulatory or compliance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financial reporting, revenue recognition or other financial or control deficiencies of the acquired company that we do not adequately address and that cause our reported results to be incorrect;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liability for activities of the acquired company before the acquisition, including intellectual property infringement claims, violations of laws, commercial disputes, tax liabilities and other known and unknown liabilities;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litigation or other claims in connection with the acquired company, including claims from terminated employees, customers, former stockholders or other third parties.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sustained, we could be required to pay additional taxes, interest and penalties, which could result in one-time tax charges, higher effective tax rates, reduced cash flows and lower overall profitability of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tax reform legislation included in the One Big Beautiful Bill Act (the “OBBBA”) was enacted in the United States. The tax effects of the OBBBA have been accounted for in the second quarter of the fiscal year 2026. The OBBBA includes significant corporate tax reforms, including (i) the permanent reinstatement of deducting domestic research and development expenditures as incurred beginning in fiscal 2026 (under prior law such expenditures were capitalized and amortized over five years); (ii) the option to claim 100% accelerated depreciation deductions on qualified property; and (iii) international tax provisions modifying global intangible low-taxed income (“GILTI”), foreign-derived intangible income (“FDII”), and base erosion and anti-abuse tax (“BEAT”).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2024 and, with respect to certain components of the plan, to 2025. Under Pillar Two, the Inclusive Framework has agreed on a global minimum corporate tax rate of 15% for companies with revenue above €750 million, calculated on a jurisdictional basis. The European Union and other countries (including those in which we operate) have enacted or committed to enact Pillar Two into their domestic laws, which may adversely impact our provision for income taxes, existing tax incentives, net income and cash flows.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On January 20, 2025, the Trump Administration issued an executive order declaring the Inclusive Framework has no force or effect in the U.S. absent congressional action, and directing the U.S. Department of Treasury to: (i) investigate whether any non-U.S. countries are not in compliance with any U.S. tax treaty or have implemented or are likely to implement tax rules that are extraterritorial or disproportionately affect U.S. companies, which may include actions or taxes imposed under Pillar One or Pillar Two, and (ii) develop options for “protective measures” in response to any such noncompliance or tax rules. On June 28, 2025, the United States and the rest of G7 countries announced a</w:t>
      </w:r>
      <w:r>
        <w:rPr>
          <w:color w:val="000000"/>
        </w:rPr>
        <w:t xml:space="preserve"> </w:t>
      </w:r>
      <w:r>
        <w:rPr>
          <w:rFonts w:ascii="Times New Roman;serif" w:hAnsi="Times New Roman;serif"/>
          <w:b w:val="false"/>
          <w:color w:val="000000"/>
          <w:sz w:val="20"/>
        </w:rPr>
        <w:t>Side by Side (“SbS”) agreement that would, in principle, exclude U.S. parented groups from certain taxes under Pillar Two and address certain risks of base erosion and profit shifting, with the OECD publishing Administrative Guidance with respect to this on January 5, 2026. While the Administrative Guidance has approved the U.S. tax system as a “Qualified SbS Jurisdiction” (such that, for fiscal years commencing on or after January 1, 2026, U.S.-headquartered multinational enterprises may elect for the SbS safe harbor, which effectively deems the top-up tax for a jurisdiction to be zero for the purposes of the “income inclusion rules” and “under taxed profits rules”), we cannot predict whether or when such agreement will be brought into force, and whether the United States will adopt any other protective measures, including with respect to any taxes imposed under Pillar One, or whether or how any non-U.S. countries may change their tax laws, including with respect to Pillar One or Pillar Two, in response to the executive order, the agreement in principle (including the Administrative Guidance) described above, or otherwise.</w:t>
      </w:r>
      <w:r>
        <w:rPr>
          <w:color w:val="000000"/>
        </w:rPr>
        <w:t xml:space="preserve"> </w:t>
      </w:r>
      <w:r>
        <w:rPr>
          <w:rFonts w:ascii="Times New Roman;serif" w:hAnsi="Times New Roman;serif"/>
          <w:b w:val="false"/>
          <w:color w:val="000000"/>
          <w:sz w:val="20"/>
        </w:rPr>
        <w:t xml:space="preserve">In addition, the Inclusive Framework envisages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i/>
          <w:color w:val="000000"/>
          <w:sz w:val="20"/>
        </w:rPr>
        <w:t>Our ability to use our net operating loss carryforwards and certain other tax attributes may be limited.</w:t>
      </w:r>
      <w:r>
        <w:rPr>
          <w:color w:val="EE2724"/>
        </w:rPr>
        <w:t xml:space="preserve">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January 31, 2026, we had aggregate U.S federal and California net operating loss carryforwards of $2.6 billion and $417.4 million, respectively, which may be available to offset future taxable income for income tax purposes. The federal net operating losses are carried forward indefinitely, and California net operating loss carryforwards begin to expire in fiscal 2034 through fiscal 2046. As of January 31, 2026, net operating loss carryforwards for other states totaled $998.3 million, which begin to expire in fiscal 2027 through fiscal 2046. As of January 31, 2026, net operating loss carryforwards for the U.K. totaled $84.2 million, which are carried forward indefinitely, and net operating loss carryforwards totaled immaterial amounts in certain foreign jurisdictions. As of January 31, 2026, we had U.S federal and California research and development (“R&amp;D”) credit carryforwards of $227.0 million and $59.8 million, respectively. The federal R&amp;D credit carryforwards begin to expire in fiscal 2037 though fiscal 2046. The California R&amp;D credits are carried forward indefinitely. Realization of these net operating loss and R&amp;D credit carryforwards depends on future income, and there is a risk that our existing carryforwards could expire unused and be unavailable to offset future income tax liabilities, which could adversely affect our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risks associated with our equity investments, including partial or complete loss of invested capital, and significant changes in the fair value of this portfolio could adversely impact our financial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Expectations regarding our efforts and performance relating to corporate responsibility factors have imposed and may impose additional costs on us and expose us to risks.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Governmental authorities, certain investors, and other stakeholders continue to focus on, set and revise, expectations relating to corporate responsibility matters, both in the United States and internationally. Such expectations are evolving and may be contradictory. Our actions, undertakings and decisions in connection with corporate responsibility and/or sustainability-related initiatives, goals, or commitments, including whether to pursue them, and/or the extent to which we achieve them, may be challenged and could harm our reputation, adversely impact our ability to attract and retain employees or customers and expose us to increased scrutiny from investors, governmental authorities and others, or subject us to liability. Additionally, compliance with current or future legal requirements or stakeholder expectations regarding corporate responsibility and/or sustainability matters, including disclosure and reporting obligations, may result in increased costs and legal and operational risks. For example, the proliferation of regulations and guidance addressing corporate responsibility topics at various government levels has required and may continue to require significant effort and resources, and our efforts may not ensure compliance with evolving standards. Any such damage to our reputation, adverse impact to our ability to attract and retain employees or customers, increased scrutiny, exposure to liability and increased compliance costs may adversely impact our business, financial condition, or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provider of cybersecurity solutions, we are passionate about cybersecurity risk management. At CrowdStrike, cybersecurity risk management is an integral part of our overall enterprise risk management program.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risk management program, which includes data privacy, product security, and information security, is designed to align with our industry’s best practices. Our program provides a framework for identifying, monitoring, evaluating, and responding to cybersecurity threats and incidents, including those associated with our use of software, applications, services, and cloud infrastructure developed or provided by third-party vendors and service providers. This framework includes steps for identifying the source of a cybersecurity threat or incident, including whether such cybersecurity threat or incident is associated with a third-party vendor or service provider, assessing the severity and risk of a cybersecurity threat or incident, implementing cybersecurity countermeasures and mitigation or remediation strategies, and informing management and the audit committee of our Board of Directors (the “Audit Committee”) of material cybersecurity threats and incidents.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cybersecurity team is responsible for assessing our cybersecurity risk management program and our incident response plan, which we regularly test through table-top exercises, and testing of our security protocols through additional techniques, such as penetration testing. In addition, we regularly engage independent third-party auditors to evaluate our compliance with various security compliance standards. We also conduct internal annual assessments of our cybersecurity risk management program. We review or update our cybersecurity policies, standards and procedures annually, or more frequently as needed, to account for changes in the threat landscape, as well as in response to legal and regulatory developments. Our cybersecurity efforts also include mandatory training for all employees and contractors on CrowdStrike’s security and privacy policies. We also have a clearly defined acceptable use policy, and we require employees to certify to it. We also require employees to certify their adherence to our code of conduct. We also periodically send our employees simulated phishing emails to test their compliance with our policies. Although we have continued to invest in our diligence, onboarding, and monitoring capabilities over our critical third parties, including our third-party vendors and service providers, our control over the security posture of our critical third parties is limited, and there can be no assurance that we can prevent or mitigate the risk of any compromise or failure in the information assets owned or controlled by such third parties.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cross-functional incident response team, comprised of representatives from information technology, information security, product security, engineering, privacy and legal, is responsible for the monitoring and disposition of potential occurrences such as data breaches, intrusions, and other security incidents and implementing our detailed incident response plan. Our incident response plan includes processes and procedures for assessing potential internal and external threats, activation and notification, crisis management, and post-incident recovery designed to safeguard the confidentiality, availability, and integrity of our information assets.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fiscal 2026, we did not identify any cybersecurity threats or incidents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 Risks Related to Our Business and Industry” in this annual report on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oversight responsibility for our overall enterprise risk management, and has delegated cybersecurity risk management oversight to the Audit Committee. The Audit Committee is responsible for ensuring that management (i) has policies, processes, and procedures designed to identify, monitor, evaluate, and respond to cybersecurity risks to which the company is exposed and (ii) takes steps to mitigate or remediate cybersecurity risks, threats and incidents, including monitoring the activities of the cybersecurity team and reviewing and updating our cybersecurity policies, processes and procedures. The Audit Committee also reports material cybersecurity incidents to our full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is responsible for day-to-day risk management activities, including identifying and assessing cybersecurity risks, establishing processes to ensure that potential cybersecurity risk exposures are monitored, implementing appropriate mitigation or remediation measures and maintaining cybersecurity programs. Our cybersecurity programs are under the direction of our Chief Information Security Officer (“CISO”). Our CISO and dedicated personnel are certified and experienced information systems security professionals and information security managers with many years of experience across a variety of technology sub-specialties.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CISO receives reports from our cybersecurity team and monitors the prevention, detection, and mitigation or remediation of cybersecurity risks. Management, including the CISO, regularly updates the Audit Committee and the Board of Directors on the Company’s cybersecurity programs, material cybersecurity risks, and mitigation or remediation strategies.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occupy approximately 47,618 square feet in Austin, Texas under a lease that expires in 2030. We also lease office space for our operations in various locations throughout the United States as well as office space in a number of countries in Europe, the Middle East, and the Asia-Pacific region.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facilities are sufficient for our current needs. In the future, we may need to add new facilities and expand our existing facilities as we add employees, grow our infrastructure and evolve our business. We believe that suitable additional or substitute space will be available on commercially reasonable terms to meet our future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asserted against us, including in relation to the July 19 Incident, see Note 10, Commitments and Contingencies, in Part II, Item 8 of this Annual Report on Form 10-K.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any claims for which we believe a liability is both probable and reasonably estimable, we record a liability in the period in which we make this determination. Other than as disclosed in Note 10, there is no pending or threatened legal proceeding to which we are a party that, in our opinion, is likely to have a material adverse effect on our business and our consolidated financial statements; however, the results of legal proceedings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been listed and traded on the Nasdaq Global Select Market under the symbol “CRWD” since June 12, 2019. Prior to that date, there was no public market for our Class A common stock. On December 11, 2024, all of our outstanding shares of Class B common stock automatically converted into an equal number of shares of Class A common stock pursuant to the provisions of the Amended and Restated Certificate of Incorporation.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January 31, 2026, we had 82 holders of record of our Class A common stock and zero holders of record of our Class B common stock. The actual number of stockholders is greater than this number of record holders and includes stockholders who are beneficial owners but whose shares are held in street name by brokers and other nominees.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all available funds and any future earnings for use in the operation of our business and do not expect to pay any dividends on our capital stock in the foreseeable future. Additionally, our ability to pay dividends may become limited by restrictions on our ability to pay dividends or make distributions under the terms of any future credit facility. Any future determination to declare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with respect to our equity compensation plans is incorporated by reference to our Proxy Statement for the 2026 Annual Meeting of Stockholders to be filed with the Securities and Exchange Commission within 120 days of the fiscal year ended January 31,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Sales of Unregistered Equity Securities and Use of Proceeds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 Sale of Unregistered Equity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 Use of Proceeds from Public Offering of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CrowdStrike Holdings, Inc. under the Securities Act or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presented below the cumulative total return to our stockholders for the five years ended January 31, 2026 in comparison to the Standard &amp; Poor’s 500 Index, Standard &amp; Poor Information Technology Index, and the Nasdaq 100 Index. All values assume a $100 initial investment and data for the Standard &amp; Poor’s 500 Index, Standard &amp; Poor Information Technology Index and the Nasdaq 100 Index assume reinvestment of dividends. The comparisons are based on historical data and are not indicative of, nor intended to forecast, the future performance of our common stock.</w:t>
      </w:r>
    </w:p>
    <w:p>
      <w:pPr>
        <w:pStyle w:val="TextBody"/>
        <w:bidi w:val="0"/>
        <w:spacing w:before="240" w:after="283"/>
        <w:ind w:left="0" w:right="0" w:firstLine="360"/>
        <w:jc w:val="center"/>
        <w:rPr/>
      </w:pPr>
      <w:r>
        <w:rPr/>
        <w:drawing>
          <wp:inline distT="0" distB="0" distL="0" distR="0">
            <wp:extent cx="6286500" cy="5257800"/>
            <wp:effectExtent l="0" t="0" r="0" b="0"/>
            <wp:docPr id="6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 descr=""/>
                    <pic:cNvPicPr>
                      <a:picLocks noChangeAspect="1" noChangeArrowheads="1"/>
                    </pic:cNvPicPr>
                  </pic:nvPicPr>
                  <pic:blipFill>
                    <a:blip r:embed="rId2"/>
                    <a:stretch>
                      <a:fillRect/>
                    </a:stretch>
                  </pic:blipFill>
                  <pic:spPr bwMode="auto">
                    <a:xfrm>
                      <a:off x="0" y="0"/>
                      <a:ext cx="6286500" cy="5257800"/>
                    </a:xfrm>
                    <a:prstGeom prst="rect">
                      <a:avLst/>
                    </a:prstGeom>
                  </pic:spPr>
                </pic:pic>
              </a:graphicData>
            </a:graphic>
          </wp:inline>
        </w:drawing>
      </w:r>
      <w:bookmarkStart w:id="0" w:name="i-1"/>
      <w:bookmarkEnd w:id="0"/>
    </w:p>
    <w:tbl>
      <w:tblPr>
        <w:tblW w:w="12228" w:type="dxa"/>
        <w:jc w:val="center"/>
        <w:tblInd w:w="0" w:type="dxa"/>
        <w:tblLayout w:type="fixed"/>
        <w:tblCellMar>
          <w:top w:w="28" w:type="dxa"/>
          <w:left w:w="28" w:type="dxa"/>
          <w:bottom w:w="28" w:type="dxa"/>
          <w:right w:w="28" w:type="dxa"/>
        </w:tblCellMar>
      </w:tblPr>
      <w:tblGrid>
        <w:gridCol w:w="499"/>
        <w:gridCol w:w="320"/>
        <w:gridCol w:w="322"/>
        <w:gridCol w:w="109"/>
        <w:gridCol w:w="109"/>
        <w:gridCol w:w="109"/>
        <w:gridCol w:w="109"/>
        <w:gridCol w:w="109"/>
        <w:gridCol w:w="109"/>
        <w:gridCol w:w="109"/>
        <w:gridCol w:w="109"/>
        <w:gridCol w:w="109"/>
        <w:gridCol w:w="109"/>
        <w:gridCol w:w="109"/>
        <w:gridCol w:w="109"/>
        <w:gridCol w:w="109"/>
        <w:gridCol w:w="109"/>
        <w:gridCol w:w="109"/>
        <w:gridCol w:w="109"/>
        <w:gridCol w:w="109"/>
        <w:gridCol w:w="211"/>
        <w:gridCol w:w="721"/>
        <w:gridCol w:w="109"/>
        <w:gridCol w:w="109"/>
        <w:gridCol w:w="109"/>
        <w:gridCol w:w="109"/>
        <w:gridCol w:w="109"/>
        <w:gridCol w:w="109"/>
        <w:gridCol w:w="109"/>
        <w:gridCol w:w="109"/>
        <w:gridCol w:w="109"/>
        <w:gridCol w:w="109"/>
        <w:gridCol w:w="211"/>
        <w:gridCol w:w="721"/>
        <w:gridCol w:w="109"/>
        <w:gridCol w:w="109"/>
        <w:gridCol w:w="109"/>
        <w:gridCol w:w="109"/>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Base Period 1/31/2021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1/31/26</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Information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consolidated financial statements and related notes thereto included in Item 8 “Financial Statements and Supplementary Data” in this Annual Report on Form 10-K. This section of this Form 10-K generally discusses fiscal 2026 and 2025 items and year-over-year comparisons between fiscal 2026 and 2025. Discussions of fiscal 2024 items and year-over-year comparisons between fiscal 2025 and 2024 are not included in this Form 10-K, and can be found in “Management’s Discussion and Analysis of Financial Condition and Results of Operations” in Part II, Item 7 of our Annual Report on Form 10-K for the fiscal year ended January 31, 2025. As discussed in Note 1 and Note 16 to the Consolidated Financial Statements included in this report, the Company revised its fiscal 2025 and 2024 financial results to correct for an immaterial error discovered during the fourth quarter of fiscal 2026. The revisions are intended to ensure comparability across all periods reflected herein. Some of the information contained in this discussion and analysis or set forth elsewhere in this Annual Report on Form 10-K, including information with respect to our plans and strategy for our business, includes forward-looking statements that involve risks and uncertainties, including those described under the heading “Special Note Regarding Forward-Looking Statements.” You should review the disclosure under Part I, Item 1A, “Risk Factors” in this Annual Report on Form 10-K for a discussion of important factors that could cause actual results to differ materially from the results described in or implied by the forward-looking statements contained in the following discussion and analysis. Our fiscal years ended January 31, 2026, January 31, 2025, and January 31, 2024, are referred to herein as fiscal 2026, fiscal 2025, and fiscal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platform – the first, true cloud-native unified platform built with artificial intelligence (“AI”) at the core, capable of harnessing vast amounts of security and enterprise data to deliver highly modular solutions through a single lightweight sensor.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approach has defined a new category called the Security Cloud, which has transformed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Our Go-To-Market Strategy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substantial majority of our customers purchase subscriptions with a term over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Certain Factors Affecting Our Performance</w:t>
      </w:r>
    </w:p>
    <w:p>
      <w:pPr>
        <w:pStyle w:val="TextBody"/>
        <w:bidi w:val="0"/>
        <w:spacing w:lineRule="auto" w:line="288" w:before="240" w:after="283"/>
        <w:ind w:left="0" w:right="0" w:firstLine="360"/>
        <w:jc w:val="left"/>
        <w:rPr/>
      </w:pPr>
      <w:r>
        <w:rPr>
          <w:rFonts w:ascii="Times New Roman;serif" w:hAnsi="Times New Roman;serif"/>
          <w:b/>
          <w:i/>
          <w:color w:val="000000"/>
          <w:sz w:val="20"/>
        </w:rPr>
        <w:t xml:space="preserve">Adoption of Our Solutions. </w:t>
      </w:r>
      <w:r>
        <w:rPr>
          <w:rFonts w:ascii="Times New Roman;serif" w:hAnsi="Times New Roman;serif"/>
          <w:b w:val="false"/>
          <w:color w:val="000000"/>
          <w:sz w:val="20"/>
        </w:rPr>
        <w:t>We believe our future success depends in large part on the growth in the market for cloud-based SaaS-delivered 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pStyle w:val="TextBody"/>
        <w:bidi w:val="0"/>
        <w:spacing w:lineRule="auto" w:line="288" w:before="240" w:after="283"/>
        <w:ind w:left="0" w:right="0" w:firstLine="360"/>
        <w:jc w:val="left"/>
        <w:rPr/>
      </w:pPr>
      <w:r>
        <w:rPr>
          <w:rFonts w:ascii="Times New Roman;serif" w:hAnsi="Times New Roman;serif"/>
          <w:b/>
          <w:i/>
          <w:color w:val="000000"/>
          <w:sz w:val="20"/>
        </w:rPr>
        <w:t xml:space="preserve">New Customer Acquisition. </w:t>
      </w:r>
      <w:r>
        <w:rPr>
          <w:rFonts w:ascii="Times New Roman;serif" w:hAnsi="Times New Roman;serif"/>
          <w:b w:val="false"/>
          <w:color w:val="000000"/>
          <w:sz w:val="20"/>
        </w:rPr>
        <w:t>Our future growth depends in large part on our ability to acquire new customers. If our efforts to attract new 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pStyle w:val="TextBody"/>
        <w:bidi w:val="0"/>
        <w:spacing w:lineRule="auto" w:line="288" w:before="240" w:after="283"/>
        <w:ind w:left="0" w:right="0" w:firstLine="360"/>
        <w:jc w:val="left"/>
        <w:rPr/>
      </w:pPr>
      <w:r>
        <w:rPr>
          <w:rFonts w:ascii="Times New Roman;serif" w:hAnsi="Times New Roman;serif"/>
          <w:b/>
          <w:i/>
          <w:color w:val="000000"/>
          <w:sz w:val="20"/>
        </w:rPr>
        <w:t xml:space="preserve">Maintain Customer Retention and Increase Sales. </w:t>
      </w:r>
      <w:r>
        <w:rPr>
          <w:rFonts w:ascii="Times New Roman;serif" w:hAnsi="Times New Roman;serif"/>
          <w:b w:val="false"/>
          <w:color w:val="000000"/>
          <w:sz w:val="20"/>
        </w:rPr>
        <w:t xml:space="preserve">Our ability to increase revenue depends in large part on our ability to retain our existing customers and increase the size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 </w:t>
      </w:r>
    </w:p>
    <w:p>
      <w:pPr>
        <w:pStyle w:val="TextBody"/>
        <w:bidi w:val="0"/>
        <w:spacing w:lineRule="auto" w:line="288" w:before="240" w:after="283"/>
        <w:ind w:left="0" w:right="0" w:firstLine="360"/>
        <w:jc w:val="left"/>
        <w:rPr/>
      </w:pPr>
      <w:r>
        <w:rPr>
          <w:rFonts w:ascii="Times New Roman;serif" w:hAnsi="Times New Roman;serif"/>
          <w:b/>
          <w:i/>
          <w:color w:val="000000"/>
          <w:sz w:val="20"/>
        </w:rPr>
        <w:t xml:space="preserve">Invest in Growth. </w:t>
      </w:r>
      <w:r>
        <w:rPr>
          <w:rFonts w:ascii="Times New Roman;serif" w:hAnsi="Times New Roman;serif"/>
          <w:b w:val="false"/>
          <w:color w:val="000000"/>
          <w:sz w:val="20"/>
        </w:rPr>
        <w:t>We believe that our market opportunity is large and requires us to continue to invest significantly in sales and marketing efforts 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w:t>
      </w:r>
    </w:p>
    <w:p>
      <w:pPr>
        <w:pStyle w:val="TextBody"/>
        <w:bidi w:val="0"/>
        <w:spacing w:lineRule="auto" w:line="288" w:before="240" w:after="283"/>
        <w:ind w:left="0" w:right="0" w:firstLine="360"/>
        <w:jc w:val="left"/>
        <w:rPr/>
      </w:pPr>
      <w:r>
        <w:rPr>
          <w:rFonts w:ascii="Times New Roman;serif" w:hAnsi="Times New Roman;serif"/>
          <w:b/>
          <w:i/>
          <w:color w:val="000000"/>
          <w:sz w:val="20"/>
        </w:rPr>
        <w:t>July 19 Incident</w:t>
      </w:r>
      <w:r>
        <w:rPr>
          <w:rFonts w:ascii="Times New Roman;serif" w:hAnsi="Times New Roman;serif"/>
          <w:b w:val="false"/>
          <w:color w:val="000000"/>
          <w:sz w:val="20"/>
        </w:rPr>
        <w:t>. On July 19, 2024, we released a content configuration update for our Falcon sensor that resulted in system crashes for certain Windows systems (the “July 19 Incident”). As a result of the July 19 Incident, we are subject to lawsuits, claims and inquiries as described in Note 10, Commitments and Contingencies, in Part II, Item 8 of this Annual Report on Form 10-K</w:t>
      </w:r>
      <w:r>
        <w:rPr>
          <w:rFonts w:ascii="Times New Roman;serif" w:hAnsi="Times New Roman;serif"/>
          <w:b w:val="false"/>
          <w:color w:val="000000"/>
          <w:sz w:val="24"/>
        </w:rPr>
        <w:t xml:space="preserve">. </w:t>
      </w:r>
      <w:r>
        <w:rPr>
          <w:rFonts w:ascii="Times New Roman;serif" w:hAnsi="Times New Roman;serif"/>
          <w:b w:val="false"/>
          <w:color w:val="000000"/>
          <w:sz w:val="20"/>
        </w:rPr>
        <w:t>We have incurred, and expect to continue to incur, significant legal and professional services and other general and administrative expenses associated with the July 19 Incident in future periods. It is not reasonably possible to quantify the precise impact of the July 19 Incident, but the incident has adversely affected our results of operations, and we currently expect a number of factors relating to the incident to adversely affect our key metrics and results of operations in future periods. While we have maintained high dollar-based gross retention rates following the incident, we have experienced delays in creating sales opportunities and longer sales cycles, including delays in customer purchasing decisions. Sales cycles may be elongated in future periods. In addition, because our customers typically sign contracts with terms over one year, customer churn and any corresponding impact to our key metrics and revenue may occur in future periods. Customer commitment packages introduced following the July 19 Incident have included discounting, additional modules, professional services, flexible payment terms or subscription period extensions. Our customer commitment packages have resulted, and are expected to continue to result, in increased contraction, due to elongated subscription terms, and decreased upsell dollar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Key Metrics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monitor the following key metrics to help us evaluate our business, identify trends affecting our business, formulate business plans, and make strategic decisions.</w:t>
      </w:r>
    </w:p>
    <w:p>
      <w:pPr>
        <w:pStyle w:val="TextBody"/>
        <w:bidi w:val="0"/>
        <w:spacing w:lineRule="auto" w:line="288" w:before="240" w:after="283"/>
        <w:ind w:left="0" w:right="0" w:firstLine="360"/>
        <w:jc w:val="left"/>
        <w:rPr/>
      </w:pPr>
      <w:r>
        <w:rPr>
          <w:rFonts w:ascii="Times New Roman;serif" w:hAnsi="Times New Roman;serif"/>
          <w:b/>
          <w:i/>
          <w:color w:val="000000"/>
          <w:sz w:val="20"/>
        </w:rPr>
        <w:t>Annual Recurring Revenue (</w:t>
      </w:r>
      <w:r>
        <w:rPr>
          <w:color w:val="000000"/>
        </w:rPr>
        <w:t>“</w:t>
      </w:r>
      <w:r>
        <w:rPr>
          <w:rFonts w:ascii="Times New Roman;serif" w:hAnsi="Times New Roman;serif"/>
          <w:b/>
          <w:i/>
          <w:color w:val="000000"/>
          <w:sz w:val="20"/>
        </w:rPr>
        <w:t>ARR</w:t>
      </w:r>
      <w:r>
        <w:rPr>
          <w:color w:val="000000"/>
        </w:rPr>
        <w:t>”</w:t>
      </w:r>
      <w:r>
        <w:rPr>
          <w:rFonts w:ascii="Times New Roman;serif" w:hAnsi="Times New Roman;serif"/>
          <w:b/>
          <w:i/>
          <w:color w:val="000000"/>
          <w:sz w:val="20"/>
        </w:rPr>
        <w: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ARR as of the dates presented (dollars in thousands):</w:t>
      </w:r>
    </w:p>
    <w:tbl>
      <w:tblPr>
        <w:tblW w:w="5101" w:type="dxa"/>
        <w:jc w:val="left"/>
        <w:tblInd w:w="0" w:type="dxa"/>
        <w:tblLayout w:type="fixed"/>
        <w:tblCellMar>
          <w:top w:w="28" w:type="dxa"/>
          <w:left w:w="28" w:type="dxa"/>
          <w:bottom w:w="28" w:type="dxa"/>
          <w:right w:w="28" w:type="dxa"/>
        </w:tblCellMar>
      </w:tblPr>
      <w:tblGrid>
        <w:gridCol w:w="793"/>
        <w:gridCol w:w="696"/>
        <w:gridCol w:w="701"/>
        <w:gridCol w:w="222"/>
        <w:gridCol w:w="267"/>
        <w:gridCol w:w="664"/>
        <w:gridCol w:w="114"/>
        <w:gridCol w:w="114"/>
        <w:gridCol w:w="114"/>
        <w:gridCol w:w="222"/>
        <w:gridCol w:w="267"/>
        <w:gridCol w:w="664"/>
        <w:gridCol w:w="109"/>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January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recurring 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5,252,751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4,241,838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growth</w:t>
            </w:r>
          </w:p>
        </w:tc>
        <w:tc>
          <w:tcPr>
            <w:tcW w:w="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ARR increased 24% year-over-year and grew to $5.3 billion as of January 31, 2026, of which $1.0 billion was net new ARR added during fiscal 2026. ARR increased 23% year-over-year and grew to $4.2 billion as of January 31, 2025, of which $806.7 million was net new ARR added during fiscal 2025.</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Dollar-Based Net Retention 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dollar-based net retention rate can fluctuate from period to period due to large customer contracts in a given period and incentives provided, which may reduce our dollar-based net retention rate in subsequent periods. In addition, if our customers are not able to fully utilize their product subscriptions (including in connection with our flexible subscription offering), we may experience increased contraction as such customers may elect to renew with shorter subscription periods, fewer cloud modules, fewer endpoints or smaller contract values, which may reduce our dollar-based net retention rate.</w:t>
      </w:r>
    </w:p>
    <w:tbl>
      <w:tblPr>
        <w:tblW w:w="4830" w:type="dxa"/>
        <w:jc w:val="left"/>
        <w:tblInd w:w="0" w:type="dxa"/>
        <w:tblLayout w:type="fixed"/>
        <w:tblCellMar>
          <w:top w:w="28" w:type="dxa"/>
          <w:left w:w="28" w:type="dxa"/>
          <w:bottom w:w="28" w:type="dxa"/>
          <w:right w:w="28" w:type="dxa"/>
        </w:tblCellMar>
      </w:tblPr>
      <w:tblGrid>
        <w:gridCol w:w="935"/>
        <w:gridCol w:w="821"/>
        <w:gridCol w:w="823"/>
        <w:gridCol w:w="241"/>
        <w:gridCol w:w="225"/>
        <w:gridCol w:w="330"/>
        <w:gridCol w:w="132"/>
        <w:gridCol w:w="132"/>
        <w:gridCol w:w="132"/>
        <w:gridCol w:w="241"/>
        <w:gridCol w:w="225"/>
        <w:gridCol w:w="330"/>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January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Dollar-based net retention rate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Subscription Revenue. </w:t>
      </w:r>
      <w:r>
        <w:rPr>
          <w:rFonts w:ascii="Times New Roman;serif" w:hAnsi="Times New Roman;serif"/>
          <w:b w:val="false"/>
          <w:color w:val="000000"/>
          <w:sz w:val="20"/>
        </w:rPr>
        <w:t>Subscription revenue primarily consists of subscription fees for our Falcon platform and additional cloud modules that are 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We generally invoice our subscription customers at the beginning of the subscription term, or in some instances, such as in multi-year arrangements, in installments. Consequently, a substantial portion of the revenue that we report in each period is attributable to the recognition of deferred revenue relating to subscriptions that we entered into during previous periods.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Professional Services Revenue. </w:t>
      </w:r>
      <w:r>
        <w:rPr>
          <w:rFonts w:ascii="Times New Roman;serif" w:hAnsi="Times New Roman;serif"/>
          <w:b w:val="false"/>
          <w:color w:val="000000"/>
          <w:sz w:val="20"/>
        </w:rPr>
        <w:t>Professional services revenue includes incident response and proactive services, forensic and malware analysis, attribution analysis, operationalizing the Falcon Platform, residency program, and active defense services.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Subscription Cost of Revenue. </w:t>
      </w:r>
      <w:r>
        <w:rPr>
          <w:rFonts w:ascii="Times New Roman;serif" w:hAnsi="Times New Roman;serif"/>
          <w:b w:val="false"/>
          <w:color w:val="000000"/>
          <w:sz w:val="20"/>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Professional Services Cost of Revenue. </w:t>
      </w:r>
      <w:r>
        <w:rPr>
          <w:rFonts w:ascii="Times New Roman;serif" w:hAnsi="Times New Roman;serif"/>
          <w:b w:val="false"/>
          <w:color w:val="000000"/>
          <w:sz w:val="20"/>
        </w:rPr>
        <w:t>Professional services cost of revenue consists primarily of employee-related costs, such as salaries and bonuses, stock-based compensation expense, consulting expense, and an allocated portion of facilities and administrative costs.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as we grow our business,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sales and marketing, research and development, and general administrative expenses. For each of these categories of expense, employee-related expenses are the most significant component, which include salaries,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employee bonuses, sales commissions, and employer payroll tax. Operating expenses also include an allocated portion of overhead costs for facilities and other administrative functions.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Sales and Marketing. </w:t>
      </w:r>
      <w:r>
        <w:rPr>
          <w:rFonts w:ascii="Times New Roman;serif" w:hAnsi="Times New Roman;serif"/>
          <w:b w:val="false"/>
          <w:color w:val="000000"/>
          <w:sz w:val="20"/>
        </w:rPr>
        <w:t>Sales and marketing expenses primarily consist of employee-related expenses such as salaries, commissions, and bonuses. Sales and marketing expenses also include stock-based compensation; expenses related to our marketing programs; and an allocated portion of facilities and administrative expenses. Sales and marketing expenses also include the amortization of deferred contract acquisition costs, which includes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as we grow our business, although our sales and marketing expenses may fluctuate as a percentage of our total revenue from period to period depending on the timing of these expenses.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Research and Development. </w:t>
      </w:r>
      <w:r>
        <w:rPr>
          <w:rFonts w:ascii="Times New Roman;serif" w:hAnsi="Times New Roman;serif"/>
          <w:b w:val="false"/>
          <w:color w:val="000000"/>
          <w:sz w:val="20"/>
        </w:rPr>
        <w:t>Research and development expenses primarily consist of employee-related expenses such as salaries and bonuses; stock-based compensation; cloud hosting and 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as we grow our business, although our research and development expenses may fluctuate as a percentage of our total revenue from period to period depending on the timing of these expenses.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General and Administrative. </w:t>
      </w:r>
      <w:r>
        <w:rPr>
          <w:rFonts w:ascii="Times New Roman;serif" w:hAnsi="Times New Roman;serif"/>
          <w:b w:val="false"/>
          <w:color w:val="000000"/>
          <w:sz w:val="20"/>
        </w:rPr>
        <w:t>General and administrative expenses consist of employee-related expenses such as salaries and bonuses; stock-based 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dollar amount over time. We expect to incur significant legal and professional services and other expenses associated with the July 19 Incident and related matters in future periods. General and administrative expenses may fluctuate as a percentage of our total revenue from period to period depending on the timing of these expenses.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Interest expense consists primarily of amortization of debt issuance costs, contractual interest expense for our Senior Notes issued in January 2021, and amortization of debt issuance costs on our revolving facility, which expired in January 2026.</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 xml:space="preserve">Interest income consists primarily of income earned on our cash and cash equivalents. </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(expense), net consists primarily of gains and losses on strategic investments and foreign currency transaction gains and losses.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 xml:space="preserve">Provision for income taxes consists of state income taxes in the United States, foreign income taxes, and withholding taxes related to customer payments in certain 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 </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Net Income Attributable to Non-controlling Interest</w:t>
      </w:r>
      <w:r>
        <w:rPr>
          <w:rFonts w:ascii="Times New Roman;serif" w:hAnsi="Times New Roman;serif"/>
          <w:b w:val="false"/>
          <w:color w:val="000000"/>
          <w:sz w:val="20"/>
        </w:rPr>
        <w:t>. Net income attributable to non-controlling interest consists of the Falcon Funds’ non-controlling interest share of gains and losses and interest income from our strategic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consolidated statements of operations for each period presented (in thousands, except percentages):</w:t>
      </w:r>
    </w:p>
    <w:tbl>
      <w:tblPr>
        <w:tblW w:w="8816" w:type="dxa"/>
        <w:jc w:val="left"/>
        <w:tblInd w:w="0" w:type="dxa"/>
        <w:tblLayout w:type="fixed"/>
        <w:tblCellMar>
          <w:top w:w="28" w:type="dxa"/>
          <w:left w:w="28" w:type="dxa"/>
          <w:bottom w:w="28" w:type="dxa"/>
          <w:right w:w="28" w:type="dxa"/>
        </w:tblCellMar>
      </w:tblPr>
      <w:tblGrid>
        <w:gridCol w:w="1525"/>
        <w:gridCol w:w="1347"/>
        <w:gridCol w:w="1357"/>
        <w:gridCol w:w="211"/>
        <w:gridCol w:w="976"/>
        <w:gridCol w:w="109"/>
        <w:gridCol w:w="109"/>
        <w:gridCol w:w="109"/>
        <w:gridCol w:w="109"/>
        <w:gridCol w:w="211"/>
        <w:gridCol w:w="976"/>
        <w:gridCol w:w="109"/>
        <w:gridCol w:w="109"/>
        <w:gridCol w:w="109"/>
        <w:gridCol w:w="109"/>
        <w:gridCol w:w="211"/>
        <w:gridCol w:w="97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4,812,005 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3,953,624 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3,055,555 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758,929 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3,886,368 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3,079,852 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2,315,767 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bookmarkStart w:id="1" w:name="i67df36034e98424f8dce519c17e1b89d_20-0-1"/>
            <w:bookmarkEnd w:id="1"/>
            <w:r>
              <w:rPr>
                <w:rFonts w:ascii="Times New Roman;serif" w:hAnsi="Times New Roman;serif"/>
                <w:b w:val="false"/>
                <w:color w:val="000000"/>
                <w:sz w:val="20"/>
              </w:rPr>
              <w:t>Income (loss) before provision for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CrowdStrike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consolidated statements of operations as a percentage of total revenue for the periods presented:</w:t>
      </w:r>
    </w:p>
    <w:tbl>
      <w:tblPr>
        <w:tblW w:w="7216" w:type="dxa"/>
        <w:jc w:val="left"/>
        <w:tblInd w:w="0" w:type="dxa"/>
        <w:tblLayout w:type="fixed"/>
        <w:tblCellMar>
          <w:top w:w="28" w:type="dxa"/>
          <w:left w:w="28" w:type="dxa"/>
          <w:bottom w:w="28" w:type="dxa"/>
          <w:right w:w="28" w:type="dxa"/>
        </w:tblCellMar>
      </w:tblPr>
      <w:tblGrid>
        <w:gridCol w:w="1525"/>
        <w:gridCol w:w="1347"/>
        <w:gridCol w:w="1357"/>
        <w:gridCol w:w="232"/>
        <w:gridCol w:w="234"/>
        <w:gridCol w:w="292"/>
        <w:gridCol w:w="111"/>
        <w:gridCol w:w="111"/>
        <w:gridCol w:w="111"/>
        <w:gridCol w:w="232"/>
        <w:gridCol w:w="234"/>
        <w:gridCol w:w="292"/>
        <w:gridCol w:w="111"/>
        <w:gridCol w:w="111"/>
        <w:gridCol w:w="111"/>
        <w:gridCol w:w="232"/>
        <w:gridCol w:w="234"/>
        <w:gridCol w:w="339"/>
      </w:tblGrid>
      <w:tr>
        <w:trPr/>
        <w:tc>
          <w:tcPr>
            <w:tcW w:w="152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CrowdStrike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Fiscal 2026 and Fiscal 2025</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total revenue from subscriptions and professional services for fiscal 2026, as compared to fiscal 2025 (in thousands, except percentages):</w:t>
      </w:r>
    </w:p>
    <w:tbl>
      <w:tblPr>
        <w:tblW w:w="7195" w:type="dxa"/>
        <w:jc w:val="left"/>
        <w:tblInd w:w="0" w:type="dxa"/>
        <w:tblLayout w:type="fixed"/>
        <w:tblCellMar>
          <w:top w:w="28" w:type="dxa"/>
          <w:left w:w="28" w:type="dxa"/>
          <w:bottom w:w="28" w:type="dxa"/>
          <w:right w:w="28" w:type="dxa"/>
        </w:tblCellMar>
      </w:tblPr>
      <w:tblGrid>
        <w:gridCol w:w="652"/>
        <w:gridCol w:w="573"/>
        <w:gridCol w:w="574"/>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316"/>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 increased by $858.4 million, or 22%, in fiscal 2026, as compared to fiscal 2025. Subscription revenue accounted for 95% of total revenue for each of fiscal 2026 and fiscal 2025. Professional services revenue accounted for 5% of total revenue for each of fiscal 2026 and fiscal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Subscription revenue increased by $803.2 million, or 21% in fiscal 2026, as compared to fiscal 2025, which was primarily driven by a combination of the addition of new customers and the sale of additional sensors and modules to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Professional services revenue increased by $55.2 million, or 29%, in fiscal </w:t>
      </w:r>
      <w:r>
        <w:rPr>
          <w:rFonts w:ascii="Times New Roman;serif" w:hAnsi="Times New Roman;serif"/>
          <w:b w:val="false"/>
          <w:color w:val="000000"/>
          <w:sz w:val="20"/>
          <w:shd w:fill="FFFFFF" w:val="clear"/>
        </w:rPr>
        <w:t>2026</w:t>
      </w:r>
      <w:r>
        <w:rPr>
          <w:rFonts w:ascii="Times New Roman;serif" w:hAnsi="Times New Roman;serif"/>
          <w:b w:val="false"/>
          <w:color w:val="000000"/>
          <w:sz w:val="20"/>
        </w:rPr>
        <w:t>, as compared to fiscal 2025, which was primarily attributable to an increase in the number of professional service hours.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 Gross Profit, and Gross Margin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cost of revenue related to subscriptions and professional services for fiscal 2026, as compared to fiscal 2025 (in thousands, except percentages):</w:t>
      </w:r>
    </w:p>
    <w:tbl>
      <w:tblPr>
        <w:tblW w:w="7076" w:type="dxa"/>
        <w:jc w:val="left"/>
        <w:tblInd w:w="0" w:type="dxa"/>
        <w:tblLayout w:type="fixed"/>
        <w:tblCellMar>
          <w:top w:w="28" w:type="dxa"/>
          <w:left w:w="28" w:type="dxa"/>
          <w:bottom w:w="28" w:type="dxa"/>
          <w:right w:w="28" w:type="dxa"/>
        </w:tblCellMar>
      </w:tblPr>
      <w:tblGrid>
        <w:gridCol w:w="663"/>
        <w:gridCol w:w="583"/>
        <w:gridCol w:w="584"/>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316"/>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Total cost of revenue increased by $228.8 million, or 23%, in fiscal </w:t>
      </w:r>
      <w:r>
        <w:rPr>
          <w:rFonts w:ascii="Times New Roman;serif" w:hAnsi="Times New Roman;serif"/>
          <w:b w:val="false"/>
          <w:color w:val="000000"/>
          <w:sz w:val="20"/>
          <w:shd w:fill="FFFFFF" w:val="clear"/>
        </w:rPr>
        <w:t>2026</w:t>
      </w:r>
      <w:r>
        <w:rPr>
          <w:rFonts w:ascii="Times New Roman;serif" w:hAnsi="Times New Roman;serif"/>
          <w:b w:val="false"/>
          <w:color w:val="000000"/>
          <w:sz w:val="20"/>
        </w:rPr>
        <w:t xml:space="preserve">, as compared to fiscal 2025. Subscription cost of revenue increased by $181.3 million, or 22%, in fiscal </w:t>
      </w:r>
      <w:r>
        <w:rPr>
          <w:rFonts w:ascii="Times New Roman;serif" w:hAnsi="Times New Roman;serif"/>
          <w:b w:val="false"/>
          <w:color w:val="000000"/>
          <w:sz w:val="20"/>
          <w:shd w:fill="FFFFFF" w:val="clear"/>
        </w:rPr>
        <w:t>2026</w:t>
      </w:r>
      <w:r>
        <w:rPr>
          <w:rFonts w:ascii="Times New Roman;serif" w:hAnsi="Times New Roman;serif"/>
          <w:b w:val="false"/>
          <w:color w:val="000000"/>
          <w:sz w:val="20"/>
        </w:rPr>
        <w:t>, as compared to fiscal 2025. The increase in subscription cost of revenue was primarily due to an increase in cloud hosting and related services costs of $46.4 million, an increase in employee-related expenses of $43.1 million driven by a 16% increase in average headcount, an increase in depreciation of data center equipment of $33.4 million, an increase in amortization of internal-use software of $24.9 million, an increase in stock-based compensation expense of $18.1 million, an increase in allocated overhead costs of $16.8 million, and charges related to the Strategic Plan of $3.4 million, partially offset by a decrease in other labor expenses of $2.8 million and a decrease in company events expenses of $1.2 million.</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Professional services cost of revenue increased by $47.4 million, or 30%, in fiscal </w:t>
      </w:r>
      <w:r>
        <w:rPr>
          <w:rFonts w:ascii="Times New Roman;serif" w:hAnsi="Times New Roman;serif"/>
          <w:b w:val="false"/>
          <w:color w:val="000000"/>
          <w:sz w:val="20"/>
          <w:shd w:fill="FFFFFF" w:val="clear"/>
        </w:rPr>
        <w:t>2026</w:t>
      </w:r>
      <w:r>
        <w:rPr>
          <w:rFonts w:ascii="Times New Roman;serif" w:hAnsi="Times New Roman;serif"/>
          <w:b w:val="false"/>
          <w:color w:val="000000"/>
          <w:sz w:val="20"/>
        </w:rPr>
        <w:t>, as compared to fiscal 2025. The increase in professional services cost of revenue was primarily due to an increase in consulting expenses of $18.7 million, an increase in employee-related expenses of $15.5 million driven by a 12% increase in average headcount, an increase in stock-based compensation expense of $5.7 million, charges related to the Strategic Plan of $3.3 million, and an increase in allocated overhead costs of $2.6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gross profit and gross margin for subscriptions and professional services for fiscal 2026, as compared to fiscal 2025 (in thousands, except percentages):</w:t>
      </w:r>
    </w:p>
    <w:tbl>
      <w:tblPr>
        <w:tblW w:w="8155" w:type="dxa"/>
        <w:jc w:val="left"/>
        <w:tblInd w:w="0" w:type="dxa"/>
        <w:tblLayout w:type="fixed"/>
        <w:tblCellMar>
          <w:top w:w="28" w:type="dxa"/>
          <w:left w:w="28" w:type="dxa"/>
          <w:bottom w:w="28" w:type="dxa"/>
          <w:right w:w="28" w:type="dxa"/>
        </w:tblCellMar>
      </w:tblPr>
      <w:tblGrid>
        <w:gridCol w:w="1000"/>
        <w:gridCol w:w="878"/>
        <w:gridCol w:w="881"/>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316"/>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profit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253" w:type="dxa"/>
        <w:jc w:val="left"/>
        <w:tblInd w:w="0" w:type="dxa"/>
        <w:tblLayout w:type="fixed"/>
        <w:tblCellMar>
          <w:top w:w="28" w:type="dxa"/>
          <w:left w:w="28" w:type="dxa"/>
          <w:bottom w:w="28" w:type="dxa"/>
          <w:right w:w="28" w:type="dxa"/>
        </w:tblCellMar>
      </w:tblPr>
      <w:tblGrid>
        <w:gridCol w:w="1044"/>
        <w:gridCol w:w="916"/>
        <w:gridCol w:w="919"/>
        <w:gridCol w:w="181"/>
        <w:gridCol w:w="181"/>
        <w:gridCol w:w="451"/>
        <w:gridCol w:w="181"/>
        <w:gridCol w:w="181"/>
        <w:gridCol w:w="181"/>
        <w:gridCol w:w="181"/>
        <w:gridCol w:w="181"/>
        <w:gridCol w:w="451"/>
        <w:gridCol w:w="109"/>
        <w:gridCol w:w="109"/>
        <w:gridCol w:w="109"/>
        <w:gridCol w:w="203"/>
        <w:gridCol w:w="203"/>
        <w:gridCol w:w="472"/>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gross margin</w:t>
            </w:r>
          </w:p>
        </w:tc>
        <w:tc>
          <w:tcPr>
            <w:tcW w:w="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margin</w:t>
            </w:r>
          </w:p>
        </w:tc>
        <w:tc>
          <w:tcPr>
            <w:tcW w:w="3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Subscription gross margin was flat </w:t>
      </w:r>
      <w:r>
        <w:rPr>
          <w:rFonts w:ascii="Times New Roman;serif" w:hAnsi="Times New Roman;serif"/>
          <w:b w:val="false"/>
          <w:color w:val="000000"/>
          <w:sz w:val="20"/>
          <w:shd w:fill="FFFFFF" w:val="clear"/>
        </w:rPr>
        <w:t>in fiscal 2026</w:t>
      </w:r>
      <w:r>
        <w:rPr>
          <w:rFonts w:ascii="Times New Roman;serif" w:hAnsi="Times New Roman;serif"/>
          <w:b w:val="false"/>
          <w:color w:val="000000"/>
          <w:sz w:val="20"/>
        </w:rPr>
        <w:t xml:space="preserve">, as compared to fiscal 2025. </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Professional services gross margin decreased by </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 xml:space="preserve">in fiscal 2026, as compared to fiscal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decrease in professional services gross margin was primarily due to an increase in consulting expense and an increase in stock-based compensation expense </w:t>
      </w:r>
      <w:r>
        <w:rPr>
          <w:rFonts w:ascii="Times New Roman;serif" w:hAnsi="Times New Roman;serif"/>
          <w:b w:val="false"/>
          <w:color w:val="000000"/>
          <w:sz w:val="20"/>
          <w:shd w:fill="FFFFFF" w:val="clear"/>
        </w:rPr>
        <w:t xml:space="preserve">during fiscal 2026, as compared to fiscal </w:t>
      </w:r>
      <w:r>
        <w:rPr>
          <w:rFonts w:ascii="Times New Roman;serif" w:hAnsi="Times New Roman;serif"/>
          <w:b w:val="false"/>
          <w:color w:val="000000"/>
          <w:sz w:val="20"/>
        </w:rPr>
        <w:t>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sales and marketing expenses for fiscal 2026, as compared to fiscal 2025 (in thousands, except percentages):</w:t>
      </w:r>
    </w:p>
    <w:tbl>
      <w:tblPr>
        <w:tblW w:w="7930" w:type="dxa"/>
        <w:jc w:val="left"/>
        <w:tblInd w:w="0" w:type="dxa"/>
        <w:tblLayout w:type="fixed"/>
        <w:tblCellMar>
          <w:top w:w="28" w:type="dxa"/>
          <w:left w:w="28" w:type="dxa"/>
          <w:bottom w:w="28" w:type="dxa"/>
          <w:right w:w="28" w:type="dxa"/>
        </w:tblCellMar>
      </w:tblPr>
      <w:tblGrid>
        <w:gridCol w:w="916"/>
        <w:gridCol w:w="806"/>
        <w:gridCol w:w="812"/>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31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Sales and marketing expenses increased by $308.3 million, or 20%, in fiscal </w:t>
      </w:r>
      <w:r>
        <w:rPr>
          <w:rFonts w:ascii="Times New Roman;serif" w:hAnsi="Times New Roman;serif"/>
          <w:b w:val="false"/>
          <w:color w:val="000000"/>
          <w:sz w:val="20"/>
          <w:shd w:fill="FFFFFF" w:val="clear"/>
        </w:rPr>
        <w:t>2026</w:t>
      </w:r>
      <w:r>
        <w:rPr>
          <w:rFonts w:ascii="Times New Roman;serif" w:hAnsi="Times New Roman;serif"/>
          <w:b w:val="false"/>
          <w:color w:val="000000"/>
          <w:sz w:val="20"/>
        </w:rPr>
        <w:t>, as compared to fiscal 2025. The increase in sales and marketing expenses was primarily due to an increase in employee-related expenses of $168.4 million driven by a 12% increase in average headcount, an increase in stock-based compensation expense of $48.2 million, an increase in marketing programs of $29.2 million, an increase in allocated overhead costs of $20.2 million, an increase in employee benefits of $16.5 million, an increase in travel expenses of $11.2 million, charges related to the Strategic Plan of $9.0 million, an increase in cloud hosting and related costs of $6.2 million, an increase in term-based software licenses of $3.2 million, an increase in other labor expenses of $2.1 million, and an increase in consulting expenses of $1.7 million, partially offset by a decrease in expenses associated with the July 19 Incident and related matters of $20.3 million.</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research and development expenses for fiscal 2026, as compared to fiscal 2025 (in thousands, except percentages):</w:t>
      </w:r>
    </w:p>
    <w:tbl>
      <w:tblPr>
        <w:tblW w:w="8485" w:type="dxa"/>
        <w:jc w:val="left"/>
        <w:tblInd w:w="0" w:type="dxa"/>
        <w:tblLayout w:type="fixed"/>
        <w:tblCellMar>
          <w:top w:w="28" w:type="dxa"/>
          <w:left w:w="28" w:type="dxa"/>
          <w:bottom w:w="28" w:type="dxa"/>
          <w:right w:w="28" w:type="dxa"/>
        </w:tblCellMar>
      </w:tblPr>
      <w:tblGrid>
        <w:gridCol w:w="1120"/>
        <w:gridCol w:w="982"/>
        <w:gridCol w:w="987"/>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316"/>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Research and development expenses increased by $309.2 million, or 29% in fiscal </w:t>
      </w:r>
      <w:r>
        <w:rPr>
          <w:rFonts w:ascii="Times New Roman;serif" w:hAnsi="Times New Roman;serif"/>
          <w:b w:val="false"/>
          <w:color w:val="000000"/>
          <w:sz w:val="20"/>
          <w:shd w:fill="FFFFFF" w:val="clear"/>
        </w:rPr>
        <w:t>2026</w:t>
      </w:r>
      <w:r>
        <w:rPr>
          <w:rFonts w:ascii="Times New Roman;serif" w:hAnsi="Times New Roman;serif"/>
          <w:b w:val="false"/>
          <w:color w:val="000000"/>
          <w:sz w:val="20"/>
        </w:rPr>
        <w:t>, as compared to fiscal 2025. This increase was primarily due to an increase in employee-related expenses of $116.8 million driven by a 20% increase in average headcount, an increase in stock-based compensation expense of $94.0 million, an increase in cloud hosting and related costs of $46.4 million, an increase in allocated overhead costs of $27.6 million, charges related to the Strategic Plan of $16.6 million, and an increase in term-based software licenses of $3.5 million, partially offset by an increase in software capitalization of $9.8 million, and a decrease in expenses associated with the July 19 Incident and related matters of $4.4 million.</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general and administrative expenses for fiscal 2026, as compared to fiscal 2025 (in thousands, except percentages):</w:t>
      </w:r>
    </w:p>
    <w:tbl>
      <w:tblPr>
        <w:tblW w:w="8186" w:type="dxa"/>
        <w:jc w:val="left"/>
        <w:tblInd w:w="0" w:type="dxa"/>
        <w:tblLayout w:type="fixed"/>
        <w:tblCellMar>
          <w:top w:w="28" w:type="dxa"/>
          <w:left w:w="28" w:type="dxa"/>
          <w:bottom w:w="28" w:type="dxa"/>
          <w:right w:w="28" w:type="dxa"/>
        </w:tblCellMar>
      </w:tblPr>
      <w:tblGrid>
        <w:gridCol w:w="1120"/>
        <w:gridCol w:w="984"/>
        <w:gridCol w:w="98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316"/>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$189.1 million, or 39%, in fiscal 2026, as compared to fiscal 2025. The increase in general and administrative expenses was primarily due to an increase in expenses associated with the July 19 Incident and related matters of $82.4 million, an increase in stock-based compensation expense of $52.4 million, an increase in consulting expense of $16.4 million, charges related to the Strategic Plan of $12.5 million, an increase in employee-related expenses of $11.2 million driven by a 14% increase in average headcount, an increase in legal expense of $4.5 million unrelated to the July 19 Incident or related matters, an increase in allocated overhead costs of $4.4 million, and an increase in term-based software licenses of $3.0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 Interest Income and Other Income (Expense),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interest expense, interest income, and other income (expense), net, for fiscal 2026, as compared to fiscal 2025 (in thousands, except percentages):</w:t>
      </w:r>
    </w:p>
    <w:tbl>
      <w:tblPr>
        <w:tblW w:w="7525" w:type="dxa"/>
        <w:jc w:val="left"/>
        <w:tblInd w:w="0" w:type="dxa"/>
        <w:tblLayout w:type="fixed"/>
        <w:tblCellMar>
          <w:top w:w="28" w:type="dxa"/>
          <w:left w:w="28" w:type="dxa"/>
          <w:bottom w:w="28" w:type="dxa"/>
          <w:right w:w="28" w:type="dxa"/>
        </w:tblCellMar>
      </w:tblPr>
      <w:tblGrid>
        <w:gridCol w:w="864"/>
        <w:gridCol w:w="757"/>
        <w:gridCol w:w="764"/>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268"/>
        <w:gridCol w:w="272"/>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primarily of amortization of debt issuance costs, contractual interest expense, accretion of debt discount for our Senior Notes issued in January 2021, and amortization of debt issuance costs on our revolving facility, which expired in January 2026.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interest income during fiscal 2026 compared to fiscal 2025 was driven by lower market rates, partially offset by higher cash balances.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income (expense), net during fiscal 2026 compared to fiscal 2025 was primarily due to an increase in net foreign currency transaction losses of $3.5 million, a decrease in net realized gains on our strategic investments of $2.2 million, and an increase in downward adjustments and impairment of $0.6 million of our strategic investments, partially offset by an increase in gains from deferred compensation assets of $0.8 million.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the provision for income taxes for fiscal 2026, as compared to fiscal 2025 (in thousands, except percentages):</w:t>
      </w:r>
    </w:p>
    <w:tbl>
      <w:tblPr>
        <w:tblW w:w="7211" w:type="dxa"/>
        <w:jc w:val="left"/>
        <w:tblInd w:w="0" w:type="dxa"/>
        <w:tblLayout w:type="fixed"/>
        <w:tblCellMar>
          <w:top w:w="28" w:type="dxa"/>
          <w:left w:w="28" w:type="dxa"/>
          <w:bottom w:w="28" w:type="dxa"/>
          <w:right w:w="28" w:type="dxa"/>
        </w:tblCellMar>
      </w:tblPr>
      <w:tblGrid>
        <w:gridCol w:w="825"/>
        <w:gridCol w:w="726"/>
        <w:gridCol w:w="729"/>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provision for income taxes during fiscal 2026 compared to fiscal 2025 was primarily attributable to a decrease in tax on intercompany sale of intellectual property from acquired entities, partially offset by an increase in tax on foreign earnings and withholding taxes in certain foreign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as of January 31, 2026, consisted of: (i) $5.2 billion in cash and cash equivalents, which mainly consists of cash on hand and highly liquid investments in money market funds, U.S. Treasury bills, and time deposits, and (ii) cash we expect to generate from operations. It is not currently possible to reasonably estimate the amount of loss or range of possible loss that might result from adverse judgments, settlements, penalties, or other resolution of proceedings resulting from the July 19 Incident or related matters. However, despite such uncertainties, we expect that the combination of our existing cash and cash equivalents and cash flows from operations will be sufficient to meet our anticipated cash needs for working capital and capital expenditures for at least the next 12 months.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history of losses, and while we have achieved profitability in certain periods, including fiscal 2024, our accumulated deficit is $1.3 billion as of January 31, 2026. We expect to continue to make investments, particularly in sales and marketing and research and development. As a result, we may require additional capital resources in the future to execute strategic initiatives to grow our business.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generally invoice our subscription customers at the beginning of the subscription term, or in some instances, such as in multi-year arrangements, in installments. Therefore, a substantial source of our cash is from such prepayments, which are included on our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January 31, 2026, we had deferred revenue of $4.8 billion, of which $3.4 billion was recorded as a current liability and is expected to be recorded as revenue in the next 12 months, provided all other revenue recognition criteria have been met.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thousands):</w:t>
      </w:r>
    </w:p>
    <w:tbl>
      <w:tblPr>
        <w:tblW w:w="9342" w:type="dxa"/>
        <w:jc w:val="left"/>
        <w:tblInd w:w="0" w:type="dxa"/>
        <w:tblLayout w:type="fixed"/>
        <w:tblCellMar>
          <w:top w:w="28" w:type="dxa"/>
          <w:left w:w="28" w:type="dxa"/>
          <w:bottom w:w="28" w:type="dxa"/>
          <w:right w:w="28" w:type="dxa"/>
        </w:tblCellMar>
      </w:tblPr>
      <w:tblGrid>
        <w:gridCol w:w="1721"/>
        <w:gridCol w:w="1515"/>
        <w:gridCol w:w="1519"/>
        <w:gridCol w:w="211"/>
        <w:gridCol w:w="976"/>
        <w:gridCol w:w="109"/>
        <w:gridCol w:w="109"/>
        <w:gridCol w:w="109"/>
        <w:gridCol w:w="109"/>
        <w:gridCol w:w="211"/>
        <w:gridCol w:w="976"/>
        <w:gridCol w:w="109"/>
        <w:gridCol w:w="109"/>
        <w:gridCol w:w="109"/>
        <w:gridCol w:w="109"/>
        <w:gridCol w:w="211"/>
        <w:gridCol w:w="976"/>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during fiscal 2026 was $1.6 billion, which resulted from net loss of $161.2 million, adjusted for non-cash charges of $1.8 billion and net cash outflow of $59.3 million from changes in operating assets and liabilities. Non-cash charges primarily consisted of $1.1 billion in stock-based compensation expense, $449.4 million of amortization of deferred contract acquisition costs, $250.2 million of depreciation and amortization, $31.2 million of amortization of intangibles assets, $17.2 million of non-cash operating lease costs, $5.4 million of non-cash interest expense, and $1.6 million change in fair value of strategic investments, partially offset by $14.8 million of deferred income taxes and $4.2 million of realized gains on strategic investments. The net cash outflow from changes in operating assets and liabilities was primarily due to an increase of $703.7 million in deferred contract acquisition costs, an increase of $232.5 million in accounts receivable, an increase of $206.2 million in prepaid expenses and other assets, a decrease of $13.7 million in operating lease liabilities, and a decrease of $11.3 million in accounts payable, partially offset by an increase of $1.0 billion in deferred revenue, an increase of $61.6 million in accrued payroll and benefits, and an increase of $22.6 million in accrued expenses and other liabilities.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fiscal 2025 was $1.4 billion, which resulted from net loss of $12.6 million, adjusted for non-cash charges of $1.4 billion and net cash outflow of $6.0 million from changes in operating assets and liabilities. Non-cash charges primarily consisted of $861.4 million in stock-based compensation expense, $318.8 million of amortization of deferred contract acquisition costs, $188.0 million of depreciation and amortization, $26.0 million of amortization of intangibles assets, $15.3 million of non-cash operating lease costs, $3.8 million of non-cash interest expense, and $2.3 million of accretion of short-term investments purchased at a discount, partially offset by $9.9 million of deferred income taxes and $6.3 million of realized gains on strategic investments. The net cash outflow from changes in operating assets and liabilities was primarily due to a $584.5 million increase in deferred contract acquisition costs, a $274.2 million increase in accounts receivable, net, a $190.2 million increase in prepaid expenses and other assets, and a $15.7 million decrease in operating lease liabilities, partially offset by a $669.3 million increase in deferred revenue, a $218.5 million increase in accrued expenses and other liabilities, an $85.9 million increase in accrued payroll and benefits, and an $84.9 million increase in accounts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fiscal 2026 of $764.5 million was primarily due to business acquisitions, net of cash acquired, of $382.3 million, which was related to the Onum Technology Inc. and Pangea Cyber Corporation acquisitions, purchases of property and equipment of $302.1 million, capitalized internal-use software and website development costs of $68.8 million, purchases of strategic investments of $10.8 million, and purchases of deferred compensation investments of $6.0 million, partially offset by proceeds from sales of strategic investments of $5.2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fiscal 2025 of $536.6 million was primarily due to business acquisitions, net of cash acquired, of $310.3 million, which was related to the Flow Security and Adaptive Shield acquisitions, purchases of property and equipment of $254.9 million, capitalized internal-use software and website development costs of $59.0 million, purchases of strategic investments of $19.7 million, and purchases of deferred compensation investments of $2.7 million, partially offset by proceeds from maturities of short-term investments of $97.3 million and proceeds from sales of strategic investments of $12.5 million.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$132.5 million during fiscal 2026 was primarily due to proceeds from our employee stock purchase plan of $125.8 million, capital contributions from non-controlling interests of $6.0 million, and proceeds from the exercise of stock options of $3.2 million, partially offset by distributions to non-controlling interest holders of $2.5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of $107.2 million during fiscal 2025 was primarily due to proceeds from our employee stock purchase plan of $99.6 million, capital contributions from non-controlling interest holders of $8.5 million, and proceeds from the exercise of stock options of $4.0 million, partially offset by distributions to non-controlling interest holders of $4.9 million. </w:t>
      </w:r>
    </w:p>
    <w:p>
      <w:pPr>
        <w:pStyle w:val="TextBody"/>
        <w:bidi w:val="0"/>
        <w:spacing w:lineRule="auto" w:line="288"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Supplemental Guarantor Financial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Senior Notes are guaranteed on a senior, unsecured basis by CrowdStrike, Inc. and CrowdStrike Financial Services, Inc., wholly owned subsidiaries of CrowdStrike Holdings, Inc. (the “subsidiary guarantors,” and together with CrowdStrike Holdings, Inc., the “Obligor Group”). The guarantee is full and unconditional and is subject to certain conditions for release. See Note 5, Debt, in Part II, Item 8 of this Annual Report on Form 10-K, for a brief description of the 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 our operations almost entirely through our subsidiaries. Accordingly, the Obligor Group’s cash flows and ability to service the Senior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tbl>
      <w:tblPr>
        <w:tblW w:w="4664" w:type="dxa"/>
        <w:jc w:val="left"/>
        <w:tblInd w:w="0" w:type="dxa"/>
        <w:tblLayout w:type="fixed"/>
        <w:tblCellMar>
          <w:top w:w="28" w:type="dxa"/>
          <w:left w:w="28" w:type="dxa"/>
          <w:bottom w:w="28" w:type="dxa"/>
          <w:right w:w="28" w:type="dxa"/>
        </w:tblCellMar>
      </w:tblPr>
      <w:tblGrid>
        <w:gridCol w:w="1097"/>
        <w:gridCol w:w="964"/>
        <w:gridCol w:w="969"/>
        <w:gridCol w:w="257"/>
        <w:gridCol w:w="1190"/>
        <w:gridCol w:w="187"/>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January 31, 2026</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4,809,994 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1,298,709 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3,924,576 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(413,291)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(309,263)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CrowdStrike</w:t>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(309,263)</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73" w:type="dxa"/>
        <w:jc w:val="left"/>
        <w:tblInd w:w="0" w:type="dxa"/>
        <w:tblLayout w:type="fixed"/>
        <w:tblCellMar>
          <w:top w:w="28" w:type="dxa"/>
          <w:left w:w="28" w:type="dxa"/>
          <w:bottom w:w="28" w:type="dxa"/>
          <w:right w:w="28" w:type="dxa"/>
        </w:tblCellMar>
      </w:tblPr>
      <w:tblGrid>
        <w:gridCol w:w="2650"/>
        <w:gridCol w:w="2327"/>
        <w:gridCol w:w="2343"/>
        <w:gridCol w:w="259"/>
        <w:gridCol w:w="1198"/>
        <w:gridCol w:w="133"/>
        <w:gridCol w:w="109"/>
        <w:gridCol w:w="154"/>
      </w:tblGrid>
      <w:tr>
        <w:trPr/>
        <w:tc>
          <w:tcPr>
            <w:tcW w:w="2650"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(excluding current intercompany receivables from non-Guarantors)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7,235,157 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intercompany receivables from non-Guarantors</w:t>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(excluding noncurrent intercompany receivables from non-Guarantors)</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3,354,831 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intercompany receivables from non-Guarantors</w:t>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625,943 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(excluding current intercompany payables to non-Guarantors)</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4,017,456 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intercompany payables to non-Guarantors</w:t>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(excluding noncurrent intercompany payables to non-Guarantors)</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intercompany payables to non-Guarantors</w:t>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commitments consist of obligations under non-cancelable real estate arrangements on an undiscounted basis, of which $16.9 million is due in the next 12 months and $65.8 million is due thereafter. In addition, we have debt obligations related to $750.0 million aggregate principal amount of the Senior Notes due in fiscal 2030 and the interest payments associated with the Senior Notes of $22.5 million due in the next 12 months and $56.3 million due thereafter. We have non-cancelable purchase commitments with various parties to purchase products and services entered in the normal course of business totaling $2.8 billion as of January 31, 2026, with remaining terms in excess of 12 months. We expect to fund these obligations with cash flows from operations and cash on our balance sheet.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January 31, 2026, our unrecognized tax benefits included $47.3 million, which were classified as long-term liabilities due to the inherent uncertainty with respect to the timing of future cash outflows associated with our unrecognized tax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31, 2026, we had non-cancelable unfunded commitments from our financing arrangements totaling approximately $89.9 million.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7, 2026, we entered into a definitive agreement to acquire 100% of the equity interest of SGNL.AI, Inc., a leader in continuous identity. The acquisition closed on February 20, 2026. The total consideration transferred consisted of $627.9 million in cash, net of $9.4 million of cash acquired, and $8.9 million representing the fair value of replacement equity awards attributable to pre-acquisition service, subject to customary net working capital and purchase price adjustments. The cash consideration included cash held back in an escrow fund for a partial security for post-closing indemnification claims. We are currently finalizing the intangible assets valuation and purchase price allocation.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12, 2026, we entered into a definitive agreement to acquire 100%of the equity interest of Seraphic Algorithms Ltd. (“Seraphic”), a leader in browser runtime security. The acquisition closed on February 3, 2026. The total consideration transferred consisted of $327.4 million in cash, net of $1.1 million of cash and restricted cash acquired, and $13.9 million representing the fair value of replacement equity awards attributable to pre-acquisition service, subject to customary net working capital and purchase price adjustments.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upon our consolidated financial statements and notes to our consolidated financial statements, which were prepared in accordance with U.S. GAAP. The preparation of the consolidated financial statements requires our management to make estimates and assumptions that affect the amounts reported in the consolidated financial statements and accompanying notes. See Note 1, Description of Business and Significant Accounting Policies to our consolidated financial statements included in Item 8, Financial Statements and Supplementary Data of this Annual Report on Form 10-K.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accounting estimates we use in the preparation of our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consolidated financial statements. By their nature, these estimates and judgments are subject to an inherent degree of uncertainty and actual results could differ materially from the amounts reported based on these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critical accounting estimates, assumptions, and judgments that we believe have the most significant impact on our consolidated financial statements are described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our revenue predominately from subscription revenue, which is primarily based on the solutions subscribed to by the customer. We recognize subscription revenue ratably over the contract term. Our professional services are available through time and material and fixed fee agreements. Revenue from professional services is recognized as services are performed.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revenue contracts with multiple performance obligations in which a customer may purchase combinations of subscriptions, support, training, and consulting service. Judgment is required when considering the terms and conditions of these contracts. The transaction price for these contracts is allocated to the separate performance obligations on a relative standalone selling price (“SSP”) basis. The SSP is the price at which we would sell promised subscription or professional services separately to a customer.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allocate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we believe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assumptions and estimates we have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account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unrecognized tax benefits using a more-likely-than-not threshold for financial statement recognition and measurement of tax positions taken or expected to be taken in a tax return. We establish a liability for tax-related uncertainties based on estimates of whether, and the extent to which, additional taxes will be due. Our assumptions, judgments, and estimates relative to the current provision for income taxes take into account current tax laws, our interpretation of current tax laws, and possible outcomes of current and future audits conducted by foreign and domestic tax authorities. We have established reserves for income taxes to address potential exposures involving tax positions that could be challenged by tax authorities. In addition, we are subject to the continual examination of our income tax returns by the U.S. Internal Revenue Service (“IRS”) and other domestic and foreign tax authorities. We regularly assess the likelihood of outcomes resulting from these examinations to determine the adequacy of our provision for income taxes and have reserved for potential adjustments that may result from such examinations. We believe such estimates to be reasonable; however, the final determination of any of these examinations could significantly impact the amounts provided for income taxes in our consolidated financial statements.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 in Accounting Estimate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we completed an assessment of the estimated period of benefit of commissions earned upon the initial acquisition of a contract, or subsequent upsell, and determined that it should increase from four to five years. This change in estimate will be effective beginning in fiscal year 2027. It is estimated this change will improve our fiscal year 2027 income (loss) from operations by $85.0 million to $95.0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Quarterly Financial Information</w:t>
      </w:r>
    </w:p>
    <w:tbl>
      <w:tblPr>
        <w:tblW w:w="10205" w:type="dxa"/>
        <w:jc w:val="left"/>
        <w:tblInd w:w="0" w:type="dxa"/>
        <w:tblLayout w:type="fixed"/>
        <w:tblCellMar>
          <w:top w:w="28" w:type="dxa"/>
          <w:left w:w="28" w:type="dxa"/>
          <w:bottom w:w="28" w:type="dxa"/>
          <w:right w:w="28" w:type="dxa"/>
        </w:tblCellMar>
      </w:tblPr>
      <w:tblGrid>
        <w:gridCol w:w="1557"/>
        <w:gridCol w:w="1300"/>
        <w:gridCol w:w="1298"/>
        <w:gridCol w:w="223"/>
        <w:gridCol w:w="995"/>
        <w:gridCol w:w="124"/>
        <w:gridCol w:w="109"/>
        <w:gridCol w:w="109"/>
        <w:gridCol w:w="109"/>
        <w:gridCol w:w="220"/>
        <w:gridCol w:w="979"/>
        <w:gridCol w:w="122"/>
        <w:gridCol w:w="109"/>
        <w:gridCol w:w="109"/>
        <w:gridCol w:w="109"/>
        <w:gridCol w:w="196"/>
        <w:gridCol w:w="871"/>
        <w:gridCol w:w="109"/>
        <w:gridCol w:w="109"/>
        <w:gridCol w:w="109"/>
        <w:gridCol w:w="109"/>
        <w:gridCol w:w="196"/>
        <w:gridCol w:w="875"/>
        <w:gridCol w:w="159"/>
      </w:tblGrid>
      <w:tr>
        <w:trPr/>
        <w:tc>
          <w:tcPr>
            <w:tcW w:w="155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30,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1,305,375 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1,234,244 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1,103,434 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989,462 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815,559 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CrowdStrike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CrowdStrike common stockholders: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93"/>
        <w:gridCol w:w="1339"/>
        <w:gridCol w:w="1338"/>
        <w:gridCol w:w="224"/>
        <w:gridCol w:w="999"/>
        <w:gridCol w:w="125"/>
        <w:gridCol w:w="109"/>
        <w:gridCol w:w="109"/>
        <w:gridCol w:w="109"/>
        <w:gridCol w:w="221"/>
        <w:gridCol w:w="983"/>
        <w:gridCol w:w="122"/>
        <w:gridCol w:w="109"/>
        <w:gridCol w:w="109"/>
        <w:gridCol w:w="109"/>
        <w:gridCol w:w="205"/>
        <w:gridCol w:w="770"/>
        <w:gridCol w:w="113"/>
        <w:gridCol w:w="109"/>
        <w:gridCol w:w="109"/>
        <w:gridCol w:w="109"/>
        <w:gridCol w:w="214"/>
        <w:gridCol w:w="804"/>
        <w:gridCol w:w="174"/>
      </w:tblGrid>
      <w:tr>
        <w:trPr/>
        <w:tc>
          <w:tcPr>
            <w:tcW w:w="159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30, 2024</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1,058,538 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1,010,178 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963,872 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921,036 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786,157 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755,424 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726,161 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695,710 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(79,305)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CrowdStrike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(86,286)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CrowdStrike common stockholders: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1 and Note 16 of the Notes to the Consolidated Financial Statements, we identified an immaterial error related to the recognition of stock-based compensation expense in prior periods. We will revise our previously reported quarterly financial information based on the summary presented below in our future filings with the SEC, as applicable, to correct for this error.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impacts of the revision to the affected financial statement line items in our Condensed Consolidated Financial Statements is presented below for each quarterly period in the fiscal year ended January 31, 2026 (in thousands, except per share data). As the impact of the error for the fiscal year ended January 31, 2025 was only $4.0 million, the impacts of the revision on the associated quarterly periods have not been presented as they are not individually material to any quarterly period.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Consolidated Balance Sheets</w:t>
      </w:r>
    </w:p>
    <w:tbl>
      <w:tblPr>
        <w:tblW w:w="7502" w:type="dxa"/>
        <w:jc w:val="left"/>
        <w:tblInd w:w="0" w:type="dxa"/>
        <w:tblLayout w:type="fixed"/>
        <w:tblCellMar>
          <w:top w:w="28" w:type="dxa"/>
          <w:left w:w="28" w:type="dxa"/>
          <w:bottom w:w="28" w:type="dxa"/>
          <w:right w:w="28" w:type="dxa"/>
        </w:tblCellMar>
      </w:tblPr>
      <w:tblGrid>
        <w:gridCol w:w="814"/>
        <w:gridCol w:w="717"/>
        <w:gridCol w:w="719"/>
        <w:gridCol w:w="314"/>
        <w:gridCol w:w="1564"/>
        <w:gridCol w:w="162"/>
        <w:gridCol w:w="109"/>
        <w:gridCol w:w="109"/>
        <w:gridCol w:w="109"/>
        <w:gridCol w:w="227"/>
        <w:gridCol w:w="796"/>
        <w:gridCol w:w="119"/>
        <w:gridCol w:w="109"/>
        <w:gridCol w:w="109"/>
        <w:gridCol w:w="109"/>
        <w:gridCol w:w="211"/>
        <w:gridCol w:w="105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April 30, 2025</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4,633,211 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(1,188,314)</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(1,224,804)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02" w:type="dxa"/>
        <w:jc w:val="left"/>
        <w:tblInd w:w="0" w:type="dxa"/>
        <w:tblLayout w:type="fixed"/>
        <w:tblCellMar>
          <w:top w:w="28" w:type="dxa"/>
          <w:left w:w="28" w:type="dxa"/>
          <w:bottom w:w="28" w:type="dxa"/>
          <w:right w:w="28" w:type="dxa"/>
        </w:tblCellMar>
      </w:tblPr>
      <w:tblGrid>
        <w:gridCol w:w="814"/>
        <w:gridCol w:w="717"/>
        <w:gridCol w:w="719"/>
        <w:gridCol w:w="314"/>
        <w:gridCol w:w="1564"/>
        <w:gridCol w:w="162"/>
        <w:gridCol w:w="109"/>
        <w:gridCol w:w="109"/>
        <w:gridCol w:w="109"/>
        <w:gridCol w:w="227"/>
        <w:gridCol w:w="796"/>
        <w:gridCol w:w="119"/>
        <w:gridCol w:w="109"/>
        <w:gridCol w:w="109"/>
        <w:gridCol w:w="109"/>
        <w:gridCol w:w="211"/>
        <w:gridCol w:w="105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July 31, 2025</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5,016,544 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(1,265,989)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02" w:type="dxa"/>
        <w:jc w:val="left"/>
        <w:tblInd w:w="0" w:type="dxa"/>
        <w:tblLayout w:type="fixed"/>
        <w:tblCellMar>
          <w:top w:w="28" w:type="dxa"/>
          <w:left w:w="28" w:type="dxa"/>
          <w:bottom w:w="28" w:type="dxa"/>
          <w:right w:w="28" w:type="dxa"/>
        </w:tblCellMar>
      </w:tblPr>
      <w:tblGrid>
        <w:gridCol w:w="814"/>
        <w:gridCol w:w="717"/>
        <w:gridCol w:w="719"/>
        <w:gridCol w:w="314"/>
        <w:gridCol w:w="1564"/>
        <w:gridCol w:w="162"/>
        <w:gridCol w:w="109"/>
        <w:gridCol w:w="109"/>
        <w:gridCol w:w="109"/>
        <w:gridCol w:w="227"/>
        <w:gridCol w:w="796"/>
        <w:gridCol w:w="119"/>
        <w:gridCol w:w="109"/>
        <w:gridCol w:w="109"/>
        <w:gridCol w:w="109"/>
        <w:gridCol w:w="211"/>
        <w:gridCol w:w="105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October 31, 2025</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5,314,820 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5,336,567 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(1,299,986)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(1,321,733)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Consolidated Statements of Operations</w:t>
      </w:r>
    </w:p>
    <w:tbl>
      <w:tblPr>
        <w:tblW w:w="9794" w:type="dxa"/>
        <w:jc w:val="left"/>
        <w:tblInd w:w="0" w:type="dxa"/>
        <w:tblLayout w:type="fixed"/>
        <w:tblCellMar>
          <w:top w:w="28" w:type="dxa"/>
          <w:left w:w="28" w:type="dxa"/>
          <w:bottom w:w="28" w:type="dxa"/>
          <w:right w:w="28" w:type="dxa"/>
        </w:tblCellMar>
      </w:tblPr>
      <w:tblGrid>
        <w:gridCol w:w="1814"/>
        <w:gridCol w:w="1594"/>
        <w:gridCol w:w="1601"/>
        <w:gridCol w:w="326"/>
        <w:gridCol w:w="1352"/>
        <w:gridCol w:w="181"/>
        <w:gridCol w:w="109"/>
        <w:gridCol w:w="109"/>
        <w:gridCol w:w="109"/>
        <w:gridCol w:w="248"/>
        <w:gridCol w:w="724"/>
        <w:gridCol w:w="139"/>
        <w:gridCol w:w="109"/>
        <w:gridCol w:w="109"/>
        <w:gridCol w:w="109"/>
        <w:gridCol w:w="196"/>
        <w:gridCol w:w="811"/>
        <w:gridCol w:w="154"/>
      </w:tblGrid>
      <w:tr>
        <w:trPr/>
        <w:tc>
          <w:tcPr>
            <w:tcW w:w="181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 2025</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Subscription cost of revenue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242,374 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Professional services cost of services </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814,291 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Sales and marketing </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938,947 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(110,993)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CrowdStrike</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CrowdStrike common stockholders:</w:t>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2"/>
        <w:gridCol w:w="552"/>
        <w:gridCol w:w="553"/>
        <w:gridCol w:w="223"/>
        <w:gridCol w:w="839"/>
        <w:gridCol w:w="124"/>
        <w:gridCol w:w="109"/>
        <w:gridCol w:w="109"/>
        <w:gridCol w:w="109"/>
        <w:gridCol w:w="248"/>
        <w:gridCol w:w="724"/>
        <w:gridCol w:w="139"/>
        <w:gridCol w:w="109"/>
        <w:gridCol w:w="109"/>
        <w:gridCol w:w="109"/>
        <w:gridCol w:w="196"/>
        <w:gridCol w:w="736"/>
        <w:gridCol w:w="109"/>
        <w:gridCol w:w="109"/>
        <w:gridCol w:w="109"/>
        <w:gridCol w:w="109"/>
        <w:gridCol w:w="219"/>
        <w:gridCol w:w="858"/>
        <w:gridCol w:w="121"/>
        <w:gridCol w:w="109"/>
        <w:gridCol w:w="109"/>
        <w:gridCol w:w="109"/>
        <w:gridCol w:w="228"/>
        <w:gridCol w:w="754"/>
        <w:gridCol w:w="129"/>
        <w:gridCol w:w="109"/>
        <w:gridCol w:w="109"/>
        <w:gridCol w:w="109"/>
        <w:gridCol w:w="196"/>
        <w:gridCol w:w="761"/>
        <w:gridCol w:w="159"/>
      </w:tblGrid>
      <w:tr>
        <w:trPr/>
        <w:tc>
          <w:tcPr>
            <w:tcW w:w="70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 2025</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cost of revenue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 cost of services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599,426 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596,426 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858,669 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1,672,960 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1,675,960 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886,641 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680,797 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673,459 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971,648 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1,910,595 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1,900,130 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(112,979)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(71,674)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(161,561)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CrowdStrike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(77,675)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CrowdStrike common stockholders: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02"/>
        <w:gridCol w:w="552"/>
        <w:gridCol w:w="553"/>
        <w:gridCol w:w="223"/>
        <w:gridCol w:w="839"/>
        <w:gridCol w:w="124"/>
        <w:gridCol w:w="109"/>
        <w:gridCol w:w="109"/>
        <w:gridCol w:w="109"/>
        <w:gridCol w:w="252"/>
        <w:gridCol w:w="717"/>
        <w:gridCol w:w="142"/>
        <w:gridCol w:w="109"/>
        <w:gridCol w:w="109"/>
        <w:gridCol w:w="109"/>
        <w:gridCol w:w="196"/>
        <w:gridCol w:w="736"/>
        <w:gridCol w:w="109"/>
        <w:gridCol w:w="109"/>
        <w:gridCol w:w="109"/>
        <w:gridCol w:w="109"/>
        <w:gridCol w:w="219"/>
        <w:gridCol w:w="858"/>
        <w:gridCol w:w="121"/>
        <w:gridCol w:w="109"/>
        <w:gridCol w:w="109"/>
        <w:gridCol w:w="109"/>
        <w:gridCol w:w="228"/>
        <w:gridCol w:w="754"/>
        <w:gridCol w:w="129"/>
        <w:gridCol w:w="109"/>
        <w:gridCol w:w="109"/>
        <w:gridCol w:w="109"/>
        <w:gridCol w:w="196"/>
        <w:gridCol w:w="761"/>
        <w:gridCol w:w="159"/>
      </w:tblGrid>
      <w:tr>
        <w:trPr/>
        <w:tc>
          <w:tcPr>
            <w:tcW w:w="70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October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October 31, 2025</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cost of revenue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753,929 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750,806 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 cost of services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907,231 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903,016 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2,599,399 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2,603,614 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1,367,673 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1,366,459 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1,028,361 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1,017,043 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2,906,477 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2,890,006 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(307,078)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(222,626)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CrowdStrike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(221,879)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CrowdStrike common stockholders: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impact to the consolidated statements of cash flows from operating activities, investing activities, or financing activities for any period. The impact to the consolidated statements of comprehensive income (loss) is limited to the impact to Net income (loss) as detailed above. The impact to the consolidated statements of stockholders' equity is to Additional paid-in capital and Accumulated deficit for the same amounts as detailed above, with no resulting impact on Total stockholders’ equity as previously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1, Description of Business and Significant Accounting Policies, included in Part II, Item 8 of this Annual Report on Form 10-K for more information about the impact of certain recent accounting pronouncements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operations in the United States and internationally, and we are exposed to market risk in the ordinary course of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primarily consist of cash on hand and highly liquid investments in money market funds, U.S. Treasury bills, and time deposits. Our investments do not have significant interest rate risk, as the yields on our investments are fixed rates. As of January 31, 2026, we had cash and cash equivalents of $5.2 billion. As of January 31, 2025, we had cash and cash equivalents of $4.3 billion. The primary objectives of our investment activities are the preservation of capital, the fulfillment of liquidity needs, and the fiduciary control of cash and investments. We do not enter into investments for trading or speculative purposes. The effect of a hypothetical 100 basis point change in interest rates would not have had a material effect on the fair market value of our portfolio as of January 31, 2026 or January 31, 2025. We therefore do not expect our results of operations or cash flows to be materially affected by a sudden change in market interest rates.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debt obligations consist of a variety of financial instruments that expose us to interest rate risk, including, but not limited to our Senior Notes. The interest rate on the Senior Notes is fixed.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currencies of our foreign subsidiaries are generally the country’s local currency. Foreign currency transaction gains and losses are recorded to other income (expense), net. A hypothetical 10% adverse change in the U.S. dollar against other currencies would have resulted in an increase in operating loss of approximately $138.8 million, $108.3 million and $75.8 million for the fiscal years ended January 31, 2026, January 31, 2025 and January 31, 2024 respectively. We have not entered into derivative or hedging transactions, but we may do so in the future if our exposure to foreign currency becomes more significant.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Inflation Rate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believe that inflation had a material effect on our business, financial condition, or results of operations during the fiscal years ended January 31, 2026, January 31, 2025, or January 31, 2024.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24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766" w:type="dxa"/>
        <w:jc w:val="center"/>
        <w:tblInd w:w="0" w:type="dxa"/>
        <w:tblLayout w:type="fixed"/>
        <w:tblCellMar>
          <w:top w:w="28" w:type="dxa"/>
          <w:left w:w="28" w:type="dxa"/>
          <w:bottom w:w="28" w:type="dxa"/>
          <w:right w:w="28" w:type="dxa"/>
        </w:tblCellMar>
      </w:tblPr>
      <w:tblGrid>
        <w:gridCol w:w="3329"/>
        <w:gridCol w:w="2925"/>
        <w:gridCol w:w="2941"/>
        <w:gridCol w:w="167"/>
        <w:gridCol w:w="167"/>
        <w:gridCol w:w="237"/>
      </w:tblGrid>
      <w:tr>
        <w:trPr/>
        <w:tc>
          <w:tcPr>
            <w:tcW w:w="3329"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85">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238)</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94d40284295348378ae47b1f11c9e604_85">
              <w:r>
                <w:rPr>
                  <w:rStyle w:val="InternetLink"/>
                  <w:rFonts w:ascii="Times New Roman;serif" w:hAnsi="Times New Roman;serif"/>
                  <w:b w:val="false"/>
                  <w:color w:val="0000FF"/>
                  <w:sz w:val="20"/>
                  <w:u w:val="single"/>
                </w:rPr>
                <w:t>80</w:t>
              </w:r>
            </w:hyperlink>
          </w:p>
        </w:tc>
      </w:tr>
      <w:tr>
        <w:trPr/>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Financial Statements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88">
              <w:r>
                <w:rPr>
                  <w:rStyle w:val="InternetLink"/>
                  <w:rFonts w:ascii="Times New Roman;serif" w:hAnsi="Times New Roman;serif"/>
                  <w:b w:val="false"/>
                  <w:color w:val="0000FF"/>
                  <w:sz w:val="20"/>
                  <w:u w:val="single"/>
                </w:rPr>
                <w:t>Consolidated Balance Sheets as of January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88">
              <w:r>
                <w:rPr>
                  <w:rStyle w:val="InternetLink"/>
                  <w:rFonts w:ascii="Times New Roman;serif" w:hAnsi="Times New Roman;serif"/>
                  <w:b w:val="false"/>
                  <w:color w:val="0000FF"/>
                  <w:sz w:val="20"/>
                  <w:u w:val="single"/>
                </w:rPr>
                <w:t>82</w:t>
              </w:r>
            </w:hyperlink>
          </w:p>
        </w:tc>
      </w:tr>
      <w:tr>
        <w:trPr/>
        <w:tc>
          <w:tcPr>
            <w:tcW w:w="9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91">
              <w:r>
                <w:rPr>
                  <w:rStyle w:val="InternetLink"/>
                  <w:rFonts w:ascii="Times New Roman;serif" w:hAnsi="Times New Roman;serif"/>
                  <w:b w:val="false"/>
                  <w:color w:val="0000FF"/>
                  <w:sz w:val="20"/>
                  <w:u w:val="single"/>
                </w:rPr>
                <w:t>Consolidated Statements of Operations for the years ended January 31, 2026, 2025 and 2024</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91">
              <w:r>
                <w:rPr>
                  <w:rStyle w:val="InternetLink"/>
                  <w:rFonts w:ascii="Times New Roman;serif" w:hAnsi="Times New Roman;serif"/>
                  <w:b w:val="false"/>
                  <w:color w:val="0000FF"/>
                  <w:sz w:val="20"/>
                  <w:u w:val="single"/>
                </w:rPr>
                <w:t>83</w:t>
              </w:r>
            </w:hyperlink>
          </w:p>
        </w:tc>
      </w:tr>
      <w:tr>
        <w:trPr/>
        <w:tc>
          <w:tcPr>
            <w:tcW w:w="9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94">
              <w:r>
                <w:rPr>
                  <w:rStyle w:val="InternetLink"/>
                  <w:rFonts w:ascii="Times New Roman;serif" w:hAnsi="Times New Roman;serif"/>
                  <w:b w:val="false"/>
                  <w:color w:val="0000FF"/>
                  <w:sz w:val="20"/>
                  <w:u w:val="single"/>
                </w:rPr>
                <w:t>Consolidated Statements of Comprehensive Income (Loss) for the years ended January 31, 2026, 2025 and 2024</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94">
              <w:r>
                <w:rPr>
                  <w:rStyle w:val="InternetLink"/>
                  <w:rFonts w:ascii="Times New Roman;serif" w:hAnsi="Times New Roman;serif"/>
                  <w:b w:val="false"/>
                  <w:color w:val="0000FF"/>
                  <w:sz w:val="20"/>
                  <w:u w:val="single"/>
                </w:rPr>
                <w:t>84</w:t>
              </w:r>
            </w:hyperlink>
          </w:p>
        </w:tc>
      </w:tr>
      <w:tr>
        <w:trPr/>
        <w:tc>
          <w:tcPr>
            <w:tcW w:w="9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97">
              <w:r>
                <w:rPr>
                  <w:rStyle w:val="InternetLink"/>
                  <w:rFonts w:ascii="Times New Roman;serif" w:hAnsi="Times New Roman;serif"/>
                  <w:b w:val="false"/>
                  <w:color w:val="0000FF"/>
                  <w:sz w:val="20"/>
                  <w:u w:val="single"/>
                </w:rPr>
                <w:t>Consolidated Statements of Stockholders’ Equity for the years ended January 31, 2026, 2025 and 2024</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97">
              <w:r>
                <w:rPr>
                  <w:rStyle w:val="InternetLink"/>
                  <w:rFonts w:ascii="Times New Roman;serif" w:hAnsi="Times New Roman;serif"/>
                  <w:b w:val="false"/>
                  <w:color w:val="0000FF"/>
                  <w:sz w:val="20"/>
                  <w:u w:val="single"/>
                </w:rPr>
                <w:t>85</w:t>
              </w:r>
            </w:hyperlink>
          </w:p>
        </w:tc>
      </w:tr>
      <w:tr>
        <w:trPr/>
        <w:tc>
          <w:tcPr>
            <w:tcW w:w="9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00">
              <w:r>
                <w:rPr>
                  <w:rStyle w:val="InternetLink"/>
                  <w:rFonts w:ascii="Times New Roman;serif" w:hAnsi="Times New Roman;serif"/>
                  <w:b w:val="false"/>
                  <w:color w:val="0000FF"/>
                  <w:sz w:val="20"/>
                  <w:u w:val="single"/>
                </w:rPr>
                <w:t>Consolidated Statements of Cash Flows for the years ended January 31, 2026, 2025 and 2024</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00">
              <w:r>
                <w:rPr>
                  <w:rStyle w:val="InternetLink"/>
                  <w:rFonts w:ascii="Times New Roman;serif" w:hAnsi="Times New Roman;serif"/>
                  <w:b w:val="false"/>
                  <w:color w:val="0000FF"/>
                  <w:sz w:val="20"/>
                  <w:u w:val="single"/>
                </w:rPr>
                <w:t>86</w:t>
              </w:r>
            </w:hyperlink>
          </w:p>
        </w:tc>
      </w:tr>
      <w:tr>
        <w:trPr/>
        <w:tc>
          <w:tcPr>
            <w:tcW w:w="9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103">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0284295348378ae47b1f11c9e604_103">
              <w:r>
                <w:rPr>
                  <w:rStyle w:val="InternetLink"/>
                  <w:rFonts w:ascii="Times New Roman;serif" w:hAnsi="Times New Roman;serif"/>
                  <w:b w:val="false"/>
                  <w:color w:val="0000FF"/>
                  <w:sz w:val="20"/>
                  <w:u w:val="single"/>
                </w:rPr>
                <w:t>87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CrowdStrike Holdings,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240" w:after="283"/>
        <w:jc w:val="left"/>
        <w:rPr/>
      </w:pPr>
      <w:r>
        <w:rPr>
          <w:rFonts w:ascii="Times New Roman;serif" w:hAnsi="Times New Roman;serif"/>
          <w:b w:val="false"/>
          <w:color w:val="000000"/>
          <w:sz w:val="20"/>
        </w:rPr>
        <w:t xml:space="preserve">We have audited the accompanying consolidated balance sheets of CrowdStrike Holdings, Inc. and its subsidiaries (the “Company”) as of January 31, 2026 and 2025, and the related consolidated statements of operations, of comprehensive income (loss), of stockholders’ equity and of cash flows for each of the three years in the period ended January 31, 2026, including the related notes (collectively referred to as the “consolidated financial statements”). We also have audited the Company’s internal control over financial reporting as of January 31,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 xml:space="preserve">(2013) issued by the Committee of Sponsoring Organizations of the Treadway Commission (COSO). </w:t>
      </w:r>
    </w:p>
    <w:p>
      <w:pPr>
        <w:pStyle w:val="TextBody"/>
        <w:bidi w:val="0"/>
        <w:spacing w:lineRule="auto" w:line="288" w:before="240" w:after="283"/>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 Also in our opinion, the Company maintained, in all material respects, effective internal control over financial reporting as of January 31,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Revenue Recognition - Subscription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described in Note 1 to the consolidated financial statements, subscription revenues are primarily comprised of fees that give customers access to the ordered service, related support and updates, if any, during the subscription term. The Company initially records the subscription fees as deferred revenue and recognizes revenue on a straight-line basis over the term of the agreement. The Company recognized consolidated subscription revenue of $4,564.7 million for the year ended January 31, 2026. The principal consideration for our determination that performing procedures relating to revenue recognition for subscription revenue is a critical audit matter is a high degree of auditor effort in performing procedures relating to the Company’s subscription revenue recognition. Addressing the matter involved performing procedures and evaluating audit evidence in connection with forming our overall opinion on the consolidated financial statements. These procedures included testing the effectiveness of controls relating to the subscription revenue recognition process. These procedures also included, among others (i) testing subscription revenue recognized for a sample of revenue transactions by obtaining and inspecting source documents, such as agreements, evidence of delivery of the service, invoices, and receipt of payment and (ii) confirming a sample of outstanding customer invoice balances as of January 31, 2026 and, for confirmations not returned, obtaining and inspecting source documents, such as agreements, evidence of delivery of the service, invoices, and subsequent receipt of payment.</w:t>
      </w:r>
    </w:p>
    <w:p>
      <w:pPr>
        <w:pStyle w:val="TextBody"/>
        <w:bidi w:val="0"/>
        <w:spacing w:lineRule="auto" w:line="288" w:before="320" w:after="283"/>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4,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2898"/>
        <w:gridCol w:w="2264"/>
        <w:gridCol w:w="2227"/>
        <w:gridCol w:w="196"/>
        <w:gridCol w:w="961"/>
        <w:gridCol w:w="109"/>
        <w:gridCol w:w="109"/>
        <w:gridCol w:w="109"/>
        <w:gridCol w:w="109"/>
        <w:gridCol w:w="196"/>
        <w:gridCol w:w="871"/>
        <w:gridCol w:w="156"/>
      </w:tblGrid>
      <w:tr>
        <w:trPr/>
        <w:tc>
          <w:tcPr>
            <w:tcW w:w="289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4,323,295 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$3.0 million and $2.8 million as of January 31, 2026 and January 31, 2025,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7,419,119 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6,113,345 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788,640 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11,086,684 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8,701,578 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4,184,192 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3,461,050 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995,672 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6,614,079 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5,382,661 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10)</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$0.0005 par value; 100,000 shares authorized as of January 31, 2026 and January 31, 2025; no shares issued and outstanding as of January 31, 2026 and January 31, 2025.</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$0.0005 par value; 2,000,000 shares authorized as of January 31, 2026 and January 31, 2025; 253,363 shares, and 247,872 shares issued and outstanding as of January 31, 2026 and January 31, 2025, respectively; Class B common stock, $0.0005 par value; 92,364 shares authorized as of January 31, 2026 and January 31, 2025; 0 shares issued and outstanding as of January 31, 2026 and January 31, 2025.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4,409,503 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(1,120,540)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CrowdStrike Holdings, Inc. stockholders’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3,279,494 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4,472,605 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3,318,917 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11,086,684 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8,701,578 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2177"/>
        <w:gridCol w:w="1714"/>
        <w:gridCol w:w="1726"/>
        <w:gridCol w:w="211"/>
        <w:gridCol w:w="976"/>
        <w:gridCol w:w="109"/>
        <w:gridCol w:w="109"/>
        <w:gridCol w:w="109"/>
        <w:gridCol w:w="109"/>
        <w:gridCol w:w="211"/>
        <w:gridCol w:w="976"/>
        <w:gridCol w:w="109"/>
        <w:gridCol w:w="109"/>
        <w:gridCol w:w="109"/>
        <w:gridCol w:w="109"/>
        <w:gridCol w:w="211"/>
        <w:gridCol w:w="976"/>
        <w:gridCol w:w="155"/>
      </w:tblGrid>
      <w:tr>
        <w:trPr/>
        <w:tc>
          <w:tcPr>
            <w:tcW w:w="2177"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3,055,555 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758,929 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2,315,767 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CrowdStrike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CrowdStrike common stockholders: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CrowdStrike common stockholders: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250,576 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243,635 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32"/>
        <w:gridCol w:w="1953"/>
        <w:gridCol w:w="1952"/>
        <w:gridCol w:w="211"/>
        <w:gridCol w:w="895"/>
        <w:gridCol w:w="109"/>
        <w:gridCol w:w="109"/>
        <w:gridCol w:w="109"/>
        <w:gridCol w:w="109"/>
        <w:gridCol w:w="211"/>
        <w:gridCol w:w="790"/>
        <w:gridCol w:w="109"/>
        <w:gridCol w:w="109"/>
        <w:gridCol w:w="109"/>
        <w:gridCol w:w="109"/>
        <w:gridCol w:w="211"/>
        <w:gridCol w:w="721"/>
        <w:gridCol w:w="157"/>
      </w:tblGrid>
      <w:tr>
        <w:trPr/>
        <w:tc>
          <w:tcPr>
            <w:tcW w:w="223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6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equivalents and short-term investments, net of tax</w:t>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CrowdStrike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13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CrowdStrike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Stockholders’ Equity</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bl>
      <w:tblPr>
        <w:tblW w:w="10525" w:type="dxa"/>
        <w:jc w:val="center"/>
        <w:tblInd w:w="0" w:type="dxa"/>
        <w:tblLayout w:type="fixed"/>
        <w:tblCellMar>
          <w:top w:w="28" w:type="dxa"/>
          <w:left w:w="28" w:type="dxa"/>
          <w:bottom w:w="28" w:type="dxa"/>
          <w:right w:w="28" w:type="dxa"/>
        </w:tblCellMar>
      </w:tblPr>
      <w:tblGrid>
        <w:gridCol w:w="644"/>
        <w:gridCol w:w="210"/>
        <w:gridCol w:w="212"/>
        <w:gridCol w:w="109"/>
        <w:gridCol w:w="109"/>
        <w:gridCol w:w="109"/>
        <w:gridCol w:w="126"/>
        <w:gridCol w:w="126"/>
        <w:gridCol w:w="331"/>
        <w:gridCol w:w="315"/>
        <w:gridCol w:w="127"/>
        <w:gridCol w:w="109"/>
        <w:gridCol w:w="109"/>
        <w:gridCol w:w="109"/>
        <w:gridCol w:w="199"/>
        <w:gridCol w:w="431"/>
        <w:gridCol w:w="121"/>
        <w:gridCol w:w="109"/>
        <w:gridCol w:w="109"/>
        <w:gridCol w:w="109"/>
        <w:gridCol w:w="181"/>
        <w:gridCol w:w="751"/>
        <w:gridCol w:w="109"/>
        <w:gridCol w:w="109"/>
        <w:gridCol w:w="109"/>
        <w:gridCol w:w="109"/>
        <w:gridCol w:w="181"/>
        <w:gridCol w:w="736"/>
        <w:gridCol w:w="109"/>
        <w:gridCol w:w="190"/>
        <w:gridCol w:w="190"/>
        <w:gridCol w:w="191"/>
        <w:gridCol w:w="224"/>
        <w:gridCol w:w="706"/>
        <w:gridCol w:w="136"/>
        <w:gridCol w:w="109"/>
        <w:gridCol w:w="109"/>
        <w:gridCol w:w="109"/>
        <w:gridCol w:w="195"/>
        <w:gridCol w:w="617"/>
        <w:gridCol w:w="119"/>
        <w:gridCol w:w="109"/>
        <w:gridCol w:w="109"/>
        <w:gridCol w:w="109"/>
        <w:gridCol w:w="181"/>
        <w:gridCol w:w="751"/>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Stockholders’ Equity </w:t>
            </w:r>
          </w:p>
        </w:tc>
        <w:tc>
          <w:tcPr>
            <w:tcW w:w="1413" w:type="dxa"/>
            <w:gridSpan w:val="6"/>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at January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235,777</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118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2,642,022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(1,177,480)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(1,019)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23,793</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1,487,434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upon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under RSU and PSU release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founders holdbacks related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payment of board of director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 net of founder revest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644,007 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Capitalized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replacement equity awards attributable to pre-acquisition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at 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241,865</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121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3,410,791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(1,105,299)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(1,663)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33,139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2,337,089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upon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under RSU and PSU release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founders holdbacks related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payment of board of director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 net of founder revest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853,099 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Capitalized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replacement equity awards attributable to pre-acquisition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at 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247,872</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124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4,409,503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(1,120,540)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(9,593)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39,423</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3,318,917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upon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under RSU and PSU release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founders holdbacks related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payment of board of director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 net of founder revest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1,086,346 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Capitalized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replacement equity awards attributable to pre-acquisition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at 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253,363</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127</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5,694,549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(1,283,042)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16,756</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44,215</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4,472,605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CrowdStrike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Cash Flows</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bl>
      <w:tblPr>
        <w:tblW w:w="10205" w:type="dxa"/>
        <w:jc w:val="center"/>
        <w:tblInd w:w="0" w:type="dxa"/>
        <w:tblLayout w:type="fixed"/>
        <w:tblCellMar>
          <w:top w:w="28" w:type="dxa"/>
          <w:left w:w="28" w:type="dxa"/>
          <w:bottom w:w="28" w:type="dxa"/>
          <w:right w:w="28" w:type="dxa"/>
        </w:tblCellMar>
      </w:tblPr>
      <w:tblGrid>
        <w:gridCol w:w="1498"/>
        <w:gridCol w:w="1144"/>
        <w:gridCol w:w="1154"/>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14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acquisition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gains on strategic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short-term investments purchased at a discount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strategic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impact of acquisitions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internal-use software and website development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strategic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strategic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acquisitions, net of cash and restricted cash acquired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short-term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and sales of 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deferred compensation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deferred compensation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upon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the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from non-controlling interest holders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rates on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at the end of period:</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included in 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included in other long-term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shown in the consolidated statements of cash flows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net of refunds received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property and equipment included in 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consideration for acquisitions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lease liabilities arising from obtaining operating right-of-use assets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strategic investments not yet received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software development costs and fixed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consideration for the purchase of strategic investments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consideration received from sales of strategic investments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common stock to be issued for consideration transferred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held in escrow for purchase consideration for business combinations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 Description of Business and Significant Accounting Policies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CrowdStrike Holdings, Inc. (and/or its subsidiaries, as applicable, the “Company”) was formed on November 7, 2011. The Company is a global cybersecurity leader that delivers an AI-native platform designed for the agentic era and purpose-built to stop breaches. The Company’s unified, cloud-delivered platform provides protection across endpoints, cloud workloads, identity, and data through a software as a service (“SaaS”) subscription-based model, spanning multiple large and strategic markets, including endpoint protection, security and IT operations, managed detection and response, Next-Gen SIEM, cloud and identity security, threat intelligence, data protection, exposure management, and AI security capabilities. The Company conducts its business in the United States and internationally, including Australia, Canada, Germany, India, Israel, Japan, Romania, Singapore, Spain, and the United Kingdom.</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conformity with U.S. generally accepted accounting principles (“U.S. GAAP”).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 owned subsidiaries. All intercompany balances and transactions have been eliminated in consolidation.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from these estimates and such differences could be material to the Company’s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completed an assessment of the estimated period of benefit of commissions earned upon the initial acquisition of a contract, or subsequent upsell, and determined that it should increase from four to five years. This change in estimate will be effective beginning in fiscal year 2027.</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 of Credit Risk and Geographic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of cash, cash equivalents, accounts receivable, financing receivables, and strategic investments. The Company’s cash is placed with high-credit-quality financial institutions and issuers, and at times exceeds federally insured limits. The Company has not experienced any credit loss relating to its cash, cash equivalents or strategic investments. The Company performs periodic credit evaluations of its customers and generally does not require collateral.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channel partners or direct customers who represented 10% or more of the Company’s accounts receivable as of January 31, 2026 and January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January 31, 2026, two end users represented 10% or more of the Company’s financing receivables, and in aggregate represented 27% of the Company’s financing receivables. As of January 31, 2025, two end users represented 10% or more of the Company’s financing receivables, and in aggregate represented 78% of the Company’s financing receivables.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channel partners or direct customers who represented 10% or more of the Company’s total revenue during the fiscal years ended January 31, 2026, January 31, 2025, and January 31, 2024.</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of cash equivalents, strategic investments, accounts receivable, financing receivables, accounts payable, accrued expenses, the Senior Notes, and investments for the Company’s deferred compensation plan. The carrying values of cash equivalents, accounts receivable, financing receivables, accounts payable, and accrued expenses approximate fair value. If these financial instruments were measured at fair value in the consolidated financial statements, money market funds, accounts receivable, accounts payable, accrued expenses, and investments for the Company’s deferred compensation plan would be classified as Level 1, U.S. treasury securities would be classified as Level 2, and financing receivables would be classified as Level 3. The Senior Notes are carried at the initially allocated liability value less unamortized debt discount and issuance costs on the Company’s consolidated balance sheets. The Company discloses the fair value of the Senior Notes at each reporting period for disclosure purposes only. The Company’s investments related to the deferred compensation plan are invested within a Rabbi Trust. Participants in the deferred compensation plan may select the securities in which their compensation deferrals are invested within the confines of the Rabbi Trust. These securities are marked-to-market each reporting period. Refer to Note 2, Investments and Fair Value Measurements, regarding the fair value of the Company’s financial instruments, and Note 5, Debt, for the fair value of the Company’s Senior Notes.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with original maturities of three months or less at the date of purchase to be cash equivalents. Cash equivalents are mainly comprised of money market funds, U.S. Treasury bills, and time deposits. The Company had $3.1 billion and $4.0 billion of cash equivalents as of January 31, 2026 and January 31, 2025, respectively.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cash that is restricted as to withdrawal or use under the terms of certain contractual agreements as restricted cash. The Company’s restricted cash primarily relates to indemnity holdback amounts arising from business combinations. Restricted cash is classified as current or noncurrent based on the remaining term of the restriction. The current portion of restricted cash is recorded in prepaid expenses and other current assets in the consolidated balance sheets. The noncurrent portion of restricted cash is recorded in other long-term assets in the consolidated balance sheets.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Accounts Receivable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recorded at the invoiced amount and are non-interest bearing. Accounts receivable are stated at their net realizable value, net of the allowance for credit losses.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regularly reviews the adequacy of the allowance for credit losses by considering various factors including the age of each outstanding invoice, each customer’s expected ability to pay, historical loss rates, and expectations of forward-looking loss estimates to determine whether the allowance is appropriate. Amounts deemed uncollectible are written off against the allowance for credit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Financing Receivables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provides financing arrangements for certain qualified end-users to purchase its products and services in the United States. Payment terms on these financing arrangements are generally up to five years. Financing receivables are recorded at amortized cost, which approximates fair value. Financing receivables, with contractual maturities of one year or less, are included in prepaid expenses and other current assets, while those with contractual terms exceeding one year are included in other long-term assets on the consolidated balance sheets. Interest income is recognized over the financing period using the effective interest method.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allowance for credit losses by assessing the risks and losses inherent in the financing receivables on either an individual or a collective basis. The Company’s assessment considers various factors, including lifetime expected losses determined using customer risk profile, current economic conditions that may affect a customer's ability to pay, and forward-looking economic considerations. Financing receivables deemed uncollectible are charged against the allowance for credit losses.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on off-balance sheet credit exposure is estimated at each reporting period based on the contractual period over which the Company is exposed to credit risk via a contractual obligation to extend credit, unless that obligation is unconditionally cancellable by the Company. The portion of the allowance for credit losses related to future disbursements is shown as a liability on the consolidated balance sheets, and the related expense for credit losses is reflected in the consolidated statements of operations.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2019, the Company agreed to commit up to $10.0 million to a newly formed entity, CrowdStrike Falcon Fund LLC (the “Original Falcon Fund”) in exchange for 50% of the sharing percentage of any distributions by the Original Falcon Fund. In December 2021, the Company agreed to commit an additional $50.0 million to a newly formed entity, CrowdStrike Falcon Fund II LLC (“Falcon Fund II”) in exchange for 50% of the sharing percentage of any distributions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CrowdStrike and its platform. The Company is the manager of the Falcon Funds and controls the investment decisions and day-to-day operations and accordingly has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elected the measurement alternative for the non-marketable equity investments of the Falcon Funds where eligible. Under the measurement alternative, the non-marketable equity investments are measured at cost, less any impairment, plus or minus adjustments resulting from price changes from observable transactions of identical or similar securities of the same issuer. All gains and losses on strategic investments, realized and unrealized, are recognized in other income (expense), net. Strategic investments are classified within Level 3 in the fair value hierarchy as these investments do not have readily determinable market values. The carrying amount of strategic investments is adjusted based on observable price changes from observable transactions of identical or similar securities of the same issuer and other unobservable inputs including volatility, rights, and obligations of the investments, or by impairments when identified events and circumstances indicate a decline in value has occurred. The Company classifies the investments in the Falcon Funds as a non-current asset called strategic investments on the consolidated balance sheets.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allocates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the Company believes the assumptions and estimates it has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expected cash flows, expected customer attrition rates, estimated obsolescence rates, and discount rates. These estimates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consolidated statements of operations.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evaluates and tests goodwill for impairment at least annually, on January 31, or more frequently if circumstances indicate that goodwill may not be recoverable. A qualitative assessment is performed to determine whether the existence of events or circumstances leads to a determination that it is more likely than not that the fair value of its one reporting unit is less than its carrying value.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If the Company determines it is more likely than not that the fair value of its one reporting unit is less than its carrying value, a quantitative test is performed by estimating the fair value of its reporting unit, including goodwill, and comparing it to its carrying value. If the fair value is lower than the carrying value, the excess is recognized as an impairment loss. No impairment losses were recorded during the fiscal years ended January 31, 2026, January 31, 2025, or January 31, 2024. See Note 4, Balance Sheet Components, and Note 12, Acquisitions, to the consolidated financial statements for more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mainly consisting of developed technology, customer relationships, and intellectual property are stated at fair value at the acquisition date and are amortized on a straight-line basis over their estimated economic lives, which are generally 2 to 20 years. The Company reviews the carrying amounts of intangible assets for impairment whenever events or changes in circumstances indicate that the carrying amount of the assets may not be recoverable. The impairment to be recognized equals the amount by which the carrying value of the asset exceeds its fair value. No impairment indicators were identified by the Company, and no impairment losses were recorded by the Company during the fiscal years ended January 31, 2026, January 31, 2025, and January 31, 2024.</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is stated at historical cost less accumulated depreciation and amortization. Depreciation and amortization are calculated using the straight-line method over the estimated useful lives of the assets as follows:</w:t>
      </w:r>
    </w:p>
    <w:tbl>
      <w:tblPr>
        <w:tblW w:w="10003" w:type="dxa"/>
        <w:jc w:val="left"/>
        <w:tblInd w:w="0" w:type="dxa"/>
        <w:tblLayout w:type="fixed"/>
        <w:tblCellMar>
          <w:top w:w="28" w:type="dxa"/>
          <w:left w:w="28" w:type="dxa"/>
          <w:bottom w:w="28" w:type="dxa"/>
          <w:right w:w="28" w:type="dxa"/>
        </w:tblCellMar>
      </w:tblPr>
      <w:tblGrid>
        <w:gridCol w:w="1776"/>
        <w:gridCol w:w="1559"/>
        <w:gridCol w:w="1569"/>
        <w:gridCol w:w="1493"/>
        <w:gridCol w:w="1493"/>
        <w:gridCol w:w="2113"/>
      </w:tblGrid>
      <w:tr>
        <w:trPr/>
        <w:tc>
          <w:tcPr>
            <w:tcW w:w="177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center and other computer equipment</w:t>
            </w:r>
          </w:p>
        </w:tc>
        <w:tc>
          <w:tcPr>
            <w:tcW w:w="509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509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and website development</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Estimated useful life or term of the lease, whichever is shorter</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Expenditures for routine maintenance and repairs are charged to operating expense as incurred. Major renewals and improvements are capitalized and depreciated over their estimated useful lives.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are less than its carrying amount. No impairment indicators were identified by the Company, and no impairment losses were recorded by the Company during the fiscal years ended January 31, 2026, January 31, 2025, and January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capitalizes certain development costs incurred in connection with its internal-use software and website development. These capitalized costs are primarily related to the Company’s cybersecurity platform, as well as redefining, redesigning, and rebuilding crowdstrike.com. Costs incurred in the preliminary stages of development are expensed as incurred. Once an application has reached the development stage, internal and external costs, if direct, are capitalized until the internal-use software and website are substantially complete and ready for their intended use. The Company contracts with third party information technology providers for various service arrangements including software, platform, and information technology infrastructure. The Company capitalizes the implementation costs incurred to develop or obtain internal-use software in such arrangements, which are recorded as part of property and equipment, net in the consolidated balance sheets. All capitalized implementation costs are amortized over the term of the arrangement, which includes reasonably certain renewals. Costs incurred during the preliminary project and post-implementation stages are expensed as the activities are performed.</w:t>
      </w:r>
    </w:p>
    <w:p>
      <w:pPr>
        <w:pStyle w:val="TextBody"/>
        <w:bidi w:val="0"/>
        <w:spacing w:lineRule="auto" w:line="288" w:before="240" w:after="283"/>
        <w:ind w:left="0" w:right="0" w:firstLine="360"/>
        <w:jc w:val="left"/>
        <w:rPr/>
      </w:pPr>
      <w:r>
        <w:rPr>
          <w:rFonts w:ascii="Times New Roman;serif" w:hAnsi="Times New Roman;serif"/>
          <w:b w:val="false"/>
          <w:color w:val="000000"/>
          <w:sz w:val="20"/>
        </w:rPr>
        <w:t>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and website development costs are amortized to cost of revenue on a straight-line basis over its estimated useful life.</w:t>
      </w:r>
      <w:r>
        <w:rPr>
          <w:color w:val="000000"/>
        </w:rPr>
        <w:t xml:space="preserve"> </w:t>
      </w:r>
      <w:r>
        <w:rPr>
          <w:rFonts w:ascii="Times New Roman;serif" w:hAnsi="Times New Roman;serif"/>
          <w:b w:val="false"/>
          <w:color w:val="000000"/>
          <w:sz w:val="20"/>
        </w:rPr>
        <w:t xml:space="preserve">Management evaluates the useful lives of these assets on an annual basis and tests for impairment whenever events or changes in circumstances occur that could impact the recoverability of these assets.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Contract Acquisition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ASC 340-40, Other Assets and Deferred Costs - Contracts with Customers, 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deferred revenue balance consists of subscription and professional services, which have been invoiced upfront, and are recognized as revenue only when the revenue recognition criteria are met. The Company’s subscription contracts are typically invoiced to its customers at the beginning of the term, or in some instances, such as in multi-year arrangements, in installments. Professional services are invoiced upfront, invoiced in installments, or invoiced as the services are performed. Accordingly, the Company’s deferred revenue balance does not include revenue for future years of multi-year non-cancelable contracts that have not yet been billed.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subscription revenue ratably over the contract term beginning on the commencement date of each contract, the date that services are made available to customers. The Company recognizes professional services revenue as services are delivered.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consolidated balance sheets, unless such amounts have been paid as of the balance sheet date.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ASU 2014-09, Revenue from Contracts with Customers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(1)</w:t>
      </w:r>
      <w:r>
        <w:rPr>
          <w:rFonts w:ascii="Times New Roman;serif" w:hAnsi="Times New Roman;serif"/>
          <w:b w:val="false"/>
          <w:color w:val="000000"/>
          <w:sz w:val="20"/>
        </w:rPr>
        <w:t>Identify the contract with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pStyle w:val="TextBody"/>
        <w:bidi w:val="0"/>
        <w:spacing w:lineRule="auto" w:line="288" w:before="240" w:after="283"/>
        <w:ind w:left="0" w:right="0" w:firstLine="360"/>
        <w:jc w:val="left"/>
        <w:rPr/>
      </w:pPr>
      <w:r>
        <w:rPr>
          <w:rFonts w:ascii="Times New Roman;serif" w:hAnsi="Times New Roman;serif"/>
          <w:b w:val="false"/>
          <w:color w:val="000000"/>
          <w:sz w:val="20"/>
        </w:rPr>
        <w:t>(2)</w:t>
      </w:r>
      <w:r>
        <w:rPr>
          <w:rFonts w:ascii="Times New Roman;serif" w:hAnsi="Times New Roman;serif"/>
          <w:b w:val="false"/>
          <w:color w:val="000000"/>
          <w:sz w:val="20"/>
        </w:rPr>
        <w:t>Identify the performance obligations in the contract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performance obligations consist of (i) subscriptions and (ii) professional services.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(3)</w:t>
      </w:r>
      <w:r>
        <w:rPr>
          <w:rFonts w:ascii="Times New Roman;serif" w:hAnsi="Times New Roman;serif"/>
          <w:b w:val="false"/>
          <w:color w:val="000000"/>
          <w:sz w:val="20"/>
        </w:rPr>
        <w:t>Determine the transaction price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transaction price is determined based on the consideration to which the Company is expected to be entitled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(4)</w:t>
      </w:r>
      <w:r>
        <w:rPr>
          <w:rFonts w:ascii="Times New Roman;serif" w:hAnsi="Times New Roman;serif"/>
          <w:b w:val="false"/>
          <w:color w:val="000000"/>
          <w:sz w:val="20"/>
        </w:rPr>
        <w:t>Allocate the transaction price to performance obligations in the contract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pStyle w:val="TextBody"/>
        <w:bidi w:val="0"/>
        <w:spacing w:lineRule="auto" w:line="288" w:before="240" w:after="283"/>
        <w:ind w:left="0" w:right="0" w:firstLine="360"/>
        <w:jc w:val="left"/>
        <w:rPr/>
      </w:pPr>
      <w:r>
        <w:rPr>
          <w:rFonts w:ascii="Times New Roman;serif" w:hAnsi="Times New Roman;serif"/>
          <w:b w:val="false"/>
          <w:color w:val="000000"/>
          <w:sz w:val="20"/>
        </w:rPr>
        <w:t>(5)</w:t>
      </w:r>
      <w:r>
        <w:rPr>
          <w:rFonts w:ascii="Times New Roman;serif" w:hAnsi="Times New Roman;serif"/>
          <w:b w:val="false"/>
          <w:color w:val="000000"/>
          <w:sz w:val="20"/>
        </w:rPr>
        <w:t>Recognize revenue when or as performance obligations are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The Company generates all its revenue from contracts with customers.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Subscription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Falcon Platform technology solutions are subscription SaaS offerings designed to continuously monitor, share, and mitigate risks from determined attackers. Subscription revenues are primarily comprised of fees that give customers access to the ordered service, related support, and updates, if any, during the subscription term.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typical subscription term is one to three years. The Company’s contracts with customers typically include a fixed amount of consideration and are generally non-cancelable and without any refund-type provisions. Customers typically have the right to terminate their contracts for cause if the Company fails to perform in accordance with the contractual terms. Some customers have the option to purchase additional subscription at a stated price. These options generally do not provide a material right as they are priced at the Company’s SSP.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Professional Services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Company’s professional services are available through time and material and fixed fee agreements. Revenue for time and material agreements is recognized as services are performed. Fixed fee contracts account for an immaterial portion of the Company’s revenue. </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Contracts with Multiple Performance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from sales is recorded at the net sales price, which is the transaction price, and may include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consolidated financial statements is not material during the periods presented.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provides rebates and other credits within its contracts with certain resellers, which are estimated based on the expected value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when incurred, except for certain internal-use software development costs, which may be capitalized as noted above. Research and development expenses consist primarily of personnel and related headcount costs, stock-based compensation expenses, costs of professional services associated with the ongoing development of the Company’s technology, and allocated overhead.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advertising costs are expensed as incurred, except for certain production costs that are deferred and expensed at the time the advertising first takes place. The Company incurred $126.5 million, $118.1 million, and $79.9 million of advertising costs during the fiscal years ended January 31, 2026, January 31, 2025, and January 31, 2024, respectively.</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Compensation related to stock-based awards to employees and directors is measured and recognized in the Company’s consolidated statements of operations based on the fair value of the awards granted. The Company estimates the fair value of its stock options using the Black-Scholes option-pricing model. The stock-based compensation expense relating to stock options is recognized on a straight-line basis over the period during which the employee or director is required to provide service in exchange for the award, usually the vesting period, which is generally four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Restricted stock units (“RSUs”) are generally subject to a service-based vesting condition. The service-based vesting condition is generally four years. The valuation of these RSUs is based solely on the Company’s stock price on the date of grant, and the corresponding compensation expense is amortized on a straight-line basis.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Performance-based stock units (“PSUs”) are generally subject to both a service-based vesting condition and a performance-based vesting condition. The fair value of the award is equal to the Company’s stock price on the date of grant. PSUs generally vest over a four-year period, subject to continued service through the applicable vesting dates. The stock-based compensation expense relating to PSUs is recognized using the accelerated attribution method over the requisite service period when it is probable that the performance condition will be satisfied.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Special PSU Awards (as defined below) are subject to the Company’s achievement of specified market conditions and a service-based vesting condition. The Company measured the fair value of the Special PSU Awards using a Monte Carlo simulation valuation model. The stock-based compensation expense relating to the Special PSU Awards is recognized using the accelerated attribution method over the longer of the derived service period and the explicit service period.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(“ESPP”) grants are measured based on the fair value at grant date using the Black-Scholes option-pricing model. The resulting stock-based compensation expense is recognized using the accelerated attribution method over a two-year offering period and is accounted for as having four separate tranches starting on the same initial enrollment date. The requisite service periods for the four tranches are approximately 6, 12, 18, and 24 months.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forfeitures as they occur for all stock-based awards.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Deferred Compensation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the board of directors approved the CrowdStrike Inc. Deferred Compensation Plan (the “DCP”), effective January 1, 2023. The DCP is a non-qualified, deferred compensation arrangement that permits eligible employees to make 100% vested salary and incentive compensation deferrals within established limits. The Company does not make contributions to the DCP.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DCP’s assets consist of marketable securities held in a Rabbi Trust and are included in other long-term assets in the consolidated balance sheets because they are intended to fund the DCP’s long-term liabilities. They are not available for use in the Company’s daily operations and are not intended to be sold within a short period of time after purchase. The marketable securities were recorded at fair value based on quoted market prices and were $12.7 million and $5.5 million as of January 31, 2026 and January 31, 2025, respectively. The deferred compensation liability was $12.7 million and $5.5 million as of January 31, 2026 and January 31, 2025, respectively, and is included in other liabilities, noncurrent in the consolidated balance sheets. Gains and losses on deferred compensation investments are included in other income (expense), net, and corresponding changes in the deferred compensation liability are included in operating expenses and cost of revenue. Changes in the fair value of the deferred compensation asset and liability were immaterial for the fiscal years ended January 31, 2026 and January 31, 2025.</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enters into operating lease arrangements for real estate assets related to office space. The Company determines if an arrangement is or contains a lease at inception by evaluating various factors, including whether a vendor’s right to substitute an identified asset is substantive. Lease classification is determined at the lease commencement date, which is the date the leased assets are made available for use. Operating leases are included in operating lease right-of-use assets, operating lease liabilities, current, and operating lease liabilities, noncurrent in the consolidated balance sheets. The Company did not have any financing leases in any of the periods presented.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right-of-use (“ROU”) assets and lease liabilities but are expensed when the event determining the amount of variable consideration to be paid occurs. As the implicit rate of the leases is not determinable, the Company uses an incremental borrowing rate (“IBR”) based on the information available at the lease commencement date in determining the present value of lease payments. Lease expenses are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the non-cancelable lease term when recognizing the ROU assets and lease liabilities, unless it is reasonably certain that a renewal or termination option will be exercised. The Company accounts for the lease and non-lease components as a single lease component.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Leases with a term of twelve months or less are not recognized on the consolidated balance sheets but are recognized as expense on a straight-line basis over the term of the lease.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Debt issuance costs incurred in connection with securing the Company’s financing arrangements are generally presented in the consolidated balance sheets as a direct deduction from the carrying amount of the outstanding borrowings, consistent with debt discounts. However, the Company has chosen to present debt issuance costs under other long-term assets for its revolving facility on the consolidated balance sheets regardless of whether the Company has any outstanding borrowings on the revolving facility. The Company’s revolving facility expired on January 2, 2026. Debt issuance costs were fully amortized as of January 31, 2026, and were $2.9 million, net of accumulated amortization, as of January 31, 2025. Debt issuance costs associated with the Senior Notes are recorded as a reduction to the carrying value of the Senior Notes on the consolidated balance sheets. The unamortized issuance costs relating to the Senior Notes were $1.0 million and $1.3 million as of January 31, 2026 and January 31, 2025,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deferred financing costs are amortized to interest expense. The effective interest method is used for debt issuance costs related to the Senior Notes. Debt issuance costs related to the revolving facility are amortized over the term of the financing arrangement under the straight-line method. The Company’s amortization of these costs was $4.0 million, $2.2 million, and $1.6 million for the fiscal years ended January 31, 2026, January 31, 2025, and January 31, 2024, respectively.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Translation and Transactions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functional currencies of the Company’s foreign subsidiaries are generally the country’s local currency. Assets and liabilities of the subsidiaries are translated into U.S. Dollars at exchange rates in effect at the reporting date. Amounts classified in stockholders’ equity (deficit) are translated at historical exchange rates. Revenue and expenses are translated at the average exchange rates during the period. The resulting translation adjustments are recorded in accumulated other comprehensive income (loss). Foreign currency transaction gains or losses, whether realized or unrealized, are reflected in the consolidated statements of operations within other income (expense), net, and have not been material for all periods presented.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Company’s assumptions, judgments, and estimates relative to the current provision for income taxes take into account current tax laws, the Company’s interpretation of current tax laws, and possible outcomes of current and future audits conducted by foreign and domestic tax authorities. The Company has established reserves for income taxes to address potential exposures involving tax positions that could be challenged by tax authorities. In addition, the Company is subject to the continual examination of its income tax returns by the U.S. Internal Revenue Service (“IRS”) and other domestic and foreign tax authorities. The Company regularly assesses the likelihood of outcomes resulting from these examinations to determine the adequacy of its provision for income taxes and have reserved for potential adjustments that may result from such examinations. The Company believes such estimates to be reasonable; however, the final determination of any of these examinations could significantly impact the amounts provided for income taxes in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computes basic and diluted net income (loss) per share attributable to common stockholders using the two-class method required for participating securities. Under the two-class method, basic net income (loss) per share attributable to common stockholders is computed by dividing the net income (loss) attributable to common stockholders by the weighted-average number of shares of common stock outstanding during the period. On December 11, 2024, all of the Company’s outstanding shares of Class B common stock were automatically converted into an equal number of shares of Class A common stock pursuant to the provisions of the Amended and Restated Certificate of Incorporation.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common stockholders adjusts basic earnings per share for the potentially dilutive impact of outstanding stock options, RSUs, PSUs, Special PSU Awards, ESPP obligations, and founder holdbacks. The dilutive potential shares are computed using the treasury stock method. The effects of the outstanding stock options, RSUs, PSUs, Special PSU Awards, ESPP obligations, and founders holdbacks are excluded from the computation of the diluted earnings per share in periods in which the effect would be anti-dilutive.</w:t>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Revision of Prior Period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the fiscal year ended January 31, 2026, the Company identified an immaterial error related to the timing of recognition of stock-based compensation expense in prior periods associated with certain awards granted in the fiscal years ended January 31, 2022 and 2023. Specifically, stock-based compensation expense was attributed based on such awards’ vesting schedule, rather than on a straight-line basis. The Company evaluated the error and concluded that it was not material to its previously issued Consolidated Financial Statements. To correct this error, the Company has revised its prior period Consolidated Balance Sheets, Consolidated Statements of Operations, Consolidated Statements of Comprehensive Income (Loss), Consolidated Statements of Stockholders’ Equity, and Consolidated Statements of Cash Flows. A summary of the revisions to the previously reported financial information is included in Note 16.</w:t>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Adopted Accounting Pronouncements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Improvements to Income Tax Disclosures (Topic 740). The ASU requires disaggregated information about a reporting entity’s effective tax rate reconciliation as well as additional information on income taxes paid. The Company has adopted ASU 2023-09 on a prospective basis for the fiscal year ended January 31, 2026. Refer to Note 6, Income Taxes, for the inclusion of new disclosures required.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The standard intends to modernize the recognition and capitalization framework by removing the previous “development stage” model and introducing a more judgment-based approach. The standard can be applied prospectively, using a modified transition method based on the status of the project and whether software costs were capitalized prior to the date of adoption, or retrospectively, and is effective for annual periods beginning after December 15, 2027, and interim periods within those annual reporting periods. Early adoption is permitted as of the beginning of an annual reporting period. The Company is currently evaluating the impact of this guidance on its consolidated financial statements and related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The standard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standard should be applied prospectively, and is effective for annual periods, including interim reporting periods, beginning after December 15, 2025, with early adoption permitted. The Company is currently evaluating the impact of this guidance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with a subsequent clarification of its effective date through ASU 2025-01, Income Statement—Reporting Comprehensive Income—Expense Disaggregation Disclosures (Subtopic 220-40): Clarifying the Effective Date in January 2025, requiring additional disclosure on specific expense categories included in the expense captions presented on the statements of operations. The new standard can be applied either prospectively or retrospectively, and is effective for annual periods beginning after December 15, 2026 and interim reporting periods within annual reporting periods beginning after December 15, 2027. Early adoption is permitted. The Company is currently evaluating the impact of this new guidance on its disclosures within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 Investments and Fair Value Measurements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follows ASC 820, Fair Value Measurements, with respect to cash equivalents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hierarchy is broken down into three levels as follows: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Level 1    Assets and liabilities whose values are based on unadjusted quoted market prices for identical assets and liabilities in active markets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Level 2    Assets and liabilities whose values are based on quoted prices in markets that are not active or inputs that are observable for substantially the full term of the asset or liability</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Level 3    Assets and liabilities whose values are based on prices or valuation techniques that require inputs that are both unobservable and significant to the overall fair value measurement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Categorization within the valuation hierarchy is based upon the lowest level of input that is significant to the fair value measurement.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fair value hierarchy for its financial assets and liabilities that are measured at fair value on a recurring basis are as follows (in thousands):</w:t>
      </w:r>
    </w:p>
    <w:tbl>
      <w:tblPr>
        <w:tblW w:w="11773" w:type="dxa"/>
        <w:jc w:val="left"/>
        <w:tblInd w:w="0" w:type="dxa"/>
        <w:tblLayout w:type="fixed"/>
        <w:tblCellMar>
          <w:top w:w="28" w:type="dxa"/>
          <w:left w:w="28" w:type="dxa"/>
          <w:bottom w:w="28" w:type="dxa"/>
          <w:right w:w="28" w:type="dxa"/>
        </w:tblCellMar>
      </w:tblPr>
      <w:tblGrid>
        <w:gridCol w:w="482"/>
        <w:gridCol w:w="305"/>
        <w:gridCol w:w="309"/>
        <w:gridCol w:w="196"/>
        <w:gridCol w:w="871"/>
        <w:gridCol w:w="109"/>
        <w:gridCol w:w="109"/>
        <w:gridCol w:w="109"/>
        <w:gridCol w:w="109"/>
        <w:gridCol w:w="196"/>
        <w:gridCol w:w="736"/>
        <w:gridCol w:w="109"/>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2025</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Assets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equivalents</w:t>
            </w:r>
            <w:r>
              <w:rPr>
                <w:rFonts w:ascii="Times New Roman;serif" w:hAnsi="Times New Roman;serif"/>
                <w:b w:val="false"/>
                <w:color w:val="000000"/>
                <w:sz w:val="12"/>
              </w:rPr>
              <w:t>(1)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3,965,633 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(1)Cash equivalents exclude $1.1 billion of time deposits, which are carried at cost and approximate fair value as of January 31,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the levels of the fair value hierarchy during the periods presented.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January 31, 2026, and January 31, 2025, the Company’s U.S. Treasury securities are carried at fair value, and there were no material realized or unrealized gains or losses, either individually or in aggregate.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estimated fair value of the Company’s financing receivables approximates their carrying amounts as of January 31, 2026. The fair value of the Company’s financing receivables is considered to be a Level 3 measurement as unobservable inputs are used in determining discounted cash flows to estimate fair value.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investments in privately held securities as of January 31, 2026, consisted of the following (in thousands):</w:t>
      </w:r>
    </w:p>
    <w:tbl>
      <w:tblPr>
        <w:tblW w:w="10205" w:type="dxa"/>
        <w:jc w:val="left"/>
        <w:tblInd w:w="0" w:type="dxa"/>
        <w:tblLayout w:type="fixed"/>
        <w:tblCellMar>
          <w:top w:w="28" w:type="dxa"/>
          <w:left w:w="28" w:type="dxa"/>
          <w:bottom w:w="28" w:type="dxa"/>
          <w:right w:w="28" w:type="dxa"/>
        </w:tblCellMar>
      </w:tblPr>
      <w:tblGrid>
        <w:gridCol w:w="937"/>
        <w:gridCol w:w="818"/>
        <w:gridCol w:w="812"/>
        <w:gridCol w:w="528"/>
        <w:gridCol w:w="1807"/>
        <w:gridCol w:w="272"/>
        <w:gridCol w:w="109"/>
        <w:gridCol w:w="109"/>
        <w:gridCol w:w="109"/>
        <w:gridCol w:w="952"/>
        <w:gridCol w:w="1835"/>
        <w:gridCol w:w="499"/>
        <w:gridCol w:w="109"/>
        <w:gridCol w:w="109"/>
        <w:gridCol w:w="109"/>
        <w:gridCol w:w="211"/>
        <w:gridCol w:w="721"/>
        <w:gridCol w:w="159"/>
      </w:tblGrid>
      <w:tr>
        <w:trPr/>
        <w:tc>
          <w:tcPr>
            <w:tcW w:w="93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Privately held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Privately held debt and other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total cost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net gains</w:t>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end of period</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76,832 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investments in privately held securities as of January 31, 2025, consisted of the following (in thousands):</w:t>
      </w:r>
    </w:p>
    <w:tbl>
      <w:tblPr>
        <w:tblW w:w="10205" w:type="dxa"/>
        <w:jc w:val="left"/>
        <w:tblInd w:w="0" w:type="dxa"/>
        <w:tblLayout w:type="fixed"/>
        <w:tblCellMar>
          <w:top w:w="28" w:type="dxa"/>
          <w:left w:w="28" w:type="dxa"/>
          <w:bottom w:w="28" w:type="dxa"/>
          <w:right w:w="28" w:type="dxa"/>
        </w:tblCellMar>
      </w:tblPr>
      <w:tblGrid>
        <w:gridCol w:w="936"/>
        <w:gridCol w:w="818"/>
        <w:gridCol w:w="812"/>
        <w:gridCol w:w="528"/>
        <w:gridCol w:w="1807"/>
        <w:gridCol w:w="272"/>
        <w:gridCol w:w="109"/>
        <w:gridCol w:w="109"/>
        <w:gridCol w:w="109"/>
        <w:gridCol w:w="740"/>
        <w:gridCol w:w="2165"/>
        <w:gridCol w:w="382"/>
        <w:gridCol w:w="109"/>
        <w:gridCol w:w="109"/>
        <w:gridCol w:w="109"/>
        <w:gridCol w:w="211"/>
        <w:gridCol w:w="721"/>
        <w:gridCol w:w="159"/>
      </w:tblGrid>
      <w:tr>
        <w:trPr/>
        <w:tc>
          <w:tcPr>
            <w:tcW w:w="93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Privately held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Privately held debt and other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total cost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net gains</w:t>
            </w:r>
          </w:p>
        </w:tc>
        <w:tc>
          <w:tcPr>
            <w:tcW w:w="2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end of period</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71,544 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January 31, 2026, the cumulative net gains of $1.8 million are comprised of upward adjustments of $7.3 million, less downward adjustments and impairment of $5.5 million. As of January 31, 2025, the cumulative net gains of $3.4 million are comprised of upward adjustments of $7.3 million, less downward adjustments and impairment of $3.9 million.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Gains and Losses on Strategic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gains and losses on strategic investments were as follows (in thousands):</w:t>
      </w:r>
    </w:p>
    <w:tbl>
      <w:tblPr>
        <w:tblW w:w="10205" w:type="dxa"/>
        <w:jc w:val="left"/>
        <w:tblInd w:w="0" w:type="dxa"/>
        <w:tblLayout w:type="fixed"/>
        <w:tblCellMar>
          <w:top w:w="28" w:type="dxa"/>
          <w:left w:w="28" w:type="dxa"/>
          <w:bottom w:w="28" w:type="dxa"/>
          <w:right w:w="28" w:type="dxa"/>
        </w:tblCellMar>
      </w:tblPr>
      <w:tblGrid>
        <w:gridCol w:w="2359"/>
        <w:gridCol w:w="2059"/>
        <w:gridCol w:w="2072"/>
        <w:gridCol w:w="211"/>
        <w:gridCol w:w="684"/>
        <w:gridCol w:w="109"/>
        <w:gridCol w:w="109"/>
        <w:gridCol w:w="109"/>
        <w:gridCol w:w="109"/>
        <w:gridCol w:w="211"/>
        <w:gridCol w:w="684"/>
        <w:gridCol w:w="109"/>
        <w:gridCol w:w="109"/>
        <w:gridCol w:w="109"/>
        <w:gridCol w:w="109"/>
        <w:gridCol w:w="211"/>
        <w:gridCol w:w="684"/>
        <w:gridCol w:w="158"/>
      </w:tblGrid>
      <w:tr>
        <w:trPr/>
        <w:tc>
          <w:tcPr>
            <w:tcW w:w="235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January 31, </w:t>
            </w:r>
          </w:p>
        </w:tc>
      </w:tr>
      <w:tr>
        <w:trPr/>
        <w:tc>
          <w:tcPr>
            <w:tcW w:w="6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49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recognized on privately held equity securities including impairment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recognized on sales of privately held equity securities</w:t>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 recognized on sales of privately held equity securities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net</w:t>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recognized during the reporting period on</w:t>
              <w:br/>
              <w:t xml:space="preserve">privately held equity securities still held at the reporting date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gains recognized on privately held equity securities includes upward adjustments from equity securities accounted for under the measurement alternative while unrealized losses recognized on privately held equity securities includes downward adjustments and impairment.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gains and losses recognized on sales of privately held equity securities reflect the difference between the sale proceeds and the carrying value of the security at the beginning of the period or the purchase date, if later.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3. Financing Receivables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short-term and long-term financing receivables were as follows (in thousands):</w:t>
      </w:r>
    </w:p>
    <w:tbl>
      <w:tblPr>
        <w:tblW w:w="6819" w:type="dxa"/>
        <w:jc w:val="left"/>
        <w:tblInd w:w="0" w:type="dxa"/>
        <w:tblLayout w:type="fixed"/>
        <w:tblCellMar>
          <w:top w:w="28" w:type="dxa"/>
          <w:left w:w="28" w:type="dxa"/>
          <w:bottom w:w="28" w:type="dxa"/>
          <w:right w:w="28" w:type="dxa"/>
        </w:tblCellMar>
      </w:tblPr>
      <w:tblGrid>
        <w:gridCol w:w="1183"/>
        <w:gridCol w:w="1040"/>
        <w:gridCol w:w="1046"/>
        <w:gridCol w:w="292"/>
        <w:gridCol w:w="1146"/>
        <w:gridCol w:w="151"/>
        <w:gridCol w:w="109"/>
        <w:gridCol w:w="109"/>
        <w:gridCol w:w="109"/>
        <w:gridCol w:w="317"/>
        <w:gridCol w:w="1086"/>
        <w:gridCol w:w="231"/>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financing receivables, gross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income</w:t>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financing receivables, net</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67,485 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financing receivables, gross</w:t>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213,601 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income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financing receivables, net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amortized cost basis of financing receivables categorized by internal risk rating and year of origination was as follows (in thousands):</w:t>
      </w:r>
    </w:p>
    <w:tbl>
      <w:tblPr>
        <w:tblW w:w="10205" w:type="dxa"/>
        <w:jc w:val="left"/>
        <w:tblInd w:w="0" w:type="dxa"/>
        <w:tblLayout w:type="fixed"/>
        <w:tblCellMar>
          <w:top w:w="28" w:type="dxa"/>
          <w:left w:w="28" w:type="dxa"/>
          <w:bottom w:w="28" w:type="dxa"/>
          <w:right w:w="28" w:type="dxa"/>
        </w:tblCellMar>
      </w:tblPr>
      <w:tblGrid>
        <w:gridCol w:w="1236"/>
        <w:gridCol w:w="1043"/>
        <w:gridCol w:w="104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56"/>
      </w:tblGrid>
      <w:tr>
        <w:trPr/>
        <w:tc>
          <w:tcPr>
            <w:tcW w:w="123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of Origination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of Origination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Internal Risk Rating</w:t>
            </w:r>
            <w:r>
              <w:rPr>
                <w:rFonts w:ascii="Times New Roman;serif" w:hAnsi="Times New Roman;serif"/>
                <w:b w:val="false"/>
                <w:color w:val="000000"/>
                <w:sz w:val="13"/>
              </w:rPr>
              <w:t>(1)</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to 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to 6</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 to 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cost basis of financing receivables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Internal risk ratings are determined based on the end-user’s financial condition and are categorized as 1 through 9, with the lowest rating representing the highest quality. Credit quality indicators are generally updated at least annually, or more frequently to the extent required by economic conditions.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significant activity in allowance for credit losses during the fiscal years ended January 31, 2026 or January 31, 2025. Past due amounts on financing receivables were not material as of January 31, 2026 or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4. Balance Sheet Components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expenses were $250.9 million and $247.3 million as of January 31, 2026 and January 31, 2025, respectively. Other current assets were $128.8 million and $67.1 million as of January 31, 2026 and January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8168" w:type="dxa"/>
        <w:jc w:val="left"/>
        <w:tblInd w:w="0" w:type="dxa"/>
        <w:tblLayout w:type="fixed"/>
        <w:tblCellMar>
          <w:top w:w="28" w:type="dxa"/>
          <w:left w:w="28" w:type="dxa"/>
          <w:bottom w:w="28" w:type="dxa"/>
          <w:right w:w="28" w:type="dxa"/>
        </w:tblCellMar>
      </w:tblPr>
      <w:tblGrid>
        <w:gridCol w:w="1939"/>
        <w:gridCol w:w="1702"/>
        <w:gridCol w:w="1713"/>
        <w:gridCol w:w="211"/>
        <w:gridCol w:w="976"/>
        <w:gridCol w:w="109"/>
        <w:gridCol w:w="109"/>
        <w:gridCol w:w="109"/>
        <w:gridCol w:w="109"/>
        <w:gridCol w:w="211"/>
        <w:gridCol w:w="826"/>
        <w:gridCol w:w="154"/>
      </w:tblGrid>
      <w:tr>
        <w:trPr/>
        <w:tc>
          <w:tcPr>
            <w:tcW w:w="193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center and other 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and website development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Construction in progress primarily includes data center equipment purchased that has not yet been placed in service. Data center equipment that was purchased but not yet been placed into service was $161.9 million and $180.1 million as of January 31, 2026 and January 31, 2025,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property and equipment was $250.2 million, $188.0 million, and $126.8 million, during the fiscal years ended January 31, 2026, January 31, 2025, and January 31, 2024, respectively.</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Company capitalized $120.3 million, $91.9 million, and $77.9 million in internal-use software and website development costs during the fiscal years ended January 31, 2026, January 31, 2025, and January 31, 2024, respectively.</w:t>
      </w:r>
      <w:r>
        <w:rPr>
          <w:color w:val="000000"/>
        </w:rPr>
        <w:t xml:space="preserve"> </w:t>
      </w:r>
      <w:r>
        <w:rPr>
          <w:rFonts w:ascii="Times New Roman;serif" w:hAnsi="Times New Roman;serif"/>
          <w:b w:val="false"/>
          <w:color w:val="000000"/>
          <w:sz w:val="20"/>
        </w:rPr>
        <w:t>Amortization expense associated with internal-use software and website development costs totaled $79.6 million, $54.8 million, and $37.3 million during the fiscal years ended January 31, 2026, January 31, 2025, and January 31, 2024, respectively. The net book value of capitalized internal-use software and website development costs was $184.7 million and $144.0 million as of January 31, 2026 and January 31, 2025, respectively.</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intangible assets, net consisted of the following (dollars in thousands):</w:t>
      </w:r>
    </w:p>
    <w:tbl>
      <w:tblPr>
        <w:tblW w:w="10205" w:type="dxa"/>
        <w:jc w:val="left"/>
        <w:tblInd w:w="0" w:type="dxa"/>
        <w:tblLayout w:type="fixed"/>
        <w:tblCellMar>
          <w:top w:w="28" w:type="dxa"/>
          <w:left w:w="28" w:type="dxa"/>
          <w:bottom w:w="28" w:type="dxa"/>
          <w:right w:w="28" w:type="dxa"/>
        </w:tblCellMar>
      </w:tblPr>
      <w:tblGrid>
        <w:gridCol w:w="941"/>
        <w:gridCol w:w="757"/>
        <w:gridCol w:w="762"/>
        <w:gridCol w:w="278"/>
        <w:gridCol w:w="1090"/>
        <w:gridCol w:w="143"/>
        <w:gridCol w:w="109"/>
        <w:gridCol w:w="109"/>
        <w:gridCol w:w="109"/>
        <w:gridCol w:w="305"/>
        <w:gridCol w:w="1198"/>
        <w:gridCol w:w="158"/>
        <w:gridCol w:w="109"/>
        <w:gridCol w:w="109"/>
        <w:gridCol w:w="109"/>
        <w:gridCol w:w="211"/>
        <w:gridCol w:w="826"/>
        <w:gridCol w:w="109"/>
        <w:gridCol w:w="109"/>
        <w:gridCol w:w="109"/>
        <w:gridCol w:w="109"/>
        <w:gridCol w:w="714"/>
        <w:gridCol w:w="714"/>
        <w:gridCol w:w="1018"/>
      </w:tblGrid>
      <w:tr>
        <w:trPr/>
        <w:tc>
          <w:tcPr>
            <w:tcW w:w="94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Useful Life</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months)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other acquired intangible assets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243,798 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107,096 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941"/>
        <w:gridCol w:w="757"/>
        <w:gridCol w:w="762"/>
        <w:gridCol w:w="278"/>
        <w:gridCol w:w="1090"/>
        <w:gridCol w:w="143"/>
        <w:gridCol w:w="109"/>
        <w:gridCol w:w="109"/>
        <w:gridCol w:w="109"/>
        <w:gridCol w:w="336"/>
        <w:gridCol w:w="1151"/>
        <w:gridCol w:w="176"/>
        <w:gridCol w:w="109"/>
        <w:gridCol w:w="109"/>
        <w:gridCol w:w="109"/>
        <w:gridCol w:w="211"/>
        <w:gridCol w:w="826"/>
        <w:gridCol w:w="109"/>
        <w:gridCol w:w="109"/>
        <w:gridCol w:w="109"/>
        <w:gridCol w:w="109"/>
        <w:gridCol w:w="714"/>
        <w:gridCol w:w="714"/>
        <w:gridCol w:w="1016"/>
      </w:tblGrid>
      <w:tr>
        <w:trPr/>
        <w:tc>
          <w:tcPr>
            <w:tcW w:w="94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Useful Life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months)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other acquired intangible assets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208,755 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75,641 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of intangible assets was $31.2 million, $26.0 million, and $18.4 million, during the fiscal years ended January 31, 2026, January 31, 2025, and January 31, 2024, respectively.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estimated aggregate future amortization expense of intangible assets as of January 31, 2026 was as follows (in thousands):</w:t>
      </w:r>
    </w:p>
    <w:tbl>
      <w:tblPr>
        <w:tblW w:w="4056" w:type="dxa"/>
        <w:jc w:val="left"/>
        <w:tblInd w:w="0" w:type="dxa"/>
        <w:tblLayout w:type="fixed"/>
        <w:tblCellMar>
          <w:top w:w="28" w:type="dxa"/>
          <w:left w:w="28" w:type="dxa"/>
          <w:bottom w:w="28" w:type="dxa"/>
          <w:right w:w="28" w:type="dxa"/>
        </w:tblCellMar>
      </w:tblPr>
      <w:tblGrid>
        <w:gridCol w:w="1098"/>
        <w:gridCol w:w="967"/>
        <w:gridCol w:w="800"/>
        <w:gridCol w:w="211"/>
        <w:gridCol w:w="826"/>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goodwill during the fiscal year ended January 31, 2026 consisted of the following (in thousands):</w:t>
      </w:r>
    </w:p>
    <w:tbl>
      <w:tblPr>
        <w:tblW w:w="4085" w:type="dxa"/>
        <w:jc w:val="left"/>
        <w:tblInd w:w="0" w:type="dxa"/>
        <w:tblLayout w:type="fixed"/>
        <w:tblCellMar>
          <w:top w:w="28" w:type="dxa"/>
          <w:left w:w="28" w:type="dxa"/>
          <w:bottom w:w="28" w:type="dxa"/>
          <w:right w:w="28" w:type="dxa"/>
        </w:tblCellMar>
      </w:tblPr>
      <w:tblGrid>
        <w:gridCol w:w="995"/>
        <w:gridCol w:w="872"/>
        <w:gridCol w:w="877"/>
        <w:gridCol w:w="211"/>
        <w:gridCol w:w="97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as of January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acquired</w:t>
            </w:r>
            <w:r>
              <w:rPr>
                <w:rFonts w:ascii="Times New Roman;serif" w:hAnsi="Times New Roman;serif"/>
                <w:b w:val="false"/>
                <w:color w:val="000000"/>
                <w:sz w:val="13"/>
              </w:rPr>
              <w:t>(1)</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as of January 31, 2026</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1,363,294 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(1)Goodwill acquired resulted from the acquisitions of Pangea Cyber Corporation and Onum Technology Inc. Refer to Note 12 for additional information.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Payroll and Benefits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 consisted of the following (in thousands):</w:t>
      </w:r>
    </w:p>
    <w:tbl>
      <w:tblPr>
        <w:tblW w:w="5813" w:type="dxa"/>
        <w:jc w:val="left"/>
        <w:tblInd w:w="0" w:type="dxa"/>
        <w:tblLayout w:type="fixed"/>
        <w:tblCellMar>
          <w:top w:w="28" w:type="dxa"/>
          <w:left w:w="28" w:type="dxa"/>
          <w:bottom w:w="28" w:type="dxa"/>
          <w:right w:w="28" w:type="dxa"/>
        </w:tblCellMar>
      </w:tblPr>
      <w:tblGrid>
        <w:gridCol w:w="1140"/>
        <w:gridCol w:w="1004"/>
        <w:gridCol w:w="1005"/>
        <w:gridCol w:w="211"/>
        <w:gridCol w:w="826"/>
        <w:gridCol w:w="109"/>
        <w:gridCol w:w="109"/>
        <w:gridCol w:w="109"/>
        <w:gridCol w:w="109"/>
        <w:gridCol w:w="211"/>
        <w:gridCol w:w="82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5. Debt</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Secured Revolving Credit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had the option to request an incremental facility of up to an additional $250.0 million from one or more of the lenders under the A&amp;R Credit Agreement. The A&amp;R Credit Agreement was guaranteed by all of the Company’s material domestic subsidiaries. The A&amp;R Credit Agreement extended the maturity date of April 19, 2022 to January 2, 2026.</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were Alternate Base Rate (“ABR”) Loans. Outstanding ABR Loans incurred interest at the highest of (a) the Prime Rate, as published by the Wall Street Journal, (b) the federal funds rate in effect on such day plus 0.50%, and (c) the Term Secured Overnight Finance Rate (the “Term SOFR”) for a one-month tenor in effect on such day plus 1.00%, in each case plus a margin between (0.25)% and 0.25%, depending on the senior secured leverage ratio. The Company was charged a commitment fee of 0.15% to 0.25% per year for committed but unused amounts, depending on the senior secured leverage ratio. The financial covenants required the Company to maintain a</w:t>
      </w:r>
      <w:r>
        <w:rPr>
          <w:color w:val="000000"/>
        </w:rPr>
        <w:t xml:space="preserve"> </w:t>
      </w:r>
      <w:r>
        <w:rPr>
          <w:rFonts w:ascii="Times New Roman;serif" w:hAnsi="Times New Roman;serif"/>
          <w:b w:val="false"/>
          <w:color w:val="000000"/>
          <w:sz w:val="20"/>
        </w:rPr>
        <w:t>minimum consolidated interest coverage ratio of 3.00:1.00 and a maximum total leverage ratio of 5.50:1.00 stepping down to 3.50:1.00 over time.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A&amp;R Credit Agreement was secured by substantially all of the Company’s consolidated assets, property and rights, including, but not limited to, intellectual property, cash, goods, equipment, contractual rights, financial assets, and intangible assets of the Company and certain of its subsidiaries. The Amended A&amp;R Credit Agreement contained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2, 2026, the Company’s Revolving Facility expired and at the time of expiration, there were no outstanding amounts under the Amended A&amp;R Credit Agreement.</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20, 2021, the Company issued $750.0 million in aggregate principal amount of 3.00% Senior Notes maturing in February 2029 (the “Senior Notes”). The Senior Notes are guaranteed by the Company’s subsidiaries, CrowdStrike, Inc. and CrowdStrike Financial Services, Inc., and will be guaranteed by each of the Company’s existing and future domestic subsidiaries that becomes a borrower or guarantor under any credit agreement the Company may enter into in the future that replaces the Amended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$24.0 million during both fiscal years ended January 31, 2026 and January 31,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January 31, 2026, the Company was in compliance with all of its financial covenants under the Indenture associated with the 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the trading prices of the Senior Notes, the fair value of the Senior Notes was approximately $718.2 million and $688.4 million as of January 31, 2026 and January 31, 2025,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6. Income Taxes</w:t>
      </w:r>
    </w:p>
    <w:p>
      <w:pPr>
        <w:pStyle w:val="TextBody"/>
        <w:bidi w:val="0"/>
        <w:spacing w:lineRule="auto" w:line="288" w:before="24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geographical breakdown of its income (loss) before provision for income taxes is as follows (in thousands):</w:t>
      </w:r>
    </w:p>
    <w:tbl>
      <w:tblPr>
        <w:tblW w:w="8067" w:type="dxa"/>
        <w:jc w:val="left"/>
        <w:tblInd w:w="0" w:type="dxa"/>
        <w:tblLayout w:type="fixed"/>
        <w:tblCellMar>
          <w:top w:w="28" w:type="dxa"/>
          <w:left w:w="28" w:type="dxa"/>
          <w:bottom w:w="28" w:type="dxa"/>
          <w:right w:w="28" w:type="dxa"/>
        </w:tblCellMar>
      </w:tblPr>
      <w:tblGrid>
        <w:gridCol w:w="1434"/>
        <w:gridCol w:w="1258"/>
        <w:gridCol w:w="1268"/>
        <w:gridCol w:w="211"/>
        <w:gridCol w:w="901"/>
        <w:gridCol w:w="109"/>
        <w:gridCol w:w="109"/>
        <w:gridCol w:w="109"/>
        <w:gridCol w:w="109"/>
        <w:gridCol w:w="211"/>
        <w:gridCol w:w="721"/>
        <w:gridCol w:w="109"/>
        <w:gridCol w:w="109"/>
        <w:gridCol w:w="109"/>
        <w:gridCol w:w="109"/>
        <w:gridCol w:w="211"/>
        <w:gridCol w:w="82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consists of the following (in thousands):</w:t>
      </w:r>
    </w:p>
    <w:tbl>
      <w:tblPr>
        <w:tblW w:w="6101" w:type="dxa"/>
        <w:jc w:val="left"/>
        <w:tblInd w:w="0" w:type="dxa"/>
        <w:tblLayout w:type="fixed"/>
        <w:tblCellMar>
          <w:top w:w="28" w:type="dxa"/>
          <w:left w:w="28" w:type="dxa"/>
          <w:bottom w:w="28" w:type="dxa"/>
          <w:right w:w="28" w:type="dxa"/>
        </w:tblCellMar>
      </w:tblPr>
      <w:tblGrid>
        <w:gridCol w:w="824"/>
        <w:gridCol w:w="724"/>
        <w:gridCol w:w="731"/>
        <w:gridCol w:w="211"/>
        <w:gridCol w:w="721"/>
        <w:gridCol w:w="109"/>
        <w:gridCol w:w="109"/>
        <w:gridCol w:w="109"/>
        <w:gridCol w:w="109"/>
        <w:gridCol w:w="211"/>
        <w:gridCol w:w="721"/>
        <w:gridCol w:w="109"/>
        <w:gridCol w:w="109"/>
        <w:gridCol w:w="109"/>
        <w:gridCol w:w="109"/>
        <w:gridCol w:w="211"/>
        <w:gridCol w:w="72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the adoption of ASU 2023-09, Improvements to Income Tax Disclosures, as described in Note 1, the reconciliation of taxes at the federal statutory rate to the Company’s provision for (benefit from) income taxes for the fiscal year ended January 31, 2026 is as follows (in thousands, except for percentages):</w:t>
      </w:r>
    </w:p>
    <w:tbl>
      <w:tblPr>
        <w:tblW w:w="7906" w:type="dxa"/>
        <w:jc w:val="left"/>
        <w:tblInd w:w="0" w:type="dxa"/>
        <w:tblLayout w:type="fixed"/>
        <w:tblCellMar>
          <w:top w:w="28" w:type="dxa"/>
          <w:left w:w="28" w:type="dxa"/>
          <w:bottom w:w="28" w:type="dxa"/>
          <w:right w:w="28" w:type="dxa"/>
        </w:tblCellMar>
      </w:tblPr>
      <w:tblGrid>
        <w:gridCol w:w="1875"/>
        <w:gridCol w:w="1654"/>
        <w:gridCol w:w="1660"/>
        <w:gridCol w:w="224"/>
        <w:gridCol w:w="845"/>
        <w:gridCol w:w="115"/>
        <w:gridCol w:w="115"/>
        <w:gridCol w:w="115"/>
        <w:gridCol w:w="115"/>
        <w:gridCol w:w="343"/>
        <w:gridCol w:w="347"/>
        <w:gridCol w:w="498"/>
      </w:tblGrid>
      <w:tr>
        <w:trPr/>
        <w:tc>
          <w:tcPr>
            <w:tcW w:w="187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January 31, 2026</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Amount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income taxes, net of federal income tax effect</w:t>
            </w:r>
            <w:r>
              <w:rPr>
                <w:rFonts w:ascii="Times New Roman;serif" w:hAnsi="Times New Roman;serif"/>
                <w:b w:val="false"/>
                <w:color w:val="000000"/>
                <w:sz w:val="13"/>
              </w:rPr>
              <w:t>(1)</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intercompany interest expense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intercompany transactions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Withholding tax </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Branch income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Deductible foreign taxes </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&amp; entertainment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State taxes in California made up a majority (greater than 50%) of the tax effect in this category.</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U.S. federal statutory income tax rates to the Company’s effective tax rate for the fiscal years ended January 31, 2025 and January 31, 2024 is as follows (in thousands):</w:t>
      </w:r>
    </w:p>
    <w:tbl>
      <w:tblPr>
        <w:tblW w:w="6039" w:type="dxa"/>
        <w:jc w:val="left"/>
        <w:tblInd w:w="0" w:type="dxa"/>
        <w:tblLayout w:type="fixed"/>
        <w:tblCellMar>
          <w:top w:w="28" w:type="dxa"/>
          <w:left w:w="28" w:type="dxa"/>
          <w:bottom w:w="28" w:type="dxa"/>
          <w:right w:w="28" w:type="dxa"/>
        </w:tblCellMar>
      </w:tblPr>
      <w:tblGrid>
        <w:gridCol w:w="1297"/>
        <w:gridCol w:w="1142"/>
        <w:gridCol w:w="1146"/>
        <w:gridCol w:w="211"/>
        <w:gridCol w:w="721"/>
        <w:gridCol w:w="109"/>
        <w:gridCol w:w="109"/>
        <w:gridCol w:w="109"/>
        <w:gridCol w:w="109"/>
        <w:gridCol w:w="211"/>
        <w:gridCol w:w="721"/>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January 31, </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Effects of foreign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other credits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foreign transactions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by jurisdiction pursuant to the disclosure requirements of ASU 2023-09 for the fiscal year ended January 31, 2026 is as follows (in thousands):</w:t>
      </w:r>
    </w:p>
    <w:tbl>
      <w:tblPr>
        <w:tblW w:w="6043" w:type="dxa"/>
        <w:jc w:val="left"/>
        <w:tblInd w:w="0" w:type="dxa"/>
        <w:tblLayout w:type="fixed"/>
        <w:tblCellMar>
          <w:top w:w="28" w:type="dxa"/>
          <w:left w:w="28" w:type="dxa"/>
          <w:bottom w:w="28" w:type="dxa"/>
          <w:right w:w="28" w:type="dxa"/>
        </w:tblCellMar>
      </w:tblPr>
      <w:tblGrid>
        <w:gridCol w:w="1417"/>
        <w:gridCol w:w="1246"/>
        <w:gridCol w:w="1281"/>
        <w:gridCol w:w="408"/>
        <w:gridCol w:w="1394"/>
        <w:gridCol w:w="297"/>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January 31, 2026</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for income taxes, net of refunds</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51,464 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during the fiscal years ended January 31, 2025 and January 31, 2024 was $19.0 million and $22.6 million,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income tax expense of $34.2 million, $71.1 million, and $32.2 million for the fiscal years January 31, 2026, January 31, 2025 and January 31, 2024, respectively. The tax expense for the fiscal years ended January 31, 2026 and January 31, 2025 was primarily attributable to pre-tax foreign earnings and withholding taxes in certain foreign jurisdictions, intercompany sales of intellectual property from acquisitions, and change in the realizability of deferred tax assets in certain foreign jurisdictions. The Company transferred acquired intellectual property from foreign subsidiaries to the U.S. Although the transfer of the intellectual property between consolidated entities did not result in any gain in the consolidated statement of operations, such transactions were taxable for tax purposes. The tax expense for the fiscal year ended January 31, 2024 was primarily attributable to pre-tax foreign earnings and withholding taxes in certain foreign jurisdictions.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amount of assets and liabilities for financial reporting purposes and the amounts used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components of the Company’s deferred tax assets and liabilities as of January 31, 2026 and January 31, 2025 are as follows (in thousands):</w:t>
      </w:r>
    </w:p>
    <w:tbl>
      <w:tblPr>
        <w:tblW w:w="6005" w:type="dxa"/>
        <w:jc w:val="left"/>
        <w:tblInd w:w="0" w:type="dxa"/>
        <w:tblLayout w:type="fixed"/>
        <w:tblCellMar>
          <w:top w:w="28" w:type="dxa"/>
          <w:left w:w="28" w:type="dxa"/>
          <w:bottom w:w="28" w:type="dxa"/>
          <w:right w:w="28" w:type="dxa"/>
        </w:tblCellMar>
      </w:tblPr>
      <w:tblGrid>
        <w:gridCol w:w="1198"/>
        <w:gridCol w:w="1054"/>
        <w:gridCol w:w="1063"/>
        <w:gridCol w:w="213"/>
        <w:gridCol w:w="837"/>
        <w:gridCol w:w="109"/>
        <w:gridCol w:w="109"/>
        <w:gridCol w:w="109"/>
        <w:gridCol w:w="109"/>
        <w:gridCol w:w="213"/>
        <w:gridCol w:w="837"/>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January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other credit carryforwards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assets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commissions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full valuation allowance on U.S. federal and state and certain foreign deferred tax assets, including net operating loss carryforwards and tax credits, which the Company has determined are not realizable on a more-likely-than-not basis. In completing the assessment of the continued need for valuation allowance, the Company analyzed various factors including, but not limited to, cumulative pre-tax losses, excess tax benefits related to stock-based compensation, future reversal of existing temporary differences and tax planning strategies that are prudent and feasible. During the fiscal years ended January 31, 2026, January 31, 2025, and January 31, 2024, the valuation allowance increased by $320.3 million, $233.6 million, and $52.0 million, respectively. The increases in the valuation allowance during the fiscal years ended January 31, 2026 and January 31, 2025 were primarily driven by U.S. operations. As of January 31, 2026, January 31, 2025, and January 31, 2024 the valuation allowance for deferred taxes was $1.5 billion, $1.2 billion, and $1.0 billion, respectively.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January 31, 2026, the Company had aggregate U.S federal and California net operating loss carryforwards of $2.6 billion and $417.4 million, respectively, which may be available to offset future taxable income for income tax purposes. The federal net operating losses are carried forward indefinitely, and California net operating loss carryforwards begin to expire in fiscal 2034 through fiscal 2046. As of January 31, 2026, net operating loss carryforwards for other states totaled $998.3 million, which begin to expire in fiscal 2027 through fiscal 2046. As of January 31, 2026, net operating loss carryforwards for the U.K. totaled $84.2 million, which are carried forward indefinitely, and net operating loss carryforwards totaled immaterial amounts in certain foreign jurisdictions.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31, 2026, the Company had federal and California research and development (“R&amp;D”) credit carryforwards of $227.0 million and $59.8 million, respectively. The federal R&amp;D credit carryforwards begin to expire in fiscal 2037 through fiscal 2046. The California R&amp;D credits are carried forward indefinitely. Realization of these net operating losses and R&amp;D credit carryforwards depends on future income, and there is a risk that the Company’s existing carryforwards could expire unused and be unavailable to offset future income tax liabilities, which could adversely affect the Company’s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tax reform legislation included in the One Big Beautiful Bill Act (the “OBBBA”) was enacted in the United States. The OBBBA includes significant corporate tax reforms, including (i) the permanent reinstatement of deducting domestic R&amp;D expenditures as incurred beginning in fiscal 2026 (under prior law such expenditures were capitalized and amortized over five years); (ii) the option to claim 100% accelerated depreciation deductions on qualified property; and (iii) international tax provisions modifying global intangible low-taxed income (“GILTI”), foreign-derived intangible income (“FDII”), and base erosion and anti-abuse tax (“BEAT”). The change in U.S. tax law resulted in an immaterial favorable effect on the income tax provision due to the Company’s valuation allowance and was accounted for in the second quarter of fiscal year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gross unrecognized tax benefits as of January 31, 2026, January 31, 2025, and January 31, 2024 were $137.8 million, $117.5 million, and $58.9 million, respectively. As of January 31, 2026, the Company had $41.0 million of unrecognized tax benefits, which, if recognized, would affect the Company’s effective tax rate due to the full valuation allowance. The Company’s policy is to classify interest and penalties related to unrecognized tax benefits as part of the income tax provision in the consolidated statements of operations. Cumulatively, the Company had incurred $6.6 million of interest and penalties related to unrecognized tax benefits as of January 31, 2026, and $3.0 million and $1.4 million related to unrecognized tax benefits as of January 31, 2025 and January 31, 2024, respectively. During the fiscal year ended January 31, 2026, the net increase in unrecognized tax benefits was a result of increase in R&amp;D credits, partially offset by reduction in prior year reserves based on our view of a recent position taken by a tax authority. During the fiscal year ended January 31, 2025, the net increase in unrecognized tax benefits was a result of certain taxable foreign transactions and R&amp;D credits. During the fiscal year ended January 31, 2024, the net increase in unrecognized tax benefits was a result of R&amp;D credits.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rollforward of the total gross unrecognized tax benefits for the fiscal years ended January 31, 2026, January 31, 2025, and January 31, 2024 (in thousands):</w:t>
      </w:r>
    </w:p>
    <w:tbl>
      <w:tblPr>
        <w:tblW w:w="4550" w:type="dxa"/>
        <w:jc w:val="left"/>
        <w:tblInd w:w="0" w:type="dxa"/>
        <w:tblLayout w:type="fixed"/>
        <w:tblCellMar>
          <w:top w:w="28" w:type="dxa"/>
          <w:left w:w="28" w:type="dxa"/>
          <w:bottom w:w="28" w:type="dxa"/>
          <w:right w:w="28" w:type="dxa"/>
        </w:tblCellMar>
      </w:tblPr>
      <w:tblGrid>
        <w:gridCol w:w="1212"/>
        <w:gridCol w:w="1063"/>
        <w:gridCol w:w="1069"/>
        <w:gridCol w:w="211"/>
        <w:gridCol w:w="84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February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36,901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Increases in prior period tax positions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prior period tax positions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current period tax positions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31, 2024</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current period tax positions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prior period tax positions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prior period tax positions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with taxing authorities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Statute of limitations expirations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from currency fluctuations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31, 2025</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117,540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current period tax positions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prior period tax positions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prior period tax positions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with taxing authorities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Statute of limitations expirations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from currency fluctuations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137,808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the U.S. federal, foreign, and various state jurisdictions. Tax years 2011 and onwards remain subject to examination by taxing authorities.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does not provide for federal and state income taxes on the undistributed earnings of its foreign subsidiaries as such earnings are to be reinvested offshore indefinitely. If the Company repatriated these earnings, the tax impact of future distributions of foreign earnings would generally be limited to withholding tax from foreign jurisdictions, and the resulting income tax liability would be insignificant.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7. Leases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non-cancelable operating lease agreements with various expiration dates through fiscal 2039. Certain lease agreements include options to renew or terminate the lease, which are not reasonably certain to be exercised and therefore are not factored into the determination of lease payments.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 was $19.6 million, $19.5 million, and $15.4 million for the fiscal years ended January 31, 2026, January 31, 2025, and January 31, 2024, respectively. Operating lease liabilities arising from obtaining operating right-of-use assets were $40.9 million and $6.8 million for the fiscal years ended January 31, 2026 and January 31, 2025,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lease terms were 4.7 years and 2.9 years as of January 31, 2026 and January 31, 2025, respectively. The weighted-average discount rates were 5.3% and 5.5% as of January 31, 2026 and January 31, 2025,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 (in thousands):</w:t>
      </w:r>
    </w:p>
    <w:tbl>
      <w:tblPr>
        <w:tblW w:w="5839" w:type="dxa"/>
        <w:jc w:val="left"/>
        <w:tblInd w:w="0" w:type="dxa"/>
        <w:tblLayout w:type="fixed"/>
        <w:tblCellMar>
          <w:top w:w="28" w:type="dxa"/>
          <w:left w:w="28" w:type="dxa"/>
          <w:bottom w:w="28" w:type="dxa"/>
          <w:right w:w="28" w:type="dxa"/>
        </w:tblCellMar>
      </w:tblPr>
      <w:tblGrid>
        <w:gridCol w:w="651"/>
        <w:gridCol w:w="573"/>
        <w:gridCol w:w="575"/>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Sublease income for the fiscal years ended January 31, 2026, January 31, 2025 and January 31, 2024 was immaterial. As of January 31, 2026, the Company has entered into non-cancelable operating leases with lease terms greater than 12 months that have not yet commenced with undiscounted future minimum payments of $103.7 million, which are excluded from the table above. The operating leases are expected to commence between October 2026 and August 2027, with lease terms between 11.2 and 11.3 years.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maturities of the Company’s non-cancelable operating lease liabilities are as follows (in thousands):</w:t>
      </w:r>
    </w:p>
    <w:tbl>
      <w:tblPr>
        <w:tblW w:w="5144" w:type="dxa"/>
        <w:jc w:val="left"/>
        <w:tblInd w:w="0" w:type="dxa"/>
        <w:tblLayout w:type="fixed"/>
        <w:tblCellMar>
          <w:top w:w="28" w:type="dxa"/>
          <w:left w:w="28" w:type="dxa"/>
          <w:bottom w:w="28" w:type="dxa"/>
          <w:right w:w="28" w:type="dxa"/>
        </w:tblCellMar>
      </w:tblPr>
      <w:tblGrid>
        <w:gridCol w:w="1267"/>
        <w:gridCol w:w="1115"/>
        <w:gridCol w:w="1128"/>
        <w:gridCol w:w="317"/>
        <w:gridCol w:w="1086"/>
        <w:gridCol w:w="231"/>
      </w:tblGrid>
      <w:tr>
        <w:trPr/>
        <w:tc>
          <w:tcPr>
            <w:tcW w:w="126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8. Stock-Based Compensation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 Incentive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RSUs, PSUs, and Special PSU Awards.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2011 Plan was terminated on June 10, 2019, which was the business day prior to the effectiveness of the Company’s registration statement on Form S-1 used in connection with the Company’s initial public offering (“IPO”), and stock-based awards are no longer granted under the 2011 Plan. Any shares underlying stock options that expire, terminate, or are forfeited or repurchased under the 2011 Plan will be automatically transferred to the 2019 Plan.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compensation expense for employee stock options based on the estimated fair value of the options on the date of grant using the Black-Scholes option-pricing model.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 options granted during both fiscal years ended January 31, 2026 and January 31, 2025 were immaterial.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stock option activity for the fiscal year ended January 31, 2026:</w:t>
      </w:r>
    </w:p>
    <w:tbl>
      <w:tblPr>
        <w:tblW w:w="7750" w:type="dxa"/>
        <w:jc w:val="left"/>
        <w:tblInd w:w="0" w:type="dxa"/>
        <w:tblLayout w:type="fixed"/>
        <w:tblCellMar>
          <w:top w:w="28" w:type="dxa"/>
          <w:left w:w="28" w:type="dxa"/>
          <w:bottom w:w="28" w:type="dxa"/>
          <w:right w:w="28" w:type="dxa"/>
        </w:tblCellMar>
      </w:tblPr>
      <w:tblGrid>
        <w:gridCol w:w="1742"/>
        <w:gridCol w:w="1534"/>
        <w:gridCol w:w="1538"/>
        <w:gridCol w:w="409"/>
        <w:gridCol w:w="409"/>
        <w:gridCol w:w="411"/>
        <w:gridCol w:w="109"/>
        <w:gridCol w:w="109"/>
        <w:gridCol w:w="109"/>
        <w:gridCol w:w="296"/>
        <w:gridCol w:w="867"/>
        <w:gridCol w:w="217"/>
      </w:tblGrid>
      <w:tr>
        <w:trPr/>
        <w:tc>
          <w:tcPr>
            <w:tcW w:w="174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w:t>
              <w:br/>
              <w:t>Average</w:t>
              <w:br/>
              <w:t>Exercise Price</w:t>
              <w:br/>
              <w:t>Per Share</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January 31, 2025</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January 31, 2026</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vested and expected to vest at January 31, 2026</w:t>
            </w:r>
          </w:p>
        </w:tc>
        <w:tc>
          <w:tcPr>
            <w:tcW w:w="81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41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exercisable at January 31, 2026</w:t>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options that were unvested and exercisable as of January 31,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options vested and exercisable was $381.0 million, $472.3 million, and $451.0 million as of January 31, 2026, January 31, 2025, and January 31, 2024, respectively. The weighted-average remaining contractual term of options vested and exercisable was 2.6 years, 3.5 years, and 4.2 years as of January 31, 2026, January 31, 2025, and January 31, 2024,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values of all options granted was $410.68, $321.98, and $126.16 per share during the fiscal years ended January 31, 2026, January 31, 2025, and January 31, 2024, respectively. The total intrinsic value of all options exercised was $161.7 million, $170.4 million, and $190.1 million during the fiscal years ended January 31, 2026, January 31, 2025, and January 31,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stock options outstanding as of January 31, 2026, January 31, 2025, and January 31, 2024 was $399.9 million, $485.3 million, and $496.7 million, respectively, which represents the excess of the fair value of the Company’s common stock over the exercise price of the options, multiplied by the number of options outstanding. The weighted-average remaining contractual term of stock options outstanding was 2.9 years, 3.6 years, and 4.3 years as of January 31, 2026, January 31, 2025, and January 31, 2024,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unrecognized stock-based compensation expense related to unvested options was $16.9 million as of January 31, 2026. This expense is expected to be amortized over a weighted-average vesting period of 1.9 years.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RSUs granted under the 2019 Plan are generally subject to only a service-based vesting condition. The service-based vesting condition is generally satisfied based on one of the following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or (iii)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unrecognized stock-based compensation expense related to unvested RSUs was $1.7 billion as of January 31, 2026. This expense is expected to be amortized over a weighted-average vesting period of 2.2 years.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Performance-based Stock Units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unrecognized stock-based compensation expense related to unvested PSUs was $157.4 million as of January 31, 2026, which reflects the Company's updated assessment of the likelihood of satisfying the performance conditions. This expense is expected to be amortized over a weighted-average vesting period of 1.1 years.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Special PSU Awards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fiscal 2026 the Company’s board of directors approved a performance-based equity award under the Company’s 2019 Plan, consisting of PSUs with a target of 300,000 PSUs (the “2026 Special PSU Award”), that can result in as few as zero shares of the Company’s Class A common stock being issued if the Company’s stock price performance is below the 25th percentile of the companies in the S&amp;P 500 over a three-year period beginning on December 22, 2025 and ending on December 22, 2028, and up to 600,000 shares being issued if the Company’s stock price performance meets or exceeds the 90th percentile of the companies in the S&amp;P 500.</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measured the fair value of the 2026 Special PSU Award on the grant date using a Monte Carlo simulation valuation model. The risk-free interest rate used was 3.50%, which was based on the term-matched zero-coupon-risk-free interest rate derived from the Treasury Constant Maturities yield curve for a period commensurate with the expected term of the award on the grant date. The expected volatility used was 44.83%, which was calculated based on the daily stock price returns for the Company over a lookback period commensurate with the expected term of the award on the grant date.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2022 the Company’s board of directors granted 655,000 PSUs (the “2022 Special PSU Awards” and, together with the “2026 Special PSU Award”, the “Special PSU Awards”). The 2022 Special PSU Awards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2022 Special PSU Awards will be satisfied in installments as follows, subject to continued employment with the Company through each applicable vesting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50% of the 2022 Special PSU Awards underlying the applicable tranche will service vest on the first anniversary of the vesting commencement date applicable to such tranche of the 2022 Special PSU Awards (i.e., February 1, 2022, February 1, 2023, February 1, 2024, and February 1, 2025) and (ii) the remaining PSUs with respect to such tranche will thereafter service vest in four equal quarterly installments of 12.5%.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measured the fair value of the 2022 Special PSU Awards on the respective grant dates using a Monte Carlo simulation valuation model. The risk-free interest rates used were 0.85% - 1.51%, which were based on the zero-coupon-risk-free interest rate derived from the Treasury Constant Maturities yield curve for a period commensurate with the expected term of the award on the grant date. The expected volatility used were 54.89% - 55.36%, which were calculated based on an equal blend of the Company’s historical volatility calculated from daily stock price returns over a 2.21 - 2.58 year lookback from the grant date and the Company’s implied volatility as of the grant date.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unrecognized stock-based compensation expense related to the unvested portion of the Special PSU Awards was $183.4 million as of January 31, 2026. This expense is expected to be amortized over a weighted-average vesting period of 2.4 years.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RSUs, PSUs, and the Special PSU Awards activities for the fiscal year ended January 31, 2026:</w:t>
      </w:r>
    </w:p>
    <w:tbl>
      <w:tblPr>
        <w:tblW w:w="7976" w:type="dxa"/>
        <w:jc w:val="left"/>
        <w:tblInd w:w="0" w:type="dxa"/>
        <w:tblLayout w:type="fixed"/>
        <w:tblCellMar>
          <w:top w:w="28" w:type="dxa"/>
          <w:left w:w="28" w:type="dxa"/>
          <w:bottom w:w="28" w:type="dxa"/>
          <w:right w:w="28" w:type="dxa"/>
        </w:tblCellMar>
      </w:tblPr>
      <w:tblGrid>
        <w:gridCol w:w="1694"/>
        <w:gridCol w:w="1488"/>
        <w:gridCol w:w="1497"/>
        <w:gridCol w:w="409"/>
        <w:gridCol w:w="409"/>
        <w:gridCol w:w="411"/>
        <w:gridCol w:w="109"/>
        <w:gridCol w:w="109"/>
        <w:gridCol w:w="109"/>
        <w:gridCol w:w="338"/>
        <w:gridCol w:w="1155"/>
        <w:gridCol w:w="248"/>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Weighted-Average</w:t>
              <w:br/>
              <w:t>Grant Date</w:t>
              <w:br/>
              <w:t>Fair Value</w:t>
              <w:br/>
              <w:t>Per Share</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and PSUs outstanding at January 31, 2025</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451.58 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adjustment</w:t>
            </w:r>
            <w:r>
              <w:rPr>
                <w:rFonts w:ascii="Times New Roman;serif" w:hAnsi="Times New Roman;serif"/>
                <w:b w:val="false"/>
                <w:color w:val="000000"/>
                <w:sz w:val="13"/>
              </w:rPr>
              <w:t>(1)</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and PSUs outstanding at January 31, 2026</w:t>
            </w:r>
          </w:p>
        </w:tc>
        <w:tc>
          <w:tcPr>
            <w:tcW w:w="8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297.62 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RSUs and PSUs expected to vest at January 31, 2026</w:t>
            </w:r>
            <w:r>
              <w:rPr>
                <w:rFonts w:ascii="Times New Roman;serif" w:hAnsi="Times New Roman;serif"/>
                <w:b/>
                <w:color w:val="000000"/>
                <w:sz w:val="13"/>
              </w:rPr>
              <w:t>(2)</w:t>
            </w:r>
          </w:p>
        </w:tc>
        <w:tc>
          <w:tcPr>
            <w:tcW w:w="81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4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The performance adjustment represents adjustments in shares outstanding due to the actual achievement of performance-based awards, the achievement of which was based upon pre-defined financial performance targets.</w:t>
      </w:r>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    Excludes in progress PSUs and the 2026 Special PSU Award where pre-defined targets have not yet been achieved.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During the fiscal year ended January 31, 2025, there were ESPP rollovers because the Company’s closing stock price on the purchase date was lower than the Company’s closing stock price on the first day of the offering periods. As a result, these offering dates were rolled over to new 24-month offering periods through December 10, 2026. These rollovers were accounted for as a modification to the original offerings. The total incremental expense as a result of the rollover and contribution modifications during fiscal year ended January 31, 2025 was $12.4 million, which will be recognized over the new or remaining offering periods. There were no ESPP rollovers during the fiscal years ended January 31, 2026 and January 31, 2024. Total incremental expense as a result of contribution modifications during the fiscal year ended January 31, 2026, was $4.7 million, which will be recognized over the remaining offering periods. Total incremental expense as a result of contribution modifications during the fiscal year ended January 31, 2024 was $7.3 million, which was fully recognized by the end of fiscal year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Employee payroll contributions ultimately used to purchase shares are reclassified to stockholders’ equity on the purchase date. ESPP employee payroll contributions accrued as of January 31, 2026 and January 31, 2025 totaled $36.2 million and $33.2 million, respectively, and are included within accrued payroll and benefits in the consolidated balance sheets.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assumptions used in the Black-Scholes option-pricing model to determine the fair value of employee stock purchase rights granted under the Company’s ESPP:</w:t>
      </w:r>
    </w:p>
    <w:tbl>
      <w:tblPr>
        <w:tblW w:w="7430" w:type="dxa"/>
        <w:jc w:val="left"/>
        <w:tblInd w:w="0" w:type="dxa"/>
        <w:tblLayout w:type="fixed"/>
        <w:tblCellMar>
          <w:top w:w="28" w:type="dxa"/>
          <w:left w:w="28" w:type="dxa"/>
          <w:bottom w:w="28" w:type="dxa"/>
          <w:right w:w="28" w:type="dxa"/>
        </w:tblCellMar>
      </w:tblPr>
      <w:tblGrid>
        <w:gridCol w:w="951"/>
        <w:gridCol w:w="835"/>
        <w:gridCol w:w="839"/>
        <w:gridCol w:w="300"/>
        <w:gridCol w:w="300"/>
        <w:gridCol w:w="750"/>
        <w:gridCol w:w="111"/>
        <w:gridCol w:w="111"/>
        <w:gridCol w:w="111"/>
        <w:gridCol w:w="300"/>
        <w:gridCol w:w="300"/>
        <w:gridCol w:w="750"/>
        <w:gridCol w:w="111"/>
        <w:gridCol w:w="111"/>
        <w:gridCol w:w="111"/>
        <w:gridCol w:w="291"/>
        <w:gridCol w:w="291"/>
        <w:gridCol w:w="857"/>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0.5 – 2.0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0.5 – 2.0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0.5 – 2.0</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 – 5.2%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 – 5.3%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 – 5.3%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41.0% – 59.8%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40.8% – 59.8%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40.8% – 61.2%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the consolidated statements of operations is as follows (in thousands):</w:t>
      </w:r>
    </w:p>
    <w:tbl>
      <w:tblPr>
        <w:tblW w:w="7736" w:type="dxa"/>
        <w:jc w:val="left"/>
        <w:tblInd w:w="0" w:type="dxa"/>
        <w:tblLayout w:type="fixed"/>
        <w:tblCellMar>
          <w:top w:w="28" w:type="dxa"/>
          <w:left w:w="28" w:type="dxa"/>
          <w:bottom w:w="28" w:type="dxa"/>
          <w:right w:w="28" w:type="dxa"/>
        </w:tblCellMar>
      </w:tblPr>
      <w:tblGrid>
        <w:gridCol w:w="1251"/>
        <w:gridCol w:w="1097"/>
        <w:gridCol w:w="1101"/>
        <w:gridCol w:w="211"/>
        <w:gridCol w:w="976"/>
        <w:gridCol w:w="109"/>
        <w:gridCol w:w="109"/>
        <w:gridCol w:w="109"/>
        <w:gridCol w:w="109"/>
        <w:gridCol w:w="211"/>
        <w:gridCol w:w="826"/>
        <w:gridCol w:w="109"/>
        <w:gridCol w:w="109"/>
        <w:gridCol w:w="109"/>
        <w:gridCol w:w="109"/>
        <w:gridCol w:w="211"/>
        <w:gridCol w:w="82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cost of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9. Revenue, Deferred Revenue and Remaining Performance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 by region based on the shipping address of customers who have contracted to use the Company’s platform or service (in thousands, except percentages):</w:t>
      </w:r>
    </w:p>
    <w:tbl>
      <w:tblPr>
        <w:tblW w:w="10205" w:type="dxa"/>
        <w:jc w:val="left"/>
        <w:tblInd w:w="0" w:type="dxa"/>
        <w:tblLayout w:type="fixed"/>
        <w:tblCellMar>
          <w:top w:w="28" w:type="dxa"/>
          <w:left w:w="28" w:type="dxa"/>
          <w:bottom w:w="28" w:type="dxa"/>
          <w:right w:w="28" w:type="dxa"/>
        </w:tblCellMar>
      </w:tblPr>
      <w:tblGrid>
        <w:gridCol w:w="602"/>
        <w:gridCol w:w="481"/>
        <w:gridCol w:w="483"/>
        <w:gridCol w:w="211"/>
        <w:gridCol w:w="976"/>
        <w:gridCol w:w="109"/>
        <w:gridCol w:w="109"/>
        <w:gridCol w:w="109"/>
        <w:gridCol w:w="109"/>
        <w:gridCol w:w="233"/>
        <w:gridCol w:w="233"/>
        <w:gridCol w:w="551"/>
        <w:gridCol w:w="109"/>
        <w:gridCol w:w="109"/>
        <w:gridCol w:w="109"/>
        <w:gridCol w:w="211"/>
        <w:gridCol w:w="976"/>
        <w:gridCol w:w="109"/>
        <w:gridCol w:w="109"/>
        <w:gridCol w:w="109"/>
        <w:gridCol w:w="109"/>
        <w:gridCol w:w="233"/>
        <w:gridCol w:w="233"/>
        <w:gridCol w:w="551"/>
        <w:gridCol w:w="109"/>
        <w:gridCol w:w="109"/>
        <w:gridCol w:w="109"/>
        <w:gridCol w:w="211"/>
        <w:gridCol w:w="976"/>
        <w:gridCol w:w="109"/>
        <w:gridCol w:w="109"/>
        <w:gridCol w:w="109"/>
        <w:gridCol w:w="109"/>
        <w:gridCol w:w="233"/>
        <w:gridCol w:w="233"/>
        <w:gridCol w:w="616"/>
      </w:tblGrid>
      <w:tr>
        <w:trPr/>
        <w:tc>
          <w:tcPr>
            <w:tcW w:w="6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January 31, </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single country other than the United States represented 10% or more of the Company’s total revenue during the fiscal years ended January 31, 2026, January 31, 2025, and January 31, 2024.</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consist of deferred revenue and include payments received in advance of performance under the contract. Such amounts are recognized as revenue over the contractual period. The Company recognized revenue of $2,683.7 million and $2,251.3 million for the fiscal years ended January 31, 2026 and January 31, 2025, respectively, which was included in the corresponding contract liability balance at the beginning of the period.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deferred revenue were as follows (in thousands):</w:t>
      </w:r>
    </w:p>
    <w:tbl>
      <w:tblPr>
        <w:tblW w:w="5926" w:type="dxa"/>
        <w:jc w:val="left"/>
        <w:tblInd w:w="0" w:type="dxa"/>
        <w:tblLayout w:type="fixed"/>
        <w:tblCellMar>
          <w:top w:w="28" w:type="dxa"/>
          <w:left w:w="28" w:type="dxa"/>
          <w:bottom w:w="28" w:type="dxa"/>
          <w:right w:w="28" w:type="dxa"/>
        </w:tblCellMar>
      </w:tblPr>
      <w:tblGrid>
        <w:gridCol w:w="994"/>
        <w:gridCol w:w="873"/>
        <w:gridCol w:w="877"/>
        <w:gridCol w:w="211"/>
        <w:gridCol w:w="976"/>
        <w:gridCol w:w="109"/>
        <w:gridCol w:w="109"/>
        <w:gridCol w:w="109"/>
        <w:gridCol w:w="109"/>
        <w:gridCol w:w="211"/>
        <w:gridCol w:w="976"/>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January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deferred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4,753,438 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3,728,677 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subscription contracts with its customers have a typical term of one to three years, and most subscription contracts are non-cancelable. Customers generally have the right to terminate their contracts for cause as a result of the Company’s failure to perform. As of January 31, 2026, the aggregate amount of the transaction price allocated to remaining performance obligations was $9.0 billion. The Company expects to recognize approximately 51% of the remaining performance obligations in the 12 months following January 31, 2026 and 43% of the remaining performance obligations between 13 to 36 months, with the remainder to be recognized thereafter.</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Costs to Obtain and Fulfill a Contract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 Commissions are included in sales and marketing expense in the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fiscal year ended January 31,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deferred contract acquisition costs (in thousands):</w:t>
      </w:r>
    </w:p>
    <w:tbl>
      <w:tblPr>
        <w:tblW w:w="7261" w:type="dxa"/>
        <w:jc w:val="left"/>
        <w:tblInd w:w="0" w:type="dxa"/>
        <w:tblLayout w:type="fixed"/>
        <w:tblCellMar>
          <w:top w:w="28" w:type="dxa"/>
          <w:left w:w="28" w:type="dxa"/>
          <w:bottom w:w="28" w:type="dxa"/>
          <w:right w:w="28" w:type="dxa"/>
        </w:tblCellMar>
      </w:tblPr>
      <w:tblGrid>
        <w:gridCol w:w="1533"/>
        <w:gridCol w:w="1344"/>
        <w:gridCol w:w="1352"/>
        <w:gridCol w:w="211"/>
        <w:gridCol w:w="976"/>
        <w:gridCol w:w="109"/>
        <w:gridCol w:w="109"/>
        <w:gridCol w:w="109"/>
        <w:gridCol w:w="109"/>
        <w:gridCol w:w="211"/>
        <w:gridCol w:w="826"/>
        <w:gridCol w:w="109"/>
        <w:gridCol w:w="109"/>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contract acquisition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contract acquisition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acquisition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10. Commitments and Contingencies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July 19 Incident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19, 2024, the Company released a content configuration update for its Falcon sensor that resulted in system crashes for certain Windows systems (the “July 19 Incident”). The Company is subject to a number of legal proceedings in connection with the July 19 Incident,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On July 30, 2024, a putative class action lawsuit was filed against the Company and certain of the Company’s officers in federal court in the Western District of Texas alleging violations of federal securities laws, including that the defendants made false or misleading statements. The complainants seek certification of a class of all persons who purchased or otherwise acquired the Company’s securities during specified periods of time and are seeking unspecified monetary damages, costs and attorneys’ fees. On January 21, 2025, an amended complaint was filed. On April 7, 2025, the defendants filed a motion to dismiss, which the court granted on January 12, 2026. On January 26, 2026, the plaintiffs filed a notice of intention not to amend the complaint. On January 28, 2026, the court entered final judgment and closed the case. The plaintiffs did not file a notice of appeal within the time permitted under applicable law, and the judgment is final.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On August 5, 2024, a putative class action was filed against CrowdStrike, Inc. in the Western District of Texas in relation to passenger airline flight disruptions allegedly caused by the July 19 Incident. On August 19, 2024, a second putative class action was filed against the Company and CrowdStrike, Inc. in the Western District of Texas, making similar allegations in relation to passenger airline flight disruptions. On November 6, 2024, these two lawsuits were consolidated, and interim class counsel was appointed. On December 6, 2024, a consolidated class action complaint was filed, which, among other things, asserts causes of action for negligence and public nuisance, and seeks certification of a nationwide class, as well as several state sub-classes of citizens of California, Ohio, Pennsylvania, Iowa, and Nevada. The putative classes are comprised of individuals who allegedly had a flight delayed or canceled as a result of the July 19 Incident. The consolidated complaint seeks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pPr>
      <w:r>
        <w:rPr>
          <w:rFonts w:ascii="Times New Roman;serif" w:hAnsi="Times New Roman;serif"/>
          <w:b w:val="false"/>
          <w:color w:val="000000"/>
          <w:sz w:val="20"/>
        </w:rPr>
        <w:t>unspecified monetary damages, certain injunctive relief, costs, and attorneys’ fees. On February 4, 2025, the Company and CrowdStrike, Inc. filed a motion to dismiss the consolidated complaint. On June 18, 2025, the district court granted the Company and CrowdStrike, Inc.’s motion to dismiss the consolidated complaint and entered a final judgment.</w:t>
      </w:r>
      <w:r>
        <w:rPr>
          <w:color w:val="000000"/>
        </w:rPr>
        <w:t xml:space="preserve"> </w:t>
      </w:r>
      <w:r>
        <w:rPr>
          <w:rFonts w:ascii="Times New Roman;serif" w:hAnsi="Times New Roman;serif"/>
          <w:b w:val="false"/>
          <w:color w:val="000000"/>
          <w:sz w:val="20"/>
        </w:rPr>
        <w:t xml:space="preserve">On June 25, 2025, the plaintiffs filed a notice of appeal to the United States Court of Appeals for the Fifth Circuit. The appeal is currently pending.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On September 4, September 11, and September 20, 2024, three derivative lawsuits were filed against certain of the Company’s officers and directors, and against the Company as nominal defendant, in federal court in the Western District of Texas alleging various claims, including breach of fiduciary duty, unjust enrichment, and violations of federal securities laws, including that the defendants made false or misleading statements in violation of Sections 10(b) and 14(a) of the Exchange Act and SEC Rules 10b-5 and 14a-9. One of the lawsuits also brings a claim against certain of the defendants for contribution under Sections 10(b) and 21D of the Exchange Act. The complainants seek monetary and non-monetary relief purportedly on behalf of the Company. On November 21, 2024, all three cases were consolidated and stayed pending resolution of the putative securities class action described above. On April 9, 2025, another derivative lawsuit was filed against certain of the Company’s officers and directors, and against the Company as nominal defendant, in federal court in the District of Delaware, asserting similar claims and seeking similar relief as the previously filed derivative lawsuits. On May 22, 2025, this lawsuit was voluntarily dismissed without prejudice. On April 10, 2025, two additional derivative lawsuits were filed against certain of the Company’s officers and directors, and against the Company as nominal defendant, in federal court in the Western District of Texas, asserting similar claims and seeking similar relief as the previously filed derivative lawsuits. On May 23, 2025, these lawsuits were consolidated with each other and stayed pending a response by the Company’s board of directors to a litigation demand submitted by one of the plaintiffs and a proposed order governing next steps. On July 18, 2025, these consolidated lawsuits were stayed pending resolution of the putative securities class action described above. On July 3 and July 17, 2025, two additional derivative lawsuits were filed against certain of the Company’s officers and directors, and against the Company as a nominal defendant, in the Delaware Court of Chancery, asserting similar claims and seeking similar relief as the previously filed derivative lawsuits. On August 18, 2025, these two lawsuits were consolidated and stayed pending resolution of the putative securities class action described above.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On October 25, 2024, Delta Airlines, Inc. (“Delta”) filed a complaint against CrowdStrike, Inc. in the Superior Court for Fulton County, Georgia, alleging, among other things, computer trespass, trespass to personalty, breach of contract, intentional misrepresentation/fraud by omission, strict-liability product defect, gross negligence, and deceptive and unfair business practices. Delta is seeking unspecified monetary damages, attorneys’ fees and unspecified punitive damages. The matter has been transferred to the Metro Atlanta Business Case Division. On December 16, 2024, CrowdStrike, Inc. filed a motion to dismiss. On May 16, 2025, CrowdStrike, Inc.’s motion to dismiss was granted in part and denied in part. Discovery is ongoing.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received requests for information from the U.S. Department of Justice and the U.S. Securities and Exchange Commission relating to the Company’s recognition of revenue and reporting of ARR for transactions with certain customers, the July 19 Incident and related matters. The Company is cooperating and providing information in response to these requests.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some customers and third parties have asserted claims against the Company. The Company has also received inquiries from other governmental authorities and third parties related to the July 19 Incident. The Company is cooperating and providing information in connection with these inquiries.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any claims and legal proceedings for which the Company believes a liability is both probable and reasonably estimable, the Company records a liability in the period for which it makes this determination. For claims and legal proceedings where a loss may be reasonably possible, but not probable, or is probable but not reasonably estimable, no accrual is established. While the Company believes it is reasonably possible that it could incur losses associated with the claims, proceedings and inquiries described above, it is not possible to estimate the amount of any loss or range of possible loss that might result from adverse judgments, settlements, penalties or other resolutions of these claims, proceedings and inquiries based on their current stage, and the lack of resolution on significant factual and legal issues. Because the final outcome of any of these matters cannot be predicted with certainty, unfavorable or unexpected developments or outcomes could result in a material impact to the Company’s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to incur significant legal and professional services and other expenses associated with the July 19 Incident and related matters in future periods. These expenses will be recognized as incurred. Certain costs may be recoverable under the Company’s insurance policies in effect at the date of the July 19 Incident. Any amounts recoverable under such policies will be reflected in future periods in which recovery is considered probable.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the rollforward of amounts accrued and expenses incurred, net of insurance receivable recorded, associated with the July 19 Incident and related matters during the fiscal years ended January 31, 2026 and January 31, 2025 (in thousands):</w:t>
      </w:r>
    </w:p>
    <w:tbl>
      <w:tblPr>
        <w:tblW w:w="5871" w:type="dxa"/>
        <w:jc w:val="left"/>
        <w:tblInd w:w="0" w:type="dxa"/>
        <w:tblLayout w:type="fixed"/>
        <w:tblCellMar>
          <w:top w:w="28" w:type="dxa"/>
          <w:left w:w="28" w:type="dxa"/>
          <w:bottom w:w="28" w:type="dxa"/>
          <w:right w:w="28" w:type="dxa"/>
        </w:tblCellMar>
      </w:tblPr>
      <w:tblGrid>
        <w:gridCol w:w="1734"/>
        <w:gridCol w:w="1520"/>
        <w:gridCol w:w="1531"/>
        <w:gridCol w:w="211"/>
        <w:gridCol w:w="721"/>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Expenses incurred, net of insurance receivable recorded</w:t>
            </w:r>
            <w:r>
              <w:rPr>
                <w:rFonts w:ascii="Times New Roman;serif" w:hAnsi="Times New Roman;serif"/>
                <w:b w:val="false"/>
                <w:color w:val="000000"/>
                <w:sz w:val="13"/>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 cash received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2025</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Expenses incurred, net of insurance receivable recorded</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 cash received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January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These expenses are included in the Company’s consolidated statements of operations as sales and marketing expenses, research and development expenses, and general and administrative expenses. Accruals are recorded in accrued expenses in the Company’s consolidated balance sheets. Insurance receivable is recorded in prepaid expenses and other current assets in the Company’s consolidated balance sheets.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customer commitment packages, the Company has made an immaterial amount of settlement offers to certain customers in response to the July 19 Incident. These amounts are, or will be, entirely offset by recoveries under the Company’s insurance policies. Accordingly, there is no impact on the Company’s consolidated statement of operations for the fiscal year ended January 31, 2026. The customer payables and insurance receivables were recorded as accrued expenses and as prepaid expenses and other current assets in the Company’s consolidated balance sheet as of January 31, 2026, respectively.</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Other Legal Proceedings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Other than as discussed above, there is no pending or threatened legal proceeding to which the Company is a party that, in the Company’s opinion, is reasonably possible to have a material effect on its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405"/>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non-cancelable purchase commitments with various parties to purchase products and services such as data center capacity, advertising, technology, equipment, office renovations, corporate events, and consulting services. A summary of non-cancelable purchase obligations in excess of one year as of January 31, 2026, with expected date of payment is as follows (in thousands):</w:t>
      </w:r>
    </w:p>
    <w:tbl>
      <w:tblPr>
        <w:tblW w:w="3801" w:type="dxa"/>
        <w:jc w:val="left"/>
        <w:tblInd w:w="0" w:type="dxa"/>
        <w:tblLayout w:type="fixed"/>
        <w:tblCellMar>
          <w:top w:w="28" w:type="dxa"/>
          <w:left w:w="28" w:type="dxa"/>
          <w:bottom w:w="28" w:type="dxa"/>
          <w:right w:w="28" w:type="dxa"/>
        </w:tblCellMar>
      </w:tblPr>
      <w:tblGrid>
        <w:gridCol w:w="956"/>
        <w:gridCol w:w="841"/>
        <w:gridCol w:w="663"/>
        <w:gridCol w:w="211"/>
        <w:gridCol w:w="97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Commitments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2,770,404 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Unfunded Loan Commitments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financing arrangements for certain qualified end-users to purchase its products and services. When the Company enters into these financing arrangements with the end-users, the funds provided by the Company for the sales transactions do not always occur immediately upon signing, depending on the terms of the arrangements. The Company estimates an allowance for credit losses on these off-balance sheet credit exposures at each reporting period on the contractual period over which the Company is exposed to credit risk via a contractual obligation to extend credit, unless that obligation is unconditionally cancelable by the Company. The Company had non-cancelable unfunded commitments totaling approximately $89.9 million as of January 31, 2026.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Warranties and Indemnification</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Company’s cloud computing services are typically warranted to perform in a manner consistent with general industry standards that are reasonably applicable and materially in accordance with the Company’s online help documentation under normal use and circumstances.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such limited warranty arrangements. The Company’s customer arrangements generally include certain provisions for indemnifying customers against losses suffered or incurred as a result of third-party claims that the Company’s products or services infringe a third party’s intellectual property rights. From time to time, the Company has also agreed to certain other indemnifications and warranties. The Company has not incurred any material costs because of such obligations and has not accrued any liabilities related to such obligations in the consolidated financial statements as of January 31, 2026 or January 31, 2025</w:t>
      </w:r>
      <w:r>
        <w:rPr>
          <w:rFonts w:ascii="Arial;sans-serif" w:hAnsi="Arial;sans-serif"/>
          <w:b w:val="false"/>
          <w:color w:val="000000"/>
          <w:sz w:val="20"/>
        </w:rPr>
        <w: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January 31, 2026 or January 31, 2025</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11. Geographic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net and operating lease right-of-use assets, are summarized by geographic area as follows (in thousands):</w:t>
      </w:r>
    </w:p>
    <w:tbl>
      <w:tblPr>
        <w:tblW w:w="8828" w:type="dxa"/>
        <w:jc w:val="left"/>
        <w:tblInd w:w="0" w:type="dxa"/>
        <w:tblLayout w:type="fixed"/>
        <w:tblCellMar>
          <w:top w:w="28" w:type="dxa"/>
          <w:left w:w="28" w:type="dxa"/>
          <w:bottom w:w="28" w:type="dxa"/>
          <w:right w:w="28" w:type="dxa"/>
        </w:tblCellMar>
      </w:tblPr>
      <w:tblGrid>
        <w:gridCol w:w="2181"/>
        <w:gridCol w:w="1912"/>
        <w:gridCol w:w="1921"/>
        <w:gridCol w:w="211"/>
        <w:gridCol w:w="976"/>
        <w:gridCol w:w="109"/>
        <w:gridCol w:w="109"/>
        <w:gridCol w:w="109"/>
        <w:gridCol w:w="109"/>
        <w:gridCol w:w="211"/>
        <w:gridCol w:w="826"/>
        <w:gridCol w:w="154"/>
      </w:tblGrid>
      <w:tr>
        <w:trPr/>
        <w:tc>
          <w:tcPr>
            <w:tcW w:w="218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Germany </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 and operating lease right-of-use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1,046,191 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831,403 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12. Acquisitions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Pangea Cyber Corporation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26, 2025, the Company acquired 100% of the equity interest of Pangea Cyber Corporation (“Pangea”), a company that offers AI detection and response solutions.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The total consideration transferred consisted of $212.1 million in cash, net of $9.4 million of cash and restricted cash acquired, and $0.3 million and $10.3 million representing the fair value of replacement equity and liability awards, respectively, attributable to pre-acquisition service. The remaining fair value of these replacement awards attributed to post-combination service was excluded from the purchase price. The cash consideration included (i) cash held back in an escrow fund for a partial security for post-closing true-up adjustments, which was released from escrow in January 2026, and (ii) cash held back in an escrow fund for a partial security for post-closing indemnification claims. Amounts reflected in restricted cash at January 31, 2026 are expected to be released in fiscal year 2028. The purchase price was allocated on a preliminary basis, subject to working capital adjustment and continuing management analysis, to developed technology of $13.2 million with a useful life of 72 months, net tangible liabilities of $0.4 million, and goodwill of $209.9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The goodwill was primarily attributable to the assembled workforce of Pangea, planned growth in new markets, and synergies expected to be achieved from the integration of Pangea.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merger agreement with Pangea, certain unvested stock options held by Pangea employees were canceled and exchanged for replacement stock options under the 2019 Plan. Additionally, certain shares of Pangea stock held by Pangea employees were exchanged for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fiscal year ended January 31, 2026 were $3.1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consolidated financial statements from the date of acquisition. The acquisition of Pangea did not have a material impact on the Company’s consolidated financial statements, and therefore historical and pro forma disclosures have not been presented.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Onum Technology Inc.</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12, 2025, the Company acquired 100% of the equity interest of Onum Technology Inc. (“Onum”), a leader in real-time telemetry pipeline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The total consideration transferred consisted of $252.7 million in cash, net of $15.2 million of cash and restricted cash acquired, and $2.0 million representing the fair value of replacement equity awards attributable to pre-acquisition service. The remaining fair value of these replacement awards attributed to post-combination service was excluded from the purchase price. The cash consideration included cash held back in an escrow fund for a partial security for post-closing indemnification claims. Escrow amounts are reflected within restricted cash and are expected to be released in fiscal year 2028. The purchase price was allocated on a preliminary basis, subject to working capital adjustment and continuing management analysis, to identifiable intangible assets, which include developed technology and customer relationships of $21.4 million, net tangible assets acquired of $0.2 million, and goodwill of $233.1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In addition, the fair value of customer relationships was estimated using the with-and-without method. The goodwill was primarily attributable to the assembled workforce of Onum, planned growth in new markets, and synergies expected to be achieved from the integration of Onum.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merger agreement with Onum, certain unvested stock options held by Onum employees were canceled and exchanged for replacement stock options under the 2019 Plan. Additionally, certain shares of Onum stock held by Onum employees were exchanged for shares 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identifiable intangible assets acquired and their estimated useful lives as of the date of acquisition (dollars in thousands):</w:t>
      </w:r>
    </w:p>
    <w:tbl>
      <w:tblPr>
        <w:tblW w:w="5201" w:type="dxa"/>
        <w:jc w:val="left"/>
        <w:tblInd w:w="0" w:type="dxa"/>
        <w:tblLayout w:type="fixed"/>
        <w:tblCellMar>
          <w:top w:w="28" w:type="dxa"/>
          <w:left w:w="28" w:type="dxa"/>
          <w:bottom w:w="28" w:type="dxa"/>
          <w:right w:w="28" w:type="dxa"/>
        </w:tblCellMar>
      </w:tblPr>
      <w:tblGrid>
        <w:gridCol w:w="978"/>
        <w:gridCol w:w="858"/>
        <w:gridCol w:w="863"/>
        <w:gridCol w:w="216"/>
        <w:gridCol w:w="738"/>
        <w:gridCol w:w="111"/>
        <w:gridCol w:w="109"/>
        <w:gridCol w:w="109"/>
        <w:gridCol w:w="109"/>
        <w:gridCol w:w="325"/>
        <w:gridCol w:w="325"/>
        <w:gridCol w:w="46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Useful Life </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months)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acquired</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fiscal year ended January 31, 2026 were $4.1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consolidated financial statements from the date of acquisition. The acquisition of Onum did not have a material impact on the Company’s consolidated financial statements, and therefore historical and pro forma disclosures have not been presented.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Adaptive Shield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20, 2024, the Company acquired 100% of the equity interest of A.S. Adaptive Shield Ltd. (“Adaptive Shield”), a SaaS-based cybersecurity company that offers customers comprehensive SaaS security posture management solutions.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The total consideration transferred consisted of $213.7 million in cash, net of $13.7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to developed technology and customer relationships of $31.1 million, net tangible liabilities acquired of $7.7 million, and goodwill of $191.0 million, which was allocated to the Company’s one reporting unit and represents the excess of the purchase price over the fair value of net tangible and intangible assets acquired. The goodwill was primarily attributable to the assembled workforce of Adaptive Shield, planned growth in new markets, and synergies expected to be achieved from the integration of Adaptive Shield. Goodwill is not deductible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share purchase agreement with Adaptive Shield, certain unvested stock options held by Adaptive Shield employees were canceled and exchanged for replacement stock options under the 2019 Plan. Additionally, certain shares of Adaptive Shield stock held by Adaptive Shield employees were exchanged for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identifiable intangible assets acquired and their estimated useful lives as of the date of acquisition (dollars in thousands):</w:t>
      </w:r>
    </w:p>
    <w:tbl>
      <w:tblPr>
        <w:tblW w:w="5201" w:type="dxa"/>
        <w:jc w:val="left"/>
        <w:tblInd w:w="0" w:type="dxa"/>
        <w:tblLayout w:type="fixed"/>
        <w:tblCellMar>
          <w:top w:w="28" w:type="dxa"/>
          <w:left w:w="28" w:type="dxa"/>
          <w:bottom w:w="28" w:type="dxa"/>
          <w:right w:w="28" w:type="dxa"/>
        </w:tblCellMar>
      </w:tblPr>
      <w:tblGrid>
        <w:gridCol w:w="978"/>
        <w:gridCol w:w="858"/>
        <w:gridCol w:w="863"/>
        <w:gridCol w:w="216"/>
        <w:gridCol w:w="738"/>
        <w:gridCol w:w="111"/>
        <w:gridCol w:w="109"/>
        <w:gridCol w:w="109"/>
        <w:gridCol w:w="109"/>
        <w:gridCol w:w="325"/>
        <w:gridCol w:w="325"/>
        <w:gridCol w:w="46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Useful Life </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months)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acquired</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fiscal year ended January 31, 2026 were immaterial.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consolidated financial statements from the date of acquisition. The acquisition of Adaptive Shield did not have a material impact on the Company’s consolidated financial statements, and therefore historical and pro forma disclosures have not been presented.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Flow Security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26, 2024, the Company acquired 100% of the equity interest of Flow Security Ltd. (“Flow Security”), a leading provider of data security solutions.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The total consideration transferred consisted of $96.4 million in cash, net of $0.8 million of cash acquired, and $0.5 million representing the fair value of replacement equity awards attributable to pre-acquisition service. The remaining fair value of these replacement awards attributed to post-combination service was excluded from the purchase price. The purchase price was allocated to developed technology of $13.5 million with a useful life of 72 months, net tangible liabilities acquired of $0.6 million, and goodwill of $84.0 million, which was allocated to the Company’s one reporting unit and represents the excess of the purchase price over the fair value of net tangible and intangible assets acquired. The goodwill was primarily attributable to the assembled workforce of Flow Security, planned growth in new markets, and synergies expected to be achieved from the integration of Flow Security.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share purchase agreement with Flow Security, certain unvested stock options held by Flow Security employees were canceled and exchanged for replacement stock options under the 2019 Plan. Additionally, certain shares of Flow Security stock held by Flow Security employees were exchanged for the right to receive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consolidated financial statements from the date of acquisition. The acquisition of Flow Security did not have a material impact on the Company’s consolidated financial statements, and therefore historical and pro forma disclosures have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13. Net Income (Loss) Per Share Attributable to Common Stockholders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 Awards, ESPP obligations, and founders’ holdbacks, and are computed using the treasury stock method. The effects of the outstanding stock options, RSUs, PSUs, Special PSU Awards, ESPP obligations, and founders holdbacks are excluded from the computation of the diluted net income per share in periods in which the effect would be anti-dilutive. Diluted net loss per share is the same as basic net loss per share for the fiscal years ended January 31, 2026 and January 31, 2025 because the effects of potentially dilutive items were antidilutive given the Company’s net loss position during fiscal years ended January 31, 2026 and January 31,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(loss) per share attributable to CrowdStrike common stockholders are the same for shares of Class A and Class B common stock. On December 11, 2024, all of the Company’s outstanding shares of Class B common stock were automatically converted into an equal number of shares of Class A common stock pursuant to the provisions of the Amended and Restated Certificate of Incorporation.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(loss) per share attributable to CrowdStrike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2381"/>
        <w:gridCol w:w="1895"/>
        <w:gridCol w:w="1910"/>
        <w:gridCol w:w="211"/>
        <w:gridCol w:w="871"/>
        <w:gridCol w:w="109"/>
        <w:gridCol w:w="109"/>
        <w:gridCol w:w="109"/>
        <w:gridCol w:w="109"/>
        <w:gridCol w:w="211"/>
        <w:gridCol w:w="766"/>
        <w:gridCol w:w="109"/>
        <w:gridCol w:w="109"/>
        <w:gridCol w:w="109"/>
        <w:gridCol w:w="109"/>
        <w:gridCol w:w="211"/>
        <w:gridCol w:w="721"/>
        <w:gridCol w:w="156"/>
      </w:tblGrid>
      <w:tr>
        <w:trPr/>
        <w:tc>
          <w:tcPr>
            <w:tcW w:w="2381"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6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CrowdStrike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CrowdStrike common stockholders, basic</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common stock equivalents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CrowdStrike common stockholders, dilutive</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CrowdStrike common stockholders,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CrowdStrike common stockholders, 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the computation of diluted net income (loss) per share attributable to common stockholders for the periods presented because including them would have been antidilutive are as follows (in thousands):</w:t>
      </w:r>
    </w:p>
    <w:tbl>
      <w:tblPr>
        <w:tblW w:w="9586" w:type="dxa"/>
        <w:jc w:val="left"/>
        <w:tblInd w:w="0" w:type="dxa"/>
        <w:tblLayout w:type="fixed"/>
        <w:tblCellMar>
          <w:top w:w="28" w:type="dxa"/>
          <w:left w:w="28" w:type="dxa"/>
          <w:bottom w:w="28" w:type="dxa"/>
          <w:right w:w="28" w:type="dxa"/>
        </w:tblCellMar>
      </w:tblPr>
      <w:tblGrid>
        <w:gridCol w:w="2237"/>
        <w:gridCol w:w="1964"/>
        <w:gridCol w:w="1979"/>
        <w:gridCol w:w="308"/>
        <w:gridCol w:w="308"/>
        <w:gridCol w:w="176"/>
        <w:gridCol w:w="144"/>
        <w:gridCol w:w="144"/>
        <w:gridCol w:w="144"/>
        <w:gridCol w:w="360"/>
        <w:gridCol w:w="361"/>
        <w:gridCol w:w="176"/>
        <w:gridCol w:w="144"/>
        <w:gridCol w:w="144"/>
        <w:gridCol w:w="144"/>
        <w:gridCol w:w="308"/>
        <w:gridCol w:w="308"/>
        <w:gridCol w:w="237"/>
      </w:tblGrid>
      <w:tr>
        <w:trPr/>
        <w:tc>
          <w:tcPr>
            <w:tcW w:w="2237"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January 31,</w:t>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 subject to future vesting</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issuable from stock options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rights under the Employee Stock Purchase Plan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common shares excluded from diluted net income (loss) per share</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above table excludes founder holdbacks related to business combinations where a variable number of shares will be issued upon vesting to settle a fixed monetary amount of $45.4 million, contingent upon continued employment with the Company. The share price will be determined based on the Company’s average stock price or the volume weighted average stock price five days prior to each vesting date. During the fiscal year ended January 31, 2026, 19,560 shares were issued to settle founder holdbacks at a weighted average price of $470.56 per share.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January 31, 2026, the above table also excludes 340,021 outstanding shares of in progress PSUs where pre-defined targets have not yet been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14. Segment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CrowdStrike’s Chief Operating Decision Maker (“CODM”), the Chief Executive Officer, manages the Company’s business activities as a single operating and reportable segment at the consolidated level. Accordingly, the CODM uses consolidated net income (loss) to measure segment profit or loss, evaluate financial performance, and allocate resources. Consolidated net income (loss) is evaluated on a monthly basis by comparing actual results against budgeted or forecasted net income (loss), facilitating the analysis of the Company’s financial trends.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expenses within net income (loss) include cost of revenue for subscription and professional services, sales and marketing expenses, research and development expenses, and general and administrative expenses. Other segment items within net income (loss) include interest expense, interest income, other income, net, and provision for income taxes, which are each separately disclosed and presented in the consolidated statements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9 for additional information about the Company’s revenue by geographic region, and Note 11 for additional information about the Company’s property and equipment, net and operating lease right-of-use assets by geographic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15. Strategic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6, 2025, the Company announced a strategic plan (the “Strategic Plan”) to evolve its operations to yield greater efficiencies as the Company continues to scale its business with focus and discipline to meet its goals. The Strategic Plan resulted in a reduction of roles representing approximately 500 positions, or 5%, of the Company’s global workforce.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actions associated with the Strategic Plan were substantially completed as of January 31, 2026. For the fiscal year ended January 31, 2026, the Company recorded charges related to the Strategic Plan of $44.8 million, which consisted of $19.9 million related to severance payments and employee benefits, $17.9 million related to stock-based compensation expense, and $7.0 million for non-employee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Charges related to the Strategic Plan included in the consolidated statement of operations are as follows (in thousands):</w:t>
      </w:r>
    </w:p>
    <w:tbl>
      <w:tblPr>
        <w:tblW w:w="4708" w:type="dxa"/>
        <w:jc w:val="left"/>
        <w:tblInd w:w="0" w:type="dxa"/>
        <w:tblLayout w:type="fixed"/>
        <w:tblCellMar>
          <w:top w:w="28" w:type="dxa"/>
          <w:left w:w="28" w:type="dxa"/>
          <w:bottom w:w="28" w:type="dxa"/>
          <w:right w:w="28" w:type="dxa"/>
        </w:tblCellMar>
      </w:tblPr>
      <w:tblGrid>
        <w:gridCol w:w="1115"/>
        <w:gridCol w:w="978"/>
        <w:gridCol w:w="981"/>
        <w:gridCol w:w="317"/>
        <w:gridCol w:w="1086"/>
        <w:gridCol w:w="231"/>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January 31, 2026</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cost of revenue</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cost of revenue</w:t>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44,777 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related to the Strategic Plan for the fiscal year ended January 31, 2026 (in thousands):</w:t>
      </w:r>
    </w:p>
    <w:tbl>
      <w:tblPr>
        <w:tblW w:w="8501" w:type="dxa"/>
        <w:jc w:val="left"/>
        <w:tblInd w:w="0" w:type="dxa"/>
        <w:tblLayout w:type="fixed"/>
        <w:tblCellMar>
          <w:top w:w="28" w:type="dxa"/>
          <w:left w:w="28" w:type="dxa"/>
          <w:bottom w:w="28" w:type="dxa"/>
          <w:right w:w="28" w:type="dxa"/>
        </w:tblCellMar>
      </w:tblPr>
      <w:tblGrid>
        <w:gridCol w:w="1032"/>
        <w:gridCol w:w="907"/>
        <w:gridCol w:w="910"/>
        <w:gridCol w:w="675"/>
        <w:gridCol w:w="1300"/>
        <w:gridCol w:w="349"/>
        <w:gridCol w:w="109"/>
        <w:gridCol w:w="109"/>
        <w:gridCol w:w="109"/>
        <w:gridCol w:w="501"/>
        <w:gridCol w:w="964"/>
        <w:gridCol w:w="260"/>
        <w:gridCol w:w="109"/>
        <w:gridCol w:w="109"/>
        <w:gridCol w:w="109"/>
        <w:gridCol w:w="271"/>
        <w:gridCol w:w="524"/>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January 31, 2026</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Severance and 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Non-Employee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beginning of the period</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1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37,784 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(19,858)</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1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end of the period</w:t>
            </w:r>
          </w:p>
        </w:tc>
        <w:tc>
          <w:tcPr>
            <w:tcW w:w="6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January 31, 2026, the liability associated with the Strategic Plan is included in accrued payroll and benefits and accounts payable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16. Revision of Prior Period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 1, during the fourth quarter of the fiscal year ended January 31, 2026, the Company identified an immaterial error related to the timing of recognition of stock-based compensation expense in prior periods associated with certain awards granted in the fiscal years ended January 31, 2022 and 2023. The Company evaluated the error and concluded that it was not material to its previously issued Consolidated Financial Statements. However, the impact of correcting the cumulative effect of the error as an out-of-period adjustment during the fiscal year ended January 31, 2026 would have been material.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cumulative impact of this error to the fiscal years ended January 31, 2023 and 2022, in the amount of $29.3 million, has been reflected as an adjustment to the Accumulated deficit and Additional paid-in capital balances at February 1, 2023.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following tables reflect the impacts of the revision to the previously filed financial statements for the fiscal years ended January 31, 2025 and 2024, respectively (in thousands, except per share data):    </w:t>
      </w:r>
      <w:r>
        <w:rPr>
          <w:color w:val="000000"/>
        </w:rPr>
        <w:t>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Consolidated Balance Sheets</w:t>
      </w:r>
    </w:p>
    <w:tbl>
      <w:tblPr>
        <w:tblW w:w="7502" w:type="dxa"/>
        <w:jc w:val="left"/>
        <w:tblInd w:w="0" w:type="dxa"/>
        <w:tblLayout w:type="fixed"/>
        <w:tblCellMar>
          <w:top w:w="28" w:type="dxa"/>
          <w:left w:w="28" w:type="dxa"/>
          <w:bottom w:w="28" w:type="dxa"/>
          <w:right w:w="28" w:type="dxa"/>
        </w:tblCellMar>
      </w:tblPr>
      <w:tblGrid>
        <w:gridCol w:w="814"/>
        <w:gridCol w:w="717"/>
        <w:gridCol w:w="719"/>
        <w:gridCol w:w="314"/>
        <w:gridCol w:w="1564"/>
        <w:gridCol w:w="162"/>
        <w:gridCol w:w="109"/>
        <w:gridCol w:w="109"/>
        <w:gridCol w:w="109"/>
        <w:gridCol w:w="227"/>
        <w:gridCol w:w="796"/>
        <w:gridCol w:w="119"/>
        <w:gridCol w:w="109"/>
        <w:gridCol w:w="109"/>
        <w:gridCol w:w="109"/>
        <w:gridCol w:w="211"/>
        <w:gridCol w:w="105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January 31, 2025</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4,367,070 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(1,078,107)</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(1,120,540)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Consolidated Statements of Operations</w:t>
      </w:r>
    </w:p>
    <w:tbl>
      <w:tblPr>
        <w:tblW w:w="10205" w:type="dxa"/>
        <w:jc w:val="left"/>
        <w:tblInd w:w="0" w:type="dxa"/>
        <w:tblLayout w:type="fixed"/>
        <w:tblCellMar>
          <w:top w:w="28" w:type="dxa"/>
          <w:left w:w="28" w:type="dxa"/>
          <w:bottom w:w="28" w:type="dxa"/>
          <w:right w:w="28" w:type="dxa"/>
        </w:tblCellMar>
      </w:tblPr>
      <w:tblGrid>
        <w:gridCol w:w="788"/>
        <w:gridCol w:w="630"/>
        <w:gridCol w:w="632"/>
        <w:gridCol w:w="223"/>
        <w:gridCol w:w="839"/>
        <w:gridCol w:w="124"/>
        <w:gridCol w:w="109"/>
        <w:gridCol w:w="109"/>
        <w:gridCol w:w="109"/>
        <w:gridCol w:w="229"/>
        <w:gridCol w:w="649"/>
        <w:gridCol w:w="128"/>
        <w:gridCol w:w="109"/>
        <w:gridCol w:w="109"/>
        <w:gridCol w:w="109"/>
        <w:gridCol w:w="196"/>
        <w:gridCol w:w="736"/>
        <w:gridCol w:w="109"/>
        <w:gridCol w:w="109"/>
        <w:gridCol w:w="109"/>
        <w:gridCol w:w="109"/>
        <w:gridCol w:w="223"/>
        <w:gridCol w:w="839"/>
        <w:gridCol w:w="124"/>
        <w:gridCol w:w="109"/>
        <w:gridCol w:w="109"/>
        <w:gridCol w:w="109"/>
        <w:gridCol w:w="196"/>
        <w:gridCol w:w="705"/>
        <w:gridCol w:w="109"/>
        <w:gridCol w:w="109"/>
        <w:gridCol w:w="109"/>
        <w:gridCol w:w="109"/>
        <w:gridCol w:w="196"/>
        <w:gridCol w:w="736"/>
        <w:gridCol w:w="159"/>
      </w:tblGrid>
      <w:tr>
        <w:trPr/>
        <w:tc>
          <w:tcPr>
            <w:tcW w:w="78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January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January 31, 2024</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cost of revenue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835,509 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632,743 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Professional services cost of services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758,929 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2,962,143 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2,296,626 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1,523,356 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1,140,566 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1,140,275 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1,076,901 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780,319 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482,316 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395,173 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2,301,827 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2,315,767 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(120,430)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CrowdStrike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CrowdStrike common stockholders: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impact to the consolidated statements of cash flows from operating activities, investing activities, or financing activities for any period. The impact to the consolidated statements of comprehensive income (loss) is limited to the impact to net income (loss) as detailed above. The impact to the consolidated statements of stockholders’ equity is to Additional paid-in capital and Accumulated deficit for the same amounts as detailed above, with no resulting impact on Total stockholders’ equity as previously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17. Subsequent Events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January 31, 2026 and through March 4, 2026, the Company repurchased 143,801 shares of its Class A common stock under the Share Repurchase Program at an average price of $351.97 per share, for an aggregate purchase price of $50.6 million. As of March 4, 2026, approximately $949.4 million remained available for future share repurchases under the Share Repurchase Program.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7, 2026, the Company entered into a definitive agreement to acquire 100% of the equity interest of SGNL.AI, Inc., a leader in continuous identity. The acquisition closed on February 20, 2026. The total consideration transferred consisted of $627.9 million in cash, net of $9.4 million of cash acquired, and $8.9 million representing the fair value of replacement equity awards attributable to pre-acquisition service, subject to customary net working capital and purchase price adjustments. The cash consideration included cash held back in an escrow fund for a partial security for post-closing indemnification claims. The Company is currently finalizing the intangible assets valuation and purchase price allocation.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12, 2026, the Company entered into a definitive agreement to acquire 100% of the equity interest of Seraphic Algorithms Ltd. (“Seraphic”), a leader in browser runtime security. The acquisition closed on February 3, 2026. The total consideration transferred consisted of $327.4 million in cash, net of $1.1 million of cash and restricted cash acquired, and $13.9 million representing the fair value of replacement equity awards attributable to pre-acquisition service, subject to customary net working capital and purchase price adjustments.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of January 31, 2026. Based on such evaluation, our Chief Executive Officer and Chief Financial Officer have concluded that, as of such date, our disclosure controls and procedures were effective at the reasonable assurance level.</w:t>
      </w:r>
    </w:p>
    <w:p>
      <w:pPr>
        <w:pStyle w:val="TextBody"/>
        <w:bidi w:val="0"/>
        <w:spacing w:lineRule="auto" w:line="288" w:before="240" w:after="283"/>
        <w:ind w:left="0" w:right="0" w:firstLine="360"/>
        <w:jc w:val="left"/>
        <w:rPr/>
      </w:pPr>
      <w:r>
        <w:rPr>
          <w:rFonts w:ascii="Times New Roman;serif" w:hAnsi="Times New Roman;serif"/>
          <w:b/>
          <w:i/>
          <w:color w:val="000000"/>
          <w:sz w:val="20"/>
        </w:rPr>
        <w:t>Management</w:t>
      </w:r>
      <w:r>
        <w:rPr>
          <w:color w:val="000000"/>
        </w:rPr>
        <w:t>’</w:t>
      </w:r>
      <w:r>
        <w:rPr>
          <w:rFonts w:ascii="Times New Roman;serif" w:hAnsi="Times New Roman;serif"/>
          <w:b/>
          <w:i/>
          <w:color w:val="000000"/>
          <w:sz w:val="20"/>
        </w:rPr>
        <w:t>s Report on Internal Control Over Financial Reporting</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2026 based on the criteria established in</w:t>
      </w:r>
      <w:r>
        <w:rPr>
          <w:color w:val="000000"/>
        </w:rPr>
        <w:t xml:space="preserve">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Based on the results of its evaluation, management concluded that our internal control over financial reporting was effective as of </w:t>
      </w:r>
      <w:r>
        <w:rPr>
          <w:rFonts w:ascii="Times New Roman;serif" w:hAnsi="Times New Roman;serif"/>
          <w:b w:val="false"/>
          <w:color w:val="000000"/>
          <w:sz w:val="20"/>
        </w:rPr>
        <w:t>January 31, 2026</w:t>
      </w:r>
      <w:r>
        <w:rPr>
          <w:rFonts w:ascii="Times New Roman;serif" w:hAnsi="Times New Roman;serif"/>
          <w:b w:val="false"/>
          <w:color w:val="000000"/>
          <w:sz w:val="20"/>
          <w:shd w:fill="FFFFFF" w:val="clear"/>
        </w:rPr>
        <w:t xml:space="preserve">. The effectiveness of our internal control over financial reporting as of </w:t>
      </w:r>
      <w:r>
        <w:rPr>
          <w:rFonts w:ascii="Times New Roman;serif" w:hAnsi="Times New Roman;serif"/>
          <w:b w:val="false"/>
          <w:color w:val="000000"/>
          <w:sz w:val="20"/>
        </w:rPr>
        <w:t>January 31, 2026</w:t>
      </w:r>
      <w:r>
        <w:rPr>
          <w:color w:val="000000"/>
          <w:shd w:fill="FFFFFF" w:val="clear"/>
        </w:rPr>
        <w:t xml:space="preserve"> </w:t>
      </w:r>
      <w:r>
        <w:rPr>
          <w:rFonts w:ascii="Times New Roman;serif" w:hAnsi="Times New Roman;serif"/>
          <w:b w:val="false"/>
          <w:color w:val="000000"/>
          <w:sz w:val="20"/>
          <w:shd w:fill="FFFFFF" w:val="clear"/>
        </w:rPr>
        <w:t>has been audited by PricewaterhouseCoopers LLP, an independent registered public accounting firm, as stated in its report which is included in Part II, Item 8 of this Annual Report on Form 10-K.</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 13a-15(d) and Rule 15d-15(d) of the Exchange Act that occurred during the fiscal quarter ended January 31, 2026 that has materially affected, or is reasonably likely to materially affect, our internal control over financial reporting.</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January 31, 2026, certain of our directors and officers (as defined in Rule 16a-1(f) under the Exchange Act) adopted, modified, or terminated a “Rule 10b5-1 trading arrangement” (as defined in Regulation S-K Item 408) for the sale of shares of our common stock, as set forth below, in amounts and prices determined in accordance with a formula set forth in each such plan:</w:t>
      </w:r>
    </w:p>
    <w:tbl>
      <w:tblPr>
        <w:tblW w:w="10205" w:type="dxa"/>
        <w:jc w:val="left"/>
        <w:tblInd w:w="0" w:type="dxa"/>
        <w:tblLayout w:type="fixed"/>
        <w:tblCellMar>
          <w:top w:w="28" w:type="dxa"/>
          <w:left w:w="28" w:type="dxa"/>
          <w:bottom w:w="28" w:type="dxa"/>
          <w:right w:w="28" w:type="dxa"/>
        </w:tblCellMar>
      </w:tblPr>
      <w:tblGrid>
        <w:gridCol w:w="809"/>
        <w:gridCol w:w="449"/>
        <w:gridCol w:w="455"/>
        <w:gridCol w:w="109"/>
        <w:gridCol w:w="109"/>
        <w:gridCol w:w="109"/>
        <w:gridCol w:w="340"/>
        <w:gridCol w:w="340"/>
        <w:gridCol w:w="348"/>
        <w:gridCol w:w="109"/>
        <w:gridCol w:w="109"/>
        <w:gridCol w:w="109"/>
        <w:gridCol w:w="266"/>
        <w:gridCol w:w="266"/>
        <w:gridCol w:w="271"/>
        <w:gridCol w:w="109"/>
        <w:gridCol w:w="109"/>
        <w:gridCol w:w="109"/>
        <w:gridCol w:w="225"/>
        <w:gridCol w:w="225"/>
        <w:gridCol w:w="226"/>
        <w:gridCol w:w="109"/>
        <w:gridCol w:w="109"/>
        <w:gridCol w:w="109"/>
        <w:gridCol w:w="336"/>
        <w:gridCol w:w="336"/>
        <w:gridCol w:w="337"/>
        <w:gridCol w:w="109"/>
        <w:gridCol w:w="109"/>
        <w:gridCol w:w="109"/>
        <w:gridCol w:w="361"/>
        <w:gridCol w:w="361"/>
        <w:gridCol w:w="363"/>
        <w:gridCol w:w="109"/>
        <w:gridCol w:w="109"/>
        <w:gridCol w:w="109"/>
        <w:gridCol w:w="561"/>
        <w:gridCol w:w="561"/>
        <w:gridCol w:w="807"/>
      </w:tblGrid>
      <w:tr>
        <w:trPr/>
        <w:tc>
          <w:tcPr>
            <w:tcW w:w="8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Plans</w:t>
            </w:r>
          </w:p>
        </w:tc>
      </w:tr>
      <w:tr>
        <w:trPr/>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and Title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Rule 10b5-1</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Non-Rule 10b5-1</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to be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Expiration</w:t>
            </w:r>
            <w:r>
              <w:rPr>
                <w:rFonts w:ascii="Times New Roman;serif" w:hAnsi="Times New Roman;serif"/>
                <w:b/>
                <w:color w:val="000000"/>
                <w:sz w:val="12"/>
              </w:rPr>
              <w:t>(3)</w:t>
            </w:r>
          </w:p>
        </w:tc>
      </w:tr>
      <w:tr>
        <w:trPr/>
        <w:tc>
          <w:tcPr>
            <w:tcW w:w="1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George Kurtz, President, 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Up to 627,500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Earlier of when all shares under the plan are sold and April 30, 2027.</w:t>
            </w:r>
          </w:p>
        </w:tc>
      </w:tr>
      <w:tr>
        <w:trPr/>
        <w:tc>
          <w:tcPr>
            <w:tcW w:w="17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Sentonas,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Modification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Up to 100,000</w:t>
            </w: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Earlier of when all shares under the plan are sold and January 16, 2027.</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Anurag Saha, Chief Accounting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Modification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Up to 9,016</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Earlier of when all shares under the plan are sold and June 30, 2026.</w:t>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Intended to satisfy the affirmative defense conditions of Rule 10b5-1(c).</w:t>
      </w:r>
    </w:p>
    <w:p>
      <w:pPr>
        <w:pStyle w:val="TextBody"/>
        <w:bidi w:val="0"/>
        <w:spacing w:lineRule="auto" w:line="288" w:before="18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    Not intended to satisfy the affirmative defense conditions of Rule 10b5-1(c).</w:t>
      </w:r>
    </w:p>
    <w:p>
      <w:pPr>
        <w:pStyle w:val="TextBody"/>
        <w:bidi w:val="0"/>
        <w:spacing w:lineRule="auto" w:line="288" w:before="18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Each as subject to further early termination for certain specified events as set forth therein.</w:t>
      </w:r>
    </w:p>
    <w:p>
      <w:pPr>
        <w:pStyle w:val="TextBody"/>
        <w:bidi w:val="0"/>
        <w:spacing w:lineRule="auto" w:line="288" w:before="18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    Mr. Sentonas’ previously adopted 10b5-1 Plan was entered into on June 24, 2025. The modified 10b5-1 Plan, including sales that have occurred to date under the original plan, provides for the sale of an aggregate of up to 100,000 shares of Class A common stock. </w:t>
      </w:r>
    </w:p>
    <w:p>
      <w:pPr>
        <w:pStyle w:val="TextBody"/>
        <w:bidi w:val="0"/>
        <w:spacing w:lineRule="auto" w:line="288" w:before="18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    Mr. Saha’s previously adopted 10b5-1 Plan was entered into on March 24, 2025. The modified 10b5-1 Plan, including sales that have occurred to date under the original plan, provides for the sale of an aggregate of up to 9,016 shares of Class A common stock.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 other officers or directors, as defined in Rule 16a-1(f), adopted, modified, and/or terminated a “Rule 10b5-1 trading arrangement” or a “non-Rule 10b5-1 trading arrangement,” as defined in Regulation S-K Item 408, during the last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 code of business conduct and ethics (the “Code of Conduct”) that applies to all of our employees, executive officers and directors. The full text of the Code of Conduct is available on our website at ir.crowdstrike.com.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Select Market.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information required by this Item with respect to our executive officers is set forth under Item 1 of Part I of this Annual Report on Form 10-K under the section entitled “Information about our Executive Officers.”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otherwise required by this Item will be included in our definitive proxy statement for our 2026 annual meeting of stockholders (the “2026 Proxy Statement”), which will be filed with the SEC within 120 days after the end of our fiscal year ended January 31,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 1 and Note 16 of the Notes to the Consolidated Financial Statements included in this report, the Consolidated Financial Statements were revised for the fiscal years ended January 31, 2025 and January 31, 2024, and the unaudited interim periods within such years, to correct for an immaterial error related to the timing of recognition of stock-based compensation expense in prior periods associated with certain awards granted in the fiscal years ended January 31, 2023 and January 31, 2022. The revision required a recovery analysis of incentive-based executive compensation under the CrowdStrike Holdings, Inc. Compensation Recovery Policy filed as Exhibit 97.1 to this report. The Company determined that the revision had no recovery impact with respect to such incentive-based compensation because the immaterial error did not result in any current or former executive officer receiving excess compensation relative to what would have been earned by such executive officer had the financial results been properly reported.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as disclosed herein, 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(a)(1)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Index to consolidated financial statements in Part II, Item 8 of this Annual Report on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(a)(2) Financial Statement Schedule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financial statement schedules have been omitted as the information is not required under the related instructions or is not applicable or because the information required is already included in the consolidated financial statements or the notes to those consolidated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(a)(3) Exhibits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filed the exhibits listed on the accompanying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27"/>
        <w:gridCol w:w="288"/>
        <w:gridCol w:w="289"/>
        <w:gridCol w:w="109"/>
        <w:gridCol w:w="109"/>
        <w:gridCol w:w="109"/>
        <w:gridCol w:w="1810"/>
        <w:gridCol w:w="1636"/>
        <w:gridCol w:w="1642"/>
        <w:gridCol w:w="180"/>
        <w:gridCol w:w="180"/>
        <w:gridCol w:w="169"/>
        <w:gridCol w:w="301"/>
        <w:gridCol w:w="260"/>
        <w:gridCol w:w="157"/>
        <w:gridCol w:w="225"/>
        <w:gridCol w:w="225"/>
        <w:gridCol w:w="226"/>
        <w:gridCol w:w="400"/>
        <w:gridCol w:w="351"/>
        <w:gridCol w:w="255"/>
        <w:gridCol w:w="277"/>
        <w:gridCol w:w="277"/>
        <w:gridCol w:w="403"/>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Description</w:t>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r>
      <w:tr>
        <w:trPr/>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Amended and Restated Certificate of Incorporation of the Registrant, as currently in effect.</w:t>
              </w:r>
            </w:hyperlink>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June 14, 2019</w:t>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Amended and Restated Bylaws of the Registrant, as currently in effect.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10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27, 2024</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18"/>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shd w:fill="FFFFFF" w:val="clear"/>
                </w:rPr>
                <w:t>Certificate of Retirement of Class B common stock.</w:t>
              </w:r>
            </w:hyperlink>
          </w:p>
        </w:tc>
        <w:tc>
          <w:tcPr>
            <w:tcW w:w="5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13, 2024</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Amended and Restated Stockholders Agreement among the Registrant and certain holders of its capital stock, dated as of June 21, 2018, as amended on September 25, 2018 and April 17, 2019.</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333-231461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14, 2019</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val="false"/>
                  <w:color w:val="0000FF"/>
                  <w:sz w:val="18"/>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Amended and Restated Registration Rights Agreement among the Registrant and certain holders of its capital stock, dated as of June 21, 2018.</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333-231461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14, 2019</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val="false"/>
                  <w:color w:val="0000FF"/>
                  <w:sz w:val="18"/>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Class A common stock certificate of the Registrant.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333-231461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2019</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FF"/>
                  <w:sz w:val="18"/>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Description of Registrant’s securities.</w:t>
              </w:r>
            </w:hyperlink>
            <w:r>
              <w:rPr>
                <w:color w:val="000000"/>
              </w:rPr>
              <w:t xml:space="preserve"> </w:t>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10, 2025</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val="false"/>
                  <w:color w:val="0000FF"/>
                  <w:sz w:val="18"/>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erif" w:hAnsi="Times New Roman;serif"/>
                  <w:b w:val="false"/>
                  <w:color w:val="0000FF"/>
                  <w:sz w:val="18"/>
                  <w:u w:val="single"/>
                </w:rPr>
                <w:t>Indenture dated as of January 20, 2021, between CrowdStrike Holdings, Inc. and U.S. Bank National Association, as trustee</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20, 2021</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erif" w:hAnsi="Times New Roman;serif"/>
                  <w:b w:val="false"/>
                  <w:color w:val="0000FF"/>
                  <w:sz w:val="18"/>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erif" w:hAnsi="Times New Roman;serif"/>
                  <w:b w:val="false"/>
                  <w:color w:val="0000FF"/>
                  <w:sz w:val="18"/>
                  <w:u w:val="single"/>
                </w:rPr>
                <w:t>First Supplemental Indenture, dated as of January 20, 2021, between CrowdStrike Holdings, Inc. and U.S. Bank National Association, as trustee</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20, 2021</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val="false"/>
                  <w:color w:val="0000FF"/>
                  <w:sz w:val="18"/>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erif" w:hAnsi="Times New Roman;serif"/>
                  <w:b w:val="false"/>
                  <w:color w:val="0000FF"/>
                  <w:sz w:val="18"/>
                  <w:u w:val="single"/>
                </w:rPr>
                <w:t>Form of 3.000% Senior Notes due 2029 (included in Exhibit 4.9)</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20, 2021</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val="false"/>
                  <w:color w:val="0000FF"/>
                  <w:sz w:val="18"/>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Second Supplemental Indenture, dated as of January 10, 2025, by and among CrowdStrike Holdings, Inc., CrowdStrike Financial Services, Inc. and U.S. Bank Trust Company, National Association, as successor to U.S. Bank National Association, as trustee</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10, 2025</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val="false"/>
                  <w:color w:val="000080"/>
                  <w:sz w:val="18"/>
                  <w:u w:val="single"/>
                </w:rPr>
                <w:t>10.1</w:t>
              </w:r>
            </w:hyperlink>
            <w:hyperlink r:id="rId26">
              <w:r>
                <w:rPr>
                  <w:rStyle w:val="InternetLink"/>
                  <w:rFonts w:ascii="Times New Roman;serif" w:hAnsi="Times New Roman;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Form of Indemnification Agreement between the Registrant and each of its directors and executive officers.</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333-231461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14, 2019</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80"/>
                  <w:sz w:val="18"/>
                  <w:u w:val="single"/>
                </w:rPr>
                <w:t>10.2</w:t>
              </w:r>
            </w:hyperlink>
            <w:hyperlink r:id="rId29">
              <w:r>
                <w:rPr>
                  <w:rStyle w:val="InternetLink"/>
                  <w:rFonts w:ascii="Times New Roman;serif" w:hAnsi="Times New Roman;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2019 Equity Incentive Plan and related form agreement.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333-231461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2019</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erif" w:hAnsi="Times New Roman;serif"/>
                  <w:b w:val="false"/>
                  <w:color w:val="0000FF"/>
                  <w:sz w:val="18"/>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18"/>
                  <w:u w:val="single"/>
                </w:rPr>
                <w:t>Form of Global Restricted Stock Unit Agreement Outside Directors – Annual Grant under the Company’s 2019 Equity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 2020</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erif" w:hAnsi="Times New Roman;serif"/>
                  <w:b w:val="false"/>
                  <w:color w:val="0000FF"/>
                  <w:sz w:val="18"/>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18"/>
                  <w:u w:val="single"/>
                </w:rPr>
                <w:t>Form of Global Restricted Stock Unit Agreement Outside Directors – Initial Grant under the Company’s 2019 Equity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18, 2021</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erif" w:hAnsi="Times New Roman;serif"/>
                  <w:b w:val="false"/>
                  <w:color w:val="0000FF"/>
                  <w:sz w:val="18"/>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18"/>
                  <w:u w:val="single"/>
                </w:rPr>
                <w:t>CrowdStrike Holdings, Inc. 2019 Equity Incentive Plan Global Performance Unit Agreement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 2020</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erif" w:hAnsi="Times New Roman;serif"/>
                  <w:b w:val="false"/>
                  <w:color w:val="0000FF"/>
                  <w:sz w:val="18"/>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18"/>
                  <w:u w:val="single"/>
                </w:rPr>
                <w:t>Amended and Restated 2011 Stock Incentive Plan and related form agreements.</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333-231461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14, 2019</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erif" w:hAnsi="Times New Roman;serif"/>
                  <w:b w:val="false"/>
                  <w:color w:val="0000FF"/>
                  <w:sz w:val="18"/>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18"/>
                  <w:u w:val="single"/>
                </w:rPr>
                <w:t>Amended and Restated 2019 Employee Stock Purchase Plan and related form agreements.</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 2021</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Times New Roman;serif" w:hAnsi="Times New Roman;serif"/>
                  <w:b w:val="false"/>
                  <w:color w:val="0000FF"/>
                  <w:sz w:val="18"/>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18"/>
                  <w:u w:val="single"/>
                </w:rPr>
                <w:t>CrowdStrike Holdings, Inc. Corporate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 2023</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erif" w:hAnsi="Times New Roman;serif"/>
                  <w:b w:val="false"/>
                  <w:color w:val="0000FF"/>
                  <w:sz w:val="18"/>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18"/>
                  <w:u w:val="single"/>
                </w:rPr>
                <w:t>Outside Director Compensation Policy, as amended on June 19, 2025.</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28, 2025</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Times New Roman;serif" w:hAnsi="Times New Roman;serif"/>
                  <w:b w:val="false"/>
                  <w:color w:val="0000FF"/>
                  <w:sz w:val="18"/>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18"/>
                  <w:u w:val="single"/>
                </w:rPr>
                <w:t>Employment Agreement between the Registrant and George Kurtz, dated as of November 18, 2011.</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333-231461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14, 2019</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erif" w:hAnsi="Times New Roman;serif"/>
                  <w:b w:val="false"/>
                  <w:color w:val="0000FF"/>
                  <w:sz w:val="18"/>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18"/>
                  <w:u w:val="single"/>
                </w:rPr>
                <w:t>Offer Letter between the Registrant and Burt W. Podbere, dated as of August 10, 2015.</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333-231461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14, 2019</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9">
              <w:r>
                <w:rPr>
                  <w:rStyle w:val="InternetLink"/>
                  <w:rFonts w:ascii="Times New Roman;serif" w:hAnsi="Times New Roman;serif"/>
                  <w:b w:val="false"/>
                  <w:color w:val="0000FF"/>
                  <w:sz w:val="18"/>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18"/>
                  <w:u w:val="single"/>
                </w:rPr>
                <w:t>Office Lease Agreement between EQC Capitol Tower Property LLC and CrowdStrike, Inc., dated April 20, 2018.</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10.18</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16, 2022</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226"/>
        <w:gridCol w:w="199"/>
        <w:gridCol w:w="201"/>
        <w:gridCol w:w="109"/>
        <w:gridCol w:w="109"/>
        <w:gridCol w:w="109"/>
        <w:gridCol w:w="2399"/>
        <w:gridCol w:w="1894"/>
        <w:gridCol w:w="1899"/>
        <w:gridCol w:w="131"/>
        <w:gridCol w:w="131"/>
        <w:gridCol w:w="132"/>
        <w:gridCol w:w="226"/>
        <w:gridCol w:w="226"/>
        <w:gridCol w:w="227"/>
        <w:gridCol w:w="170"/>
        <w:gridCol w:w="170"/>
        <w:gridCol w:w="171"/>
        <w:gridCol w:w="446"/>
        <w:gridCol w:w="344"/>
        <w:gridCol w:w="307"/>
        <w:gridCol w:w="109"/>
        <w:gridCol w:w="109"/>
        <w:gridCol w:w="161"/>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1">
              <w:r>
                <w:rPr>
                  <w:rStyle w:val="InternetLink"/>
                  <w:rFonts w:ascii="Times New Roman;serif" w:hAnsi="Times New Roman;serif"/>
                  <w:b w:val="false"/>
                  <w:color w:val="0000FF"/>
                  <w:sz w:val="18"/>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18"/>
                  <w:u w:val="single"/>
                </w:rPr>
                <w:t>First Amendment to Office Lease Agreement between EQC Capitol Tower Property LLC and CrowdStrike, Inc., dated June 6, 2019.</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10.19</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16,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2" w:type="dxa"/>
            <w:gridSpan w:val="3"/>
            <w:tcBorders/>
            <w:vAlign w:val="center"/>
          </w:tcPr>
          <w:p>
            <w:pPr>
              <w:pStyle w:val="TableContents"/>
              <w:bidi w:val="0"/>
              <w:spacing w:before="0" w:after="283"/>
              <w:jc w:val="left"/>
              <w:rPr>
                <w:sz w:val="4"/>
                <w:szCs w:val="4"/>
              </w:rPr>
            </w:pPr>
            <w:r>
              <w:rPr>
                <w:sz w:val="4"/>
                <w:szCs w:val="4"/>
              </w:rPr>
            </w:r>
          </w:p>
        </w:tc>
        <w:tc>
          <w:tcPr>
            <w:tcW w:w="394"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3">
              <w:r>
                <w:rPr>
                  <w:rStyle w:val="InternetLink"/>
                  <w:rFonts w:ascii="Times New Roman;serif" w:hAnsi="Times New Roman;serif"/>
                  <w:b w:val="false"/>
                  <w:color w:val="0000FF"/>
                  <w:sz w:val="18"/>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18"/>
                  <w:u w:val="single"/>
                </w:rPr>
                <w:t>Amended and Restated Performance Unit Agreement with George Kurtz, dated September 1, 2021, under the CrowdStrike Holdings, Inc. 2019 Equity Incentive Plan.</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 2021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5">
              <w:r>
                <w:rPr>
                  <w:rStyle w:val="InternetLink"/>
                  <w:rFonts w:ascii="Times New Roman;serif" w:hAnsi="Times New Roman;serif"/>
                  <w:b w:val="false"/>
                  <w:color w:val="0000FF"/>
                  <w:sz w:val="18"/>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6">
              <w:r>
                <w:rPr>
                  <w:rStyle w:val="InternetLink"/>
                  <w:rFonts w:ascii="Times New Roman;serif" w:hAnsi="Times New Roman;serif"/>
                  <w:b w:val="false"/>
                  <w:color w:val="0000FF"/>
                  <w:sz w:val="18"/>
                  <w:u w:val="single"/>
                </w:rPr>
                <w:t>Change in Control and Severance Agreement, dated as of September 1, 2021, by and between CrowdStrike Holdings, Inc. and George Kurtz.</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 2021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erif" w:hAnsi="Times New Roman;serif"/>
                  <w:b w:val="false"/>
                  <w:color w:val="0000FF"/>
                  <w:sz w:val="18"/>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8">
              <w:r>
                <w:rPr>
                  <w:rStyle w:val="InternetLink"/>
                  <w:rFonts w:ascii="Times New Roman;serif" w:hAnsi="Times New Roman;serif"/>
                  <w:b w:val="false"/>
                  <w:color w:val="0000FF"/>
                  <w:sz w:val="18"/>
                  <w:u w:val="single"/>
                </w:rPr>
                <w:t>Performance Unit Agreement with Burt Podbere, dated January 12, 2022, under the CrowdStrike Holdings, Inc. 2019 Equity Incentive Plan.</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14,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9">
              <w:r>
                <w:rPr>
                  <w:rStyle w:val="InternetLink"/>
                  <w:rFonts w:ascii="Times New Roman;serif" w:hAnsi="Times New Roman;serif"/>
                  <w:b w:val="false"/>
                  <w:color w:val="0000FF"/>
                  <w:sz w:val="18"/>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0">
              <w:r>
                <w:rPr>
                  <w:rStyle w:val="InternetLink"/>
                  <w:rFonts w:ascii="Times New Roman;serif" w:hAnsi="Times New Roman;serif"/>
                  <w:b w:val="false"/>
                  <w:color w:val="0000FF"/>
                  <w:sz w:val="18"/>
                  <w:u w:val="single"/>
                </w:rPr>
                <w:t>Offer Letter between the Registrant and Shawn Henry, dated as of March 4, 2012.</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4, 2021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1">
              <w:r>
                <w:rPr>
                  <w:rStyle w:val="InternetLink"/>
                  <w:rFonts w:ascii="Times New Roman;serif" w:hAnsi="Times New Roman;serif"/>
                  <w:b w:val="false"/>
                  <w:color w:val="0000FF"/>
                  <w:sz w:val="18"/>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18"/>
                  <w:u w:val="single"/>
                </w:rPr>
                <w:t>Second Amendment to Office Lease between EQC Capitol Tower Property LLC and CrowdStrike, Inc., dated January 19, 2023</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10.26</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9,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3">
              <w:r>
                <w:rPr>
                  <w:rStyle w:val="InternetLink"/>
                  <w:rFonts w:ascii="Times New Roman;serif" w:hAnsi="Times New Roman;serif"/>
                  <w:b w:val="false"/>
                  <w:color w:val="0000FF"/>
                  <w:sz w:val="18"/>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18"/>
                  <w:u w:val="single"/>
                </w:rPr>
                <w:t>CrowdStrike, Inc. Deferred Compensation Plan Adoption Agreement, dated May 4, 2023.</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7, 2024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5">
              <w:r>
                <w:rPr>
                  <w:rStyle w:val="InternetLink"/>
                  <w:rFonts w:ascii="Times New Roman;serif" w:hAnsi="Times New Roman;serif"/>
                  <w:b w:val="false"/>
                  <w:color w:val="0000FF"/>
                  <w:sz w:val="18"/>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18"/>
                  <w:u w:val="single"/>
                </w:rPr>
                <w:t>CrowdStrike, Inc, Deferred Compensation Plan, dated January 1, 2023.</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10.21</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7, 2024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7">
              <w:r>
                <w:rPr>
                  <w:rStyle w:val="InternetLink"/>
                  <w:rFonts w:ascii="Times New Roman;serif" w:hAnsi="Times New Roman;serif"/>
                  <w:b w:val="false"/>
                  <w:color w:val="0000FF"/>
                  <w:sz w:val="18"/>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18"/>
                  <w:u w:val="single"/>
                </w:rPr>
                <w:t>Offer Letter between CrowdStrike, Inc. and Michael Sentonas, dated as of March 22, 2021.</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5, 2024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9">
              <w:r>
                <w:rPr>
                  <w:rStyle w:val="InternetLink"/>
                  <w:rFonts w:ascii="Times New Roman;serif" w:hAnsi="Times New Roman;serif"/>
                  <w:b w:val="false"/>
                  <w:color w:val="0000FF"/>
                  <w:sz w:val="18"/>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18"/>
                  <w:u w:val="single"/>
                </w:rPr>
                <w:t>Performance Unit Agreement with George Kurtz, dated December 22, 2025, under the CrowdStrike Holdings, Inc. 2019 Equity Incentive Plan.</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29, 2025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Times New Roman;serif" w:hAnsi="Times New Roman;serif"/>
                  <w:b w:val="false"/>
                  <w:color w:val="0000FF"/>
                  <w:sz w:val="18"/>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18"/>
                  <w:u w:val="single"/>
                </w:rPr>
                <w:t>Insider Trading Policy</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10, 2025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131xexx211.htm">
              <w:r>
                <w:rPr>
                  <w:rStyle w:val="InternetLink"/>
                  <w:rFonts w:ascii="Times New Roman;serif" w:hAnsi="Times New Roman;serif"/>
                  <w:b w:val="false"/>
                  <w:color w:val="0000FF"/>
                  <w:sz w:val="18"/>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131xexx211.htm">
              <w:r>
                <w:rPr>
                  <w:rStyle w:val="InternetLink"/>
                  <w:rFonts w:ascii="Times New Roman;serif" w:hAnsi="Times New Roman;serif"/>
                  <w:b w:val="false"/>
                  <w:color w:val="0000FF"/>
                  <w:sz w:val="18"/>
                  <w:u w:val="single"/>
                </w:rPr>
                <w:t>List of Subsidiaries of the Registrant.</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21listofsubsidiaryguar.htm">
              <w:r>
                <w:rPr>
                  <w:rStyle w:val="InternetLink"/>
                  <w:rFonts w:ascii="Times New Roman;serif" w:hAnsi="Times New Roman;serif"/>
                  <w:b w:val="false"/>
                  <w:color w:val="0000FF"/>
                  <w:sz w:val="18"/>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21listofsubsidiaryguar.htm">
              <w:r>
                <w:rPr>
                  <w:rStyle w:val="InternetLink"/>
                  <w:rFonts w:ascii="Times New Roman;serif" w:hAnsi="Times New Roman;serif"/>
                  <w:b w:val="false"/>
                  <w:color w:val="0000FF"/>
                  <w:sz w:val="18"/>
                  <w:u w:val="single"/>
                </w:rPr>
                <w:t>List of Subsidiary Guarantors</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131xexx231.htm">
              <w:r>
                <w:rPr>
                  <w:rStyle w:val="InternetLink"/>
                  <w:rFonts w:ascii="Times New Roman;serif" w:hAnsi="Times New Roman;serif"/>
                  <w:b w:val="false"/>
                  <w:color w:val="0000FF"/>
                  <w:sz w:val="18"/>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131xexx231.htm">
              <w:r>
                <w:rPr>
                  <w:rStyle w:val="InternetLink"/>
                  <w:rFonts w:ascii="Times New Roman;serif" w:hAnsi="Times New Roman;serif"/>
                  <w:b w:val="false"/>
                  <w:color w:val="0000FF"/>
                  <w:sz w:val="18"/>
                  <w:u w:val="single"/>
                </w:rPr>
                <w:t>Consent of PricewaterhouseCoopers LLC, independent registered public accounting firm.</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d40284295348378ae47b1f11c9e604_202">
              <w:r>
                <w:rPr>
                  <w:rStyle w:val="InternetLink"/>
                  <w:rFonts w:ascii="Times New Roman;serif" w:hAnsi="Times New Roman;serif"/>
                  <w:b w:val="false"/>
                  <w:color w:val="0000FF"/>
                  <w:sz w:val="18"/>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40284295348378ae47b1f11c9e604_202">
              <w:r>
                <w:rPr>
                  <w:rStyle w:val="InternetLink"/>
                  <w:rFonts w:ascii="Times New Roman;serif" w:hAnsi="Times New Roman;serif"/>
                  <w:b w:val="false"/>
                  <w:color w:val="0000FF"/>
                  <w:sz w:val="18"/>
                  <w:u w:val="single"/>
                </w:rPr>
                <w:t>Power of Attorney (reference is made to the signature page hereto).</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131xexx311.htm">
              <w:r>
                <w:rPr>
                  <w:rStyle w:val="InternetLink"/>
                  <w:rFonts w:ascii="Times New Roman;serif" w:hAnsi="Times New Roman;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131xexx311.htm">
              <w:r>
                <w:rPr>
                  <w:rStyle w:val="InternetLink"/>
                  <w:rFonts w:ascii="Times New Roman;serif" w:hAnsi="Times New Roman;serif"/>
                  <w:b w:val="false"/>
                  <w:color w:val="0000FF"/>
                  <w:sz w:val="18"/>
                  <w:u w:val="single"/>
                </w:rPr>
                <w:t>Certification of the Principal Executive Officer pursuant to Exchange Act Rules 13a14(a) and 15d14(a), as adopted pursuant to Section 302 of the Sarbanes-Oxley Act of 2002.</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131xexx312.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131xexx312.htm">
              <w:r>
                <w:rPr>
                  <w:rStyle w:val="InternetLink"/>
                  <w:rFonts w:ascii="Times New Roman;serif" w:hAnsi="Times New Roman;serif"/>
                  <w:b w:val="false"/>
                  <w:color w:val="0000FF"/>
                  <w:sz w:val="18"/>
                  <w:u w:val="single"/>
                </w:rPr>
                <w:t>Certification of the Principal Financial Officer pursuant to Exchange Act Rules 13a14(a) and 15d14(a), as adopted pursuant to Section 302 of the Sarbanes-Oxley Act of 2002.</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131xexx321.htm">
              <w:r>
                <w:rPr>
                  <w:rStyle w:val="InternetLink"/>
                  <w:rFonts w:ascii="Times New Roman;serif" w:hAnsi="Times New Roman;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131xexx321.htm">
              <w:r>
                <w:rPr>
                  <w:rStyle w:val="InternetLink"/>
                  <w:rFonts w:ascii="Times New Roman;serif" w:hAnsi="Times New Roman;serif"/>
                  <w:b w:val="false"/>
                  <w:color w:val="0000FF"/>
                  <w:sz w:val="18"/>
                  <w:u w:val="single"/>
                </w:rPr>
                <w:t>Certification of the Principal Executive Officer and Principal Financial Officer pursuant to 18 U.S.C. Section 1350, as adopted pursuant to Section 906 of the Sarbanes-Oxley Act of 2002.</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3">
              <w:r>
                <w:rPr>
                  <w:rStyle w:val="InternetLink"/>
                  <w:rFonts w:ascii="Times New Roman;serif" w:hAnsi="Times New Roman;serif"/>
                  <w:b w:val="false"/>
                  <w:color w:val="0000FF"/>
                  <w:sz w:val="18"/>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18"/>
                  <w:u w:val="single"/>
                </w:rPr>
                <w:t>Compensation Recovery Policy</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001-38933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7, 2024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the cover page XBRL tags are embedded within the Inline Instance XBRL document</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_______________________________________</w:t>
      </w:r>
    </w:p>
    <w:p>
      <w:pPr>
        <w:pStyle w:val="TextBody"/>
        <w:bidi w:val="0"/>
        <w:spacing w:lineRule="auto" w:line="288" w:before="240" w:after="283"/>
        <w:ind w:left="0" w:right="0" w:hanging="450"/>
        <w:jc w:val="left"/>
        <w:rPr/>
      </w:pPr>
      <w:r>
        <w:rPr>
          <w:color w:val="000000"/>
        </w:rPr>
        <w:t>†</w:t>
      </w:r>
      <w:r>
        <w:rPr>
          <w:rFonts w:ascii="Times New Roman;serif" w:hAnsi="Times New Roman;serif"/>
          <w:b w:val="false"/>
          <w:color w:val="000000"/>
          <w:sz w:val="18"/>
        </w:rPr>
        <w:t>Indicates management contract or compensatory plan, contract or agreement.</w:t>
      </w:r>
    </w:p>
    <w:p>
      <w:pPr>
        <w:pStyle w:val="TextBody"/>
        <w:bidi w:val="0"/>
        <w:spacing w:lineRule="auto" w:line="288" w:before="24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the Registrant has duly caused this report to be signed on its behalf by the undersigned, thereunto duly authorized on the day of March 4, 2026.</w:t>
      </w:r>
    </w:p>
    <w:tbl>
      <w:tblPr>
        <w:tblW w:w="8255" w:type="dxa"/>
        <w:jc w:val="left"/>
        <w:tblInd w:w="0" w:type="dxa"/>
        <w:tblLayout w:type="fixed"/>
        <w:tblCellMar>
          <w:top w:w="28" w:type="dxa"/>
          <w:left w:w="28" w:type="dxa"/>
          <w:bottom w:w="28" w:type="dxa"/>
          <w:right w:w="28" w:type="dxa"/>
        </w:tblCellMar>
      </w:tblPr>
      <w:tblGrid>
        <w:gridCol w:w="124"/>
        <w:gridCol w:w="109"/>
        <w:gridCol w:w="109"/>
        <w:gridCol w:w="498"/>
        <w:gridCol w:w="498"/>
        <w:gridCol w:w="498"/>
        <w:gridCol w:w="1879"/>
        <w:gridCol w:w="1879"/>
        <w:gridCol w:w="2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CROWDSTRIKE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Kurtz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George Kurtz</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Director (Principal Executive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641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641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641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94d40284295348378ae47b1f11c9e604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KNOW ALL THESE PERSONS BY THESE PRESENTS, that each person whose signature appears below constitutes and appoints George Kurtz and Burt W. Podbere,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726"/>
        <w:gridCol w:w="636"/>
        <w:gridCol w:w="642"/>
        <w:gridCol w:w="109"/>
        <w:gridCol w:w="109"/>
        <w:gridCol w:w="109"/>
        <w:gridCol w:w="2067"/>
        <w:gridCol w:w="2064"/>
        <w:gridCol w:w="2091"/>
        <w:gridCol w:w="109"/>
        <w:gridCol w:w="109"/>
        <w:gridCol w:w="109"/>
        <w:gridCol w:w="385"/>
        <w:gridCol w:w="385"/>
        <w:gridCol w:w="555"/>
      </w:tblGrid>
      <w:tr>
        <w:trPr/>
        <w:tc>
          <w:tcPr>
            <w:tcW w:w="72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Kurtz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Kurtz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Burt W. Podbere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Burt W. Podbere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Anurag Saha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Anurag Saha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Gerhard Watzinger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Gerhard Watzinger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Cary J.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Cary J.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64" w:before="120" w:after="283"/>
              <w:jc w:val="left"/>
              <w:rPr>
                <w:rFonts w:ascii="Times New Roman;serif" w:hAnsi="Times New Roman;serif"/>
                <w:b w:val="false"/>
                <w:color w:val="000000"/>
                <w:sz w:val="20"/>
              </w:rPr>
            </w:pPr>
            <w:r>
              <w:rPr>
                <w:rFonts w:ascii="Times New Roman;serif" w:hAnsi="Times New Roman;serif"/>
                <w:b w:val="false"/>
                <w:color w:val="000000"/>
                <w:sz w:val="20"/>
              </w:rPr>
              <w:t>/s/ Denis J. O’Leary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Denis J. O’Leary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/s/ Godfrey R. Sullivan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Godfrey R. Sullivan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/s/ Johanna Flower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Johanna Flower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/s/ Laura J. Schumacher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Laura J. Schumacher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/s/ Roxanne S. Austin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Roxanne S. Austin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Sameer K. Gandhi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Sameer K. Gandhi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ind w:left="0" w:right="0" w:firstLine="72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tbl>
      <w:tblPr>
        <w:tblW w:w="6550" w:type="dxa"/>
        <w:jc w:val="center"/>
        <w:tblInd w:w="0" w:type="dxa"/>
        <w:tblLayout w:type="fixed"/>
        <w:tblCellMar>
          <w:top w:w="28" w:type="dxa"/>
          <w:left w:w="28" w:type="dxa"/>
          <w:bottom w:w="28" w:type="dxa"/>
          <w:right w:w="28" w:type="dxa"/>
        </w:tblCellMar>
      </w:tblPr>
      <w:tblGrid>
        <w:gridCol w:w="1304"/>
        <w:gridCol w:w="1146"/>
        <w:gridCol w:w="1149"/>
        <w:gridCol w:w="109"/>
        <w:gridCol w:w="109"/>
        <w:gridCol w:w="109"/>
        <w:gridCol w:w="767"/>
        <w:gridCol w:w="767"/>
        <w:gridCol w:w="1090"/>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Israel R&amp;D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India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Adaptive Shield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Australia Pty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Onum Technology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Onum Technology Inc. Sucursal en España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Spain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Canada </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Singapore </w:t>
            </w:r>
          </w:p>
        </w:tc>
      </w:tr>
    </w:tbl>
    <w:p>
      <w:pPr>
        <w:pStyle w:val="TextBody"/>
        <w:bidi w:val="0"/>
        <w:spacing w:before="240" w:after="283"/>
        <w:ind w:left="0" w:right="0" w:firstLine="3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22.1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LIST OF SUBSIDIARY GUARANTORS</w:t>
      </w:r>
    </w:p>
    <w:p>
      <w:pPr>
        <w:pStyle w:val="TextBody"/>
        <w:bidi w:val="0"/>
        <w:spacing w:lineRule="auto" w:line="288" w:before="240" w:after="283"/>
        <w:ind w:left="0" w:right="0" w:firstLine="360"/>
        <w:jc w:val="left"/>
        <w:rPr/>
      </w:pPr>
      <w:r>
        <w:rPr>
          <w:rFonts w:ascii="Times New Roman;serif" w:hAnsi="Times New Roman;serif"/>
          <w:b w:val="false"/>
          <w:color w:val="000000"/>
          <w:sz w:val="24"/>
        </w:rPr>
        <w:t>Each of the following subsidiaries of CrowdStrike Holdings,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is a guarantor of the 3.00% Senior Notes due 2029 issued by the Company.</w:t>
      </w:r>
    </w:p>
    <w:tbl>
      <w:tblPr>
        <w:tblW w:w="3645" w:type="dxa"/>
        <w:jc w:val="left"/>
        <w:tblInd w:w="0" w:type="dxa"/>
        <w:tblLayout w:type="fixed"/>
        <w:tblCellMar>
          <w:top w:w="28" w:type="dxa"/>
          <w:left w:w="28" w:type="dxa"/>
          <w:bottom w:w="28" w:type="dxa"/>
          <w:right w:w="28" w:type="dxa"/>
        </w:tblCellMar>
      </w:tblPr>
      <w:tblGrid>
        <w:gridCol w:w="1166"/>
        <w:gridCol w:w="1025"/>
        <w:gridCol w:w="1454"/>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Subsidiary Guarantors</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CrowdStrike, Inc.</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CrowdStrike Financial Services,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(Nos. 333-285689, 333-277724, 333-270378, 333-263610, 333-254460, 333-237343, and 333-232084) of CrowdStrike, Holdings, Inc. of our report dated March 4, 2026 relating to the financial statements and the effectiveness of internal control over financial reporting, which appears in this Form 10-K.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March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George Kurtz,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CrowdStrike Holdings,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199" w:type="dxa"/>
        <w:jc w:val="left"/>
        <w:tblInd w:w="0" w:type="dxa"/>
        <w:tblLayout w:type="fixed"/>
        <w:tblCellMar>
          <w:top w:w="28" w:type="dxa"/>
          <w:left w:w="28" w:type="dxa"/>
          <w:bottom w:w="28" w:type="dxa"/>
          <w:right w:w="28" w:type="dxa"/>
        </w:tblCellMar>
      </w:tblPr>
      <w:tblGrid>
        <w:gridCol w:w="645"/>
        <w:gridCol w:w="568"/>
        <w:gridCol w:w="571"/>
        <w:gridCol w:w="470"/>
        <w:gridCol w:w="470"/>
        <w:gridCol w:w="470"/>
        <w:gridCol w:w="1173"/>
        <w:gridCol w:w="1173"/>
        <w:gridCol w:w="165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March 4, 2026</w:t>
            </w:r>
          </w:p>
        </w:tc>
        <w:tc>
          <w:tcPr>
            <w:tcW w:w="54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HOLDINGS,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Kurtz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Kurtz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br/>
              <w:t>(Principal Executive Officer)</w:t>
            </w:r>
          </w:p>
        </w:tc>
      </w:tr>
    </w:tbl>
    <w:p>
      <w:pPr>
        <w:pStyle w:val="TextBody"/>
        <w:bidi w:val="0"/>
        <w:spacing w:before="240" w:after="283"/>
        <w:ind w:left="0" w:right="0" w:hanging="3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Burt W. Podbere,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CrowdStrike Holdings,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09" w:type="dxa"/>
        <w:jc w:val="left"/>
        <w:tblInd w:w="0" w:type="dxa"/>
        <w:tblLayout w:type="fixed"/>
        <w:tblCellMar>
          <w:top w:w="28" w:type="dxa"/>
          <w:left w:w="28" w:type="dxa"/>
          <w:bottom w:w="28" w:type="dxa"/>
          <w:right w:w="28" w:type="dxa"/>
        </w:tblCellMar>
      </w:tblPr>
      <w:tblGrid>
        <w:gridCol w:w="645"/>
        <w:gridCol w:w="568"/>
        <w:gridCol w:w="571"/>
        <w:gridCol w:w="470"/>
        <w:gridCol w:w="470"/>
        <w:gridCol w:w="470"/>
        <w:gridCol w:w="707"/>
        <w:gridCol w:w="707"/>
        <w:gridCol w:w="100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March 4, 2026</w:t>
            </w:r>
          </w:p>
        </w:tc>
        <w:tc>
          <w:tcPr>
            <w:tcW w:w="38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HOLDINGS,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Burt W. Podbere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Burt W. Podbere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George Kurtz, the President and Chief Executive Officer of CrowdStrike Holdings, Inc., certify, pursuant to 18 U.S.C. Section 1350, as adopted pursuant to Section 906 of the Sarbanes-Oxley Act of 2002, that the Annual Report on Form 10-K of CrowdStrike Holdings, Inc. for the fiscal year ended January 31, 2026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tbl>
      <w:tblPr>
        <w:tblW w:w="6417" w:type="dxa"/>
        <w:jc w:val="left"/>
        <w:tblInd w:w="0" w:type="dxa"/>
        <w:tblLayout w:type="fixed"/>
        <w:tblCellMar>
          <w:top w:w="28" w:type="dxa"/>
          <w:left w:w="28" w:type="dxa"/>
          <w:bottom w:w="28" w:type="dxa"/>
          <w:right w:w="28" w:type="dxa"/>
        </w:tblCellMar>
      </w:tblPr>
      <w:tblGrid>
        <w:gridCol w:w="645"/>
        <w:gridCol w:w="568"/>
        <w:gridCol w:w="571"/>
        <w:gridCol w:w="208"/>
        <w:gridCol w:w="208"/>
        <w:gridCol w:w="213"/>
        <w:gridCol w:w="1172"/>
        <w:gridCol w:w="1172"/>
        <w:gridCol w:w="166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4,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Kurtz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Kurtz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br/>
              <w:t>(Principal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Burt W. Podbere, the Chief Financial Officer of CrowdStrike Holdings, Inc., certify, pursuant to 18 U.S.C. Section 1350, as adopted pursuant to Section 906 of the Sarbanes-Oxley Act of 2002, that the Annual Report on Form 10-K of CrowdStrike Holdings, Inc. for the fiscal year ended January 31, 2026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tbl>
      <w:tblPr>
        <w:tblW w:w="4827" w:type="dxa"/>
        <w:jc w:val="left"/>
        <w:tblInd w:w="0" w:type="dxa"/>
        <w:tblLayout w:type="fixed"/>
        <w:tblCellMar>
          <w:top w:w="28" w:type="dxa"/>
          <w:left w:w="28" w:type="dxa"/>
          <w:bottom w:w="28" w:type="dxa"/>
          <w:right w:w="28" w:type="dxa"/>
        </w:tblCellMar>
      </w:tblPr>
      <w:tblGrid>
        <w:gridCol w:w="645"/>
        <w:gridCol w:w="568"/>
        <w:gridCol w:w="571"/>
        <w:gridCol w:w="208"/>
        <w:gridCol w:w="208"/>
        <w:gridCol w:w="213"/>
        <w:gridCol w:w="705"/>
        <w:gridCol w:w="705"/>
        <w:gridCol w:w="100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4,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Burt W. Podbere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Burt W. Podbere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535527/000110465919035685/a19-11597_1ex3d1.htm" TargetMode="External"/><Relationship Id="rId4" Type="http://schemas.openxmlformats.org/officeDocument/2006/relationships/hyperlink" Target="https://www.sec.gov/Archives/edgar/data/1535527/000110465919035685/a19-11597_1ex3d1.htm" TargetMode="External"/><Relationship Id="rId5" Type="http://schemas.openxmlformats.org/officeDocument/2006/relationships/hyperlink" Target="https://www.sec.gov/Archives/edgar/data/1535527/000153552724000026/crowdstrikeholdingsincam.htm" TargetMode="External"/><Relationship Id="rId6" Type="http://schemas.openxmlformats.org/officeDocument/2006/relationships/hyperlink" Target="https://www.sec.gov/Archives/edgar/data/1535527/000153552724000026/crowdstrikeholdingsincam.htm" TargetMode="External"/><Relationship Id="rId7" Type="http://schemas.openxmlformats.org/officeDocument/2006/relationships/hyperlink" Target="https://www.sec.gov/Archives/edgar/data/1535527/000110465924128515/tm2430723d1_ex3-1.htm" TargetMode="External"/><Relationship Id="rId8" Type="http://schemas.openxmlformats.org/officeDocument/2006/relationships/hyperlink" Target="https://www.sec.gov/Archives/edgar/data/1535527/000110465924128515/tm2430723d1_ex3-1.htm" TargetMode="External"/><Relationship Id="rId9" Type="http://schemas.openxmlformats.org/officeDocument/2006/relationships/hyperlink" Target="https://www.sec.gov/Archives/edgar/data/1535527/000104746919003095/a2238800zex-4_1.htm" TargetMode="External"/><Relationship Id="rId10" Type="http://schemas.openxmlformats.org/officeDocument/2006/relationships/hyperlink" Target="https://www.sec.gov/Archives/edgar/data/1535527/000104746919003095/a2238800zex-4_1.htm" TargetMode="External"/><Relationship Id="rId11" Type="http://schemas.openxmlformats.org/officeDocument/2006/relationships/hyperlink" Target="https://www.sec.gov/Archives/edgar/data/1535527/000104746919003095/a2238800zex-4_2.htm" TargetMode="External"/><Relationship Id="rId12" Type="http://schemas.openxmlformats.org/officeDocument/2006/relationships/hyperlink" Target="https://www.sec.gov/Archives/edgar/data/1535527/000104746919003095/a2238800zex-4_2.htm" TargetMode="External"/><Relationship Id="rId13" Type="http://schemas.openxmlformats.org/officeDocument/2006/relationships/hyperlink" Target="https://www.sec.gov/Archives/edgar/data/1535527/000104746919003341/a2238881zex-4_3.htm" TargetMode="External"/><Relationship Id="rId14" Type="http://schemas.openxmlformats.org/officeDocument/2006/relationships/hyperlink" Target="https://www.sec.gov/Archives/edgar/data/1535527/000104746919003341/a2238881zex-4_3.htm" TargetMode="External"/><Relationship Id="rId15" Type="http://schemas.openxmlformats.org/officeDocument/2006/relationships/hyperlink" Target="https://www.sec.gov/Archives/edgar/data/1535527/000153552725000009/crwd-10xk_exx44description.htm" TargetMode="External"/><Relationship Id="rId16" Type="http://schemas.openxmlformats.org/officeDocument/2006/relationships/hyperlink" Target="https://www.sec.gov/Archives/edgar/data/1535527/000153552725000009/crwd-10xk_exx44description.htm" TargetMode="External"/><Relationship Id="rId17" Type="http://schemas.openxmlformats.org/officeDocument/2006/relationships/hyperlink" Target="https://www.sec.gov/Archives/edgar/data/1535527/000110465921005883/tm213272d1_ex4-1.htm" TargetMode="External"/><Relationship Id="rId18" Type="http://schemas.openxmlformats.org/officeDocument/2006/relationships/hyperlink" Target="https://www.sec.gov/Archives/edgar/data/1535527/000110465921005883/tm213272d1_ex4-1.htm" TargetMode="External"/><Relationship Id="rId19" Type="http://schemas.openxmlformats.org/officeDocument/2006/relationships/hyperlink" Target="https://www.sec.gov/Archives/edgar/data/1535527/000110465921005883/tm213272d1_ex4-2.htm" TargetMode="External"/><Relationship Id="rId20" Type="http://schemas.openxmlformats.org/officeDocument/2006/relationships/hyperlink" Target="https://www.sec.gov/Archives/edgar/data/1535527/000110465921005883/tm213272d1_ex4-2.htm" TargetMode="External"/><Relationship Id="rId21" Type="http://schemas.openxmlformats.org/officeDocument/2006/relationships/hyperlink" Target="https://www.sec.gov/Archives/edgar/data/1535527/000110465921005883/tm213272d1_ex4-2.htm" TargetMode="External"/><Relationship Id="rId22" Type="http://schemas.openxmlformats.org/officeDocument/2006/relationships/hyperlink" Target="https://www.sec.gov/Archives/edgar/data/1535527/000110465921005883/tm213272d1_ex4-2.htm" TargetMode="External"/><Relationship Id="rId23" Type="http://schemas.openxmlformats.org/officeDocument/2006/relationships/hyperlink" Target="https://www.sec.gov/Archives/edgar/data/1535527/000153552725000009/crwdfy2510-kexhibit48.htm" TargetMode="External"/><Relationship Id="rId24" Type="http://schemas.openxmlformats.org/officeDocument/2006/relationships/hyperlink" Target="https://www.sec.gov/Archives/edgar/data/1535527/000153552725000009/crwdfy2510-kexhibit48.htm" TargetMode="External"/><Relationship Id="rId25" Type="http://schemas.openxmlformats.org/officeDocument/2006/relationships/hyperlink" Target="https://www.sec.gov/Archives/edgar/data/1535527/000104746919003095/a2238800zex-10_1.htm" TargetMode="External"/><Relationship Id="rId26" Type="http://schemas.openxmlformats.org/officeDocument/2006/relationships/hyperlink" Target="https://www.sec.gov/Archives/edgar/data/1535527/000104746919003095/a2238800zex-10_1.htm" TargetMode="External"/><Relationship Id="rId27" Type="http://schemas.openxmlformats.org/officeDocument/2006/relationships/hyperlink" Target="https://www.sec.gov/Archives/edgar/data/1535527/000104746919003095/a2238800zex-10_1.htm" TargetMode="External"/><Relationship Id="rId28" Type="http://schemas.openxmlformats.org/officeDocument/2006/relationships/hyperlink" Target="https://www.sec.gov/Archives/edgar/data/1535527/000104746919003341/a2238881zex-10_2.htm" TargetMode="External"/><Relationship Id="rId29" Type="http://schemas.openxmlformats.org/officeDocument/2006/relationships/hyperlink" Target="https://www.sec.gov/Archives/edgar/data/1535527/000104746919003341/a2238881zex-10_2.htm" TargetMode="External"/><Relationship Id="rId30" Type="http://schemas.openxmlformats.org/officeDocument/2006/relationships/hyperlink" Target="https://www.sec.gov/Archives/edgar/data/1535527/000104746919003341/a2238881zex-10_2.htm" TargetMode="External"/><Relationship Id="rId31" Type="http://schemas.openxmlformats.org/officeDocument/2006/relationships/hyperlink" Target="https://www.sec.gov/Archives/edgar/data/1535527/000153552720000019/ex-101formofdirectoran.htm" TargetMode="External"/><Relationship Id="rId32" Type="http://schemas.openxmlformats.org/officeDocument/2006/relationships/hyperlink" Target="https://www.sec.gov/Archives/edgar/data/1535527/000153552720000019/ex-101formofdirectoran.htm" TargetMode="External"/><Relationship Id="rId33" Type="http://schemas.openxmlformats.org/officeDocument/2006/relationships/hyperlink" Target="https://www.sec.gov/Archives/edgar/data/1535527/000153552721000007/exhibit104_crwd-directorin.htm" TargetMode="External"/><Relationship Id="rId34" Type="http://schemas.openxmlformats.org/officeDocument/2006/relationships/hyperlink" Target="https://www.sec.gov/Archives/edgar/data/1535527/000153552721000007/exhibit104_crwd-directorin.htm" TargetMode="External"/><Relationship Id="rId35" Type="http://schemas.openxmlformats.org/officeDocument/2006/relationships/hyperlink" Target="https://www.sec.gov/Archives/edgar/data/1535527/000153552720000012/crwd-20200430xex101.htm" TargetMode="External"/><Relationship Id="rId36" Type="http://schemas.openxmlformats.org/officeDocument/2006/relationships/hyperlink" Target="https://www.sec.gov/Archives/edgar/data/1535527/000153552720000012/crwd-20200430xex101.htm" TargetMode="External"/><Relationship Id="rId37" Type="http://schemas.openxmlformats.org/officeDocument/2006/relationships/hyperlink" Target="https://www.sec.gov/Archives/edgar/data/1535527/000104746919003095/a2238800zex-10_4.htm" TargetMode="External"/><Relationship Id="rId38" Type="http://schemas.openxmlformats.org/officeDocument/2006/relationships/hyperlink" Target="https://www.sec.gov/Archives/edgar/data/1535527/000104746919003095/a2238800zex-10_4.htm" TargetMode="External"/><Relationship Id="rId39" Type="http://schemas.openxmlformats.org/officeDocument/2006/relationships/hyperlink" Target="https://www.sec.gov/Archives/edgar/data/0001535527/000153552721000022/crowdstrike-2019espp.htm" TargetMode="External"/><Relationship Id="rId40" Type="http://schemas.openxmlformats.org/officeDocument/2006/relationships/hyperlink" Target="https://www.sec.gov/Archives/edgar/data/0001535527/000153552721000022/crowdstrike-2019espp.htm" TargetMode="External"/><Relationship Id="rId41" Type="http://schemas.openxmlformats.org/officeDocument/2006/relationships/hyperlink" Target="https://www.sec.gov/Archives/edgar/data/1535527/000153552723000014/crwd-fy24ciptcs42423.htm" TargetMode="External"/><Relationship Id="rId42" Type="http://schemas.openxmlformats.org/officeDocument/2006/relationships/hyperlink" Target="https://www.sec.gov/Archives/edgar/data/1535527/000153552723000014/crwd-fy24ciptcs42423.htm" TargetMode="External"/><Relationship Id="rId43" Type="http://schemas.openxmlformats.org/officeDocument/2006/relationships/hyperlink" Target="https://www.sec.gov/Archives/edgar/data/1535527/000153552724000020/outsidedirectorcompensatio.htm" TargetMode="External"/><Relationship Id="rId44" Type="http://schemas.openxmlformats.org/officeDocument/2006/relationships/hyperlink" Target="https://www.sec.gov/Archives/edgar/data/1535527/000153552725000025/exhibit101outsidedirectorc.htm" TargetMode="External"/><Relationship Id="rId45" Type="http://schemas.openxmlformats.org/officeDocument/2006/relationships/hyperlink" Target="https://www.sec.gov/Archives/edgar/data/1535527/000104746919003095/a2238800zex-10_6.htm" TargetMode="External"/><Relationship Id="rId46" Type="http://schemas.openxmlformats.org/officeDocument/2006/relationships/hyperlink" Target="https://www.sec.gov/Archives/edgar/data/1535527/000104746919003095/a2238800zex-10_6.htm" TargetMode="External"/><Relationship Id="rId47" Type="http://schemas.openxmlformats.org/officeDocument/2006/relationships/hyperlink" Target="https://www.sec.gov/Archives/edgar/data/1535527/000104746919003095/a2238800zex-10_8.htm" TargetMode="External"/><Relationship Id="rId48" Type="http://schemas.openxmlformats.org/officeDocument/2006/relationships/hyperlink" Target="https://www.sec.gov/Archives/edgar/data/1535527/000104746919003095/a2238800zex-10_8.htm" TargetMode="External"/><Relationship Id="rId49" Type="http://schemas.openxmlformats.org/officeDocument/2006/relationships/hyperlink" Target="https://www.sec.gov/Archives/edgar/data/1535527/000153552722000006/ex-1018_crowdstrikeaustinl.htm" TargetMode="External"/><Relationship Id="rId50" Type="http://schemas.openxmlformats.org/officeDocument/2006/relationships/hyperlink" Target="https://www.sec.gov/Archives/edgar/data/1535527/000153552722000006/ex-1018_crowdstrikeaustinl.htm" TargetMode="External"/><Relationship Id="rId51" Type="http://schemas.openxmlformats.org/officeDocument/2006/relationships/hyperlink" Target="https://www.sec.gov/Archives/edgar/data/1535527/000153552722000006/ex-1019_crowdstrikeaustin1.htm" TargetMode="External"/><Relationship Id="rId52" Type="http://schemas.openxmlformats.org/officeDocument/2006/relationships/hyperlink" Target="https://www.sec.gov/Archives/edgar/data/1535527/000153552722000006/ex-1019_crowdstrikeaustin1.htm" TargetMode="External"/><Relationship Id="rId53" Type="http://schemas.openxmlformats.org/officeDocument/2006/relationships/hyperlink" Target="https://www.sec.gov/Archives/edgar/data/1535527/000153552721000022/gk-specialpsuawardagreemen.htm" TargetMode="External"/><Relationship Id="rId54" Type="http://schemas.openxmlformats.org/officeDocument/2006/relationships/hyperlink" Target="https://www.sec.gov/Archives/edgar/data/1535527/000153552721000022/gk-specialpsuawardagreemen.htm" TargetMode="External"/><Relationship Id="rId55" Type="http://schemas.openxmlformats.org/officeDocument/2006/relationships/hyperlink" Target="https://www.sec.gov/Archives/edgar/data/1535527/000153552721000022/crowdstrike-ceocicandsever.htm" TargetMode="External"/><Relationship Id="rId56" Type="http://schemas.openxmlformats.org/officeDocument/2006/relationships/hyperlink" Target="https://www.sec.gov/Archives/edgar/data/1535527/000153552721000022/crowdstrike-ceocicandsever.htm" TargetMode="External"/><Relationship Id="rId57" Type="http://schemas.openxmlformats.org/officeDocument/2006/relationships/hyperlink" Target="https://www.sec.gov/Archives/edgar/data/1535527/000110465922004504/tm222862d1_ex10-1.htm" TargetMode="External"/><Relationship Id="rId58" Type="http://schemas.openxmlformats.org/officeDocument/2006/relationships/hyperlink" Target="https://www.sec.gov/Archives/edgar/data/1535527/000110465922004504/tm222862d1_ex10-1.htm" TargetMode="External"/><Relationship Id="rId59" Type="http://schemas.openxmlformats.org/officeDocument/2006/relationships/hyperlink" Target="https://www.sec.gov/Archives/edgar/data/1535527/000153552721000013/a102_henrysupdated.htm" TargetMode="External"/><Relationship Id="rId60" Type="http://schemas.openxmlformats.org/officeDocument/2006/relationships/hyperlink" Target="https://www.sec.gov/Archives/edgar/data/1535527/000153552721000013/a102_henrysupdated.htm" TargetMode="External"/><Relationship Id="rId61" Type="http://schemas.openxmlformats.org/officeDocument/2006/relationships/hyperlink" Target="https://www.sec.gov/Archives/edgar/data/1535527/000153552723000008/austin_xsecondxamendment.htm" TargetMode="External"/><Relationship Id="rId62" Type="http://schemas.openxmlformats.org/officeDocument/2006/relationships/hyperlink" Target="https://www.sec.gov/Archives/edgar/data/1535527/000153552723000008/austin_xsecondxamendment.htm" TargetMode="External"/><Relationship Id="rId63" Type="http://schemas.openxmlformats.org/officeDocument/2006/relationships/hyperlink" Target="https://www.sec.gov/Archives/edgar/data/1535527/000153552724000007/dcpadoptionagreementdate.htm" TargetMode="External"/><Relationship Id="rId64" Type="http://schemas.openxmlformats.org/officeDocument/2006/relationships/hyperlink" Target="https://www.sec.gov/Archives/edgar/data/1535527/000153552724000007/dcpadoptionagreementdate.htm" TargetMode="External"/><Relationship Id="rId65" Type="http://schemas.openxmlformats.org/officeDocument/2006/relationships/hyperlink" Target="https://www.sec.gov/Archives/edgar/data/1535527/000153552724000007/dcpdated1123.htm" TargetMode="External"/><Relationship Id="rId66" Type="http://schemas.openxmlformats.org/officeDocument/2006/relationships/hyperlink" Target="https://www.sec.gov/Archives/edgar/data/1535527/000153552724000007/dcpdated1123.htm" TargetMode="External"/><Relationship Id="rId67" Type="http://schemas.openxmlformats.org/officeDocument/2006/relationships/hyperlink" Target="https://www.sec.gov/Archives/edgar/data/1535527/000153552724000013/sentonas_michaelx-xusxof.htm" TargetMode="External"/><Relationship Id="rId68" Type="http://schemas.openxmlformats.org/officeDocument/2006/relationships/hyperlink" Target="https://www.sec.gov/Archives/edgar/data/1535527/000153552724000013/sentonas_michaelx-xusxof.htm" TargetMode="External"/><Relationship Id="rId69" Type="http://schemas.openxmlformats.org/officeDocument/2006/relationships/hyperlink" Target="https://www.sec.gov/Archives/edgar/data/1535527/000110465925124912/tm2534248d1_ex10-1.htm" TargetMode="External"/><Relationship Id="rId70" Type="http://schemas.openxmlformats.org/officeDocument/2006/relationships/hyperlink" Target="https://www.sec.gov/Archives/edgar/data/1535527/000110465925124912/tm2534248d1_ex10-1.htm" TargetMode="External"/><Relationship Id="rId71" Type="http://schemas.openxmlformats.org/officeDocument/2006/relationships/hyperlink" Target="https://www.sec.gov/Archives/edgar/data/1535527/000153552725000009/exhibit191final.htm" TargetMode="External"/><Relationship Id="rId72" Type="http://schemas.openxmlformats.org/officeDocument/2006/relationships/hyperlink" Target="https://www.sec.gov/Archives/edgar/data/1535527/000153552725000009/exhibit191final.htm" TargetMode="External"/><Relationship Id="rId73" Type="http://schemas.openxmlformats.org/officeDocument/2006/relationships/hyperlink" Target="https://www.sec.gov/Archives/edgar/data/1535527/000153552724000007/clawbackpolicy2023final.htm" TargetMode="External"/><Relationship Id="rId74" Type="http://schemas.openxmlformats.org/officeDocument/2006/relationships/hyperlink" Target="https://www.sec.gov/Archives/edgar/data/1535527/000153552724000007/clawbackpolicy2023final.htm" TargetMode="External"/><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80264</Words>
  <Characters>458005</Characters>
  <CharactersWithSpaces>534639</CharactersWithSpaces>
  <Paragraphs>5496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