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386715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403860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ind w:left="3860"/>
        <w:spacing w:after="0"/>
        <w:rPr>
          <w:sz w:val="20"/>
          <w:szCs w:val="20"/>
          <w:color w:val="auto"/>
        </w:rPr>
      </w:pPr>
      <w:r>
        <w:rPr>
          <w:rFonts w:ascii="Arial" w:cs="Arial" w:eastAsia="Arial" w:hAnsi="Arial"/>
          <w:sz w:val="7"/>
          <w:szCs w:val="7"/>
          <w:b w:val="1"/>
          <w:bCs w:val="1"/>
          <w:color w:val="auto"/>
        </w:rPr>
        <w:t>___________________________________________________________________________________________________</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6" w:lineRule="exact"/>
        <w:rPr>
          <w:sz w:val="24"/>
          <w:szCs w:val="24"/>
          <w:color w:val="auto"/>
        </w:rPr>
      </w:pPr>
    </w:p>
    <w:p>
      <w:pPr>
        <w:ind w:left="3860"/>
        <w:spacing w:after="0"/>
        <w:rPr>
          <w:sz w:val="20"/>
          <w:szCs w:val="20"/>
          <w:color w:val="auto"/>
        </w:rPr>
      </w:pPr>
      <w:r>
        <w:rPr>
          <w:rFonts w:ascii="Arial" w:cs="Arial" w:eastAsia="Arial" w:hAnsi="Arial"/>
          <w:sz w:val="7"/>
          <w:szCs w:val="7"/>
          <w:b w:val="1"/>
          <w:bCs w:val="1"/>
          <w:color w:val="auto"/>
        </w:rPr>
        <w:t>___________________________________________________________________________________________________</w:t>
      </w:r>
    </w:p>
    <w:p>
      <w:pPr>
        <w:spacing w:after="0" w:line="5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17" w:lineRule="exact"/>
        <w:rPr>
          <w:sz w:val="24"/>
          <w:szCs w:val="24"/>
          <w:color w:val="auto"/>
        </w:rPr>
      </w:pPr>
    </w:p>
    <w:p>
      <w:pPr>
        <w:ind w:left="320" w:hanging="220"/>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QUARTERLY REPORT 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 October 31, 2021</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36" w:lineRule="exact"/>
        <w:rPr>
          <w:sz w:val="24"/>
          <w:szCs w:val="24"/>
          <w:color w:val="auto"/>
        </w:rPr>
      </w:pPr>
    </w:p>
    <w:p>
      <w:pPr>
        <w:ind w:left="320" w:hanging="220"/>
        <w:spacing w:after="0"/>
        <w:tabs>
          <w:tab w:leader="none" w:pos="3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TRANSITION REPORT PURSUANT TO SECTION 13 OR 15(d) OF THE SECURITIES EXCHANGE ACT OF 1934</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53"/>
        </w:trPr>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2"/>
                <w:szCs w:val="12"/>
                <w:color w:val="auto"/>
                <w:w w:val="93"/>
              </w:rPr>
              <w:t>For the transition period from to</w:t>
            </w:r>
          </w:p>
        </w:tc>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98"/>
        </w:trPr>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0"/>
              </w:rPr>
              <w:t>Commission File Number: 001-38933</w:t>
            </w:r>
          </w:p>
        </w:tc>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92"/>
        </w:trPr>
        <w:tc>
          <w:tcPr>
            <w:tcW w:w="1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w:t>
            </w:r>
          </w:p>
        </w:tc>
        <w:tc>
          <w:tcPr>
            <w:tcW w:w="9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50"/>
        </w:trPr>
        <w:tc>
          <w:tcPr>
            <w:tcW w:w="1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rPr>
              <w:t>CROWDSTRIKE HOLDINGS, INC.</w:t>
            </w:r>
          </w:p>
        </w:tc>
        <w:tc>
          <w:tcPr>
            <w:tcW w:w="9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44"/>
        </w:trPr>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2"/>
                <w:szCs w:val="12"/>
                <w:color w:val="auto"/>
                <w:w w:val="91"/>
              </w:rPr>
              <w:t>(Exact Name of Registrant as Specified in Its Charter)</w:t>
            </w:r>
          </w:p>
        </w:tc>
        <w:tc>
          <w:tcPr>
            <w:tcW w:w="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92"/>
        </w:trPr>
        <w:tc>
          <w:tcPr>
            <w:tcW w:w="1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w:t>
            </w:r>
          </w:p>
        </w:tc>
        <w:tc>
          <w:tcPr>
            <w:tcW w:w="9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56"/>
        </w:trPr>
        <w:tc>
          <w:tcPr>
            <w:tcW w:w="1500" w:type="dxa"/>
            <w:vAlign w:val="bottom"/>
          </w:tcPr>
          <w:p>
            <w:pPr>
              <w:spacing w:after="0"/>
              <w:rPr>
                <w:sz w:val="13"/>
                <w:szCs w:val="13"/>
                <w:color w:val="auto"/>
              </w:rPr>
            </w:pPr>
          </w:p>
        </w:tc>
        <w:tc>
          <w:tcPr>
            <w:tcW w:w="2300" w:type="dxa"/>
            <w:vAlign w:val="bottom"/>
            <w:gridSpan w:val="2"/>
          </w:tcPr>
          <w:p>
            <w:pPr>
              <w:jc w:val="center"/>
              <w:ind w:right="1200"/>
              <w:spacing w:after="0"/>
              <w:rPr>
                <w:sz w:val="20"/>
                <w:szCs w:val="20"/>
                <w:color w:val="auto"/>
              </w:rPr>
            </w:pPr>
            <w:r>
              <w:rPr>
                <w:rFonts w:ascii="Arial" w:cs="Arial" w:eastAsia="Arial" w:hAnsi="Arial"/>
                <w:sz w:val="11"/>
                <w:szCs w:val="11"/>
                <w:b w:val="1"/>
                <w:bCs w:val="1"/>
                <w:color w:val="auto"/>
                <w:w w:val="86"/>
              </w:rPr>
              <w:t>Delaware</w:t>
            </w: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gridSpan w:val="2"/>
          </w:tcPr>
          <w:p>
            <w:pPr>
              <w:jc w:val="right"/>
              <w:ind w:right="826"/>
              <w:spacing w:after="0"/>
              <w:rPr>
                <w:sz w:val="20"/>
                <w:szCs w:val="20"/>
                <w:color w:val="auto"/>
              </w:rPr>
            </w:pPr>
            <w:r>
              <w:rPr>
                <w:rFonts w:ascii="Arial" w:cs="Arial" w:eastAsia="Arial" w:hAnsi="Arial"/>
                <w:sz w:val="11"/>
                <w:szCs w:val="11"/>
                <w:b w:val="1"/>
                <w:bCs w:val="1"/>
                <w:color w:val="auto"/>
              </w:rPr>
              <w:t>45-3788918</w:t>
            </w:r>
          </w:p>
        </w:tc>
        <w:tc>
          <w:tcPr>
            <w:tcW w:w="940" w:type="dxa"/>
            <w:vAlign w:val="bottom"/>
          </w:tcPr>
          <w:p>
            <w:pPr>
              <w:spacing w:after="0"/>
              <w:rPr>
                <w:sz w:val="13"/>
                <w:szCs w:val="13"/>
                <w:color w:val="auto"/>
              </w:rPr>
            </w:pPr>
          </w:p>
        </w:tc>
      </w:tr>
      <w:tr>
        <w:trPr>
          <w:trHeight w:val="116"/>
        </w:trPr>
        <w:tc>
          <w:tcPr>
            <w:tcW w:w="3800" w:type="dxa"/>
            <w:vAlign w:val="bottom"/>
            <w:gridSpan w:val="3"/>
          </w:tcPr>
          <w:p>
            <w:pPr>
              <w:jc w:val="center"/>
              <w:ind w:left="206"/>
              <w:spacing w:after="0" w:line="116" w:lineRule="exact"/>
              <w:rPr>
                <w:sz w:val="20"/>
                <w:szCs w:val="20"/>
                <w:color w:val="auto"/>
              </w:rPr>
            </w:pPr>
            <w:r>
              <w:rPr>
                <w:rFonts w:ascii="Arial" w:cs="Arial" w:eastAsia="Arial" w:hAnsi="Arial"/>
                <w:sz w:val="11"/>
                <w:szCs w:val="11"/>
                <w:color w:val="auto"/>
                <w:w w:val="91"/>
              </w:rPr>
              <w:t>(State or other jurisdiction of</w:t>
            </w:r>
          </w:p>
        </w:tc>
        <w:tc>
          <w:tcPr>
            <w:tcW w:w="1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60" w:type="dxa"/>
            <w:vAlign w:val="bottom"/>
            <w:gridSpan w:val="2"/>
          </w:tcPr>
          <w:p>
            <w:pPr>
              <w:jc w:val="center"/>
              <w:ind w:right="1320"/>
              <w:spacing w:after="0" w:line="116" w:lineRule="exact"/>
              <w:rPr>
                <w:sz w:val="20"/>
                <w:szCs w:val="20"/>
                <w:color w:val="auto"/>
              </w:rPr>
            </w:pPr>
            <w:r>
              <w:rPr>
                <w:rFonts w:ascii="Arial" w:cs="Arial" w:eastAsia="Arial" w:hAnsi="Arial"/>
                <w:sz w:val="11"/>
                <w:szCs w:val="11"/>
                <w:color w:val="auto"/>
                <w:w w:val="91"/>
              </w:rPr>
              <w:t>(I.R.S. Employer</w:t>
            </w:r>
          </w:p>
        </w:tc>
      </w:tr>
      <w:tr>
        <w:trPr>
          <w:trHeight w:val="136"/>
        </w:trPr>
        <w:tc>
          <w:tcPr>
            <w:tcW w:w="3800" w:type="dxa"/>
            <w:vAlign w:val="bottom"/>
            <w:gridSpan w:val="3"/>
          </w:tcPr>
          <w:p>
            <w:pPr>
              <w:jc w:val="center"/>
              <w:ind w:left="246"/>
              <w:spacing w:after="0"/>
              <w:rPr>
                <w:sz w:val="20"/>
                <w:szCs w:val="20"/>
                <w:color w:val="auto"/>
              </w:rPr>
            </w:pPr>
            <w:r>
              <w:rPr>
                <w:rFonts w:ascii="Arial" w:cs="Arial" w:eastAsia="Arial" w:hAnsi="Arial"/>
                <w:sz w:val="11"/>
                <w:szCs w:val="11"/>
                <w:color w:val="auto"/>
                <w:w w:val="90"/>
              </w:rPr>
              <w:t>incorporation or organization)</w:t>
            </w:r>
          </w:p>
        </w:tc>
        <w:tc>
          <w:tcPr>
            <w:tcW w:w="1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60" w:type="dxa"/>
            <w:vAlign w:val="bottom"/>
            <w:gridSpan w:val="2"/>
          </w:tcPr>
          <w:p>
            <w:pPr>
              <w:ind w:left="280"/>
              <w:spacing w:after="0"/>
              <w:rPr>
                <w:sz w:val="20"/>
                <w:szCs w:val="20"/>
                <w:color w:val="auto"/>
              </w:rPr>
            </w:pPr>
            <w:r>
              <w:rPr>
                <w:rFonts w:ascii="Arial" w:cs="Arial" w:eastAsia="Arial" w:hAnsi="Arial"/>
                <w:sz w:val="11"/>
                <w:szCs w:val="11"/>
                <w:color w:val="auto"/>
              </w:rPr>
              <w:t>Identification Number)</w:t>
            </w:r>
          </w:p>
        </w:tc>
      </w:tr>
      <w:tr>
        <w:trPr>
          <w:trHeight w:val="265"/>
        </w:trPr>
        <w:tc>
          <w:tcPr>
            <w:tcW w:w="1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1"/>
              </w:rPr>
              <w:t>150 Mathilda Place, Suite 300, Sunnyvale, California 94086</w:t>
            </w:r>
          </w:p>
        </w:tc>
        <w:tc>
          <w:tcPr>
            <w:tcW w:w="9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98"/>
        </w:trPr>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2"/>
                <w:szCs w:val="12"/>
                <w:color w:val="auto"/>
                <w:w w:val="92"/>
              </w:rPr>
              <w:t>(Address of principal executive offices)</w:t>
            </w:r>
          </w:p>
        </w:tc>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7"/>
        </w:trPr>
        <w:tc>
          <w:tcPr>
            <w:tcW w:w="1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760" w:type="dxa"/>
            <w:vAlign w:val="bottom"/>
            <w:gridSpan w:val="3"/>
          </w:tcPr>
          <w:p>
            <w:pPr>
              <w:jc w:val="center"/>
              <w:ind w:right="80"/>
              <w:spacing w:after="0" w:line="78" w:lineRule="exact"/>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w:t>
            </w:r>
          </w:p>
        </w:tc>
        <w:tc>
          <w:tcPr>
            <w:tcW w:w="9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148"/>
        </w:trPr>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Registrant’s telephone number, including area code: (888) 512-8906</w:t>
            </w:r>
          </w:p>
        </w:tc>
        <w:tc>
          <w:tcPr>
            <w:tcW w:w="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92"/>
        </w:trPr>
        <w:tc>
          <w:tcPr>
            <w:tcW w:w="1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w:t>
            </w:r>
          </w:p>
        </w:tc>
        <w:tc>
          <w:tcPr>
            <w:tcW w:w="9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89"/>
        </w:trPr>
        <w:tc>
          <w:tcPr>
            <w:tcW w:w="1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color w:val="auto"/>
                <w:w w:val="88"/>
              </w:rPr>
              <w:t>Securities registered pursuant to Section 12(b) of the Act:</w:t>
            </w:r>
          </w:p>
        </w:tc>
        <w:tc>
          <w:tcPr>
            <w:tcW w:w="9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13"/>
        </w:trPr>
        <w:tc>
          <w:tcPr>
            <w:tcW w:w="1500" w:type="dxa"/>
            <w:vAlign w:val="bottom"/>
            <w:tcBorders>
              <w:left w:val="single" w:sz="8" w:color="auto"/>
            </w:tcBorders>
          </w:tcPr>
          <w:p>
            <w:pPr>
              <w:spacing w:after="0"/>
              <w:rPr>
                <w:sz w:val="9"/>
                <w:szCs w:val="9"/>
                <w:color w:val="auto"/>
              </w:rPr>
            </w:pPr>
          </w:p>
        </w:tc>
        <w:tc>
          <w:tcPr>
            <w:tcW w:w="2300" w:type="dxa"/>
            <w:vAlign w:val="bottom"/>
            <w:tcBorders>
              <w:right w:val="single" w:sz="8" w:color="auto"/>
            </w:tcBorders>
            <w:gridSpan w:val="2"/>
          </w:tcPr>
          <w:p>
            <w:pPr>
              <w:jc w:val="center"/>
              <w:ind w:right="1520"/>
              <w:spacing w:after="0" w:line="113" w:lineRule="exact"/>
              <w:rPr>
                <w:sz w:val="20"/>
                <w:szCs w:val="20"/>
                <w:color w:val="auto"/>
              </w:rPr>
            </w:pPr>
            <w:r>
              <w:rPr>
                <w:rFonts w:ascii="Arial" w:cs="Arial" w:eastAsia="Arial" w:hAnsi="Arial"/>
                <w:sz w:val="11"/>
                <w:szCs w:val="11"/>
                <w:color w:val="auto"/>
                <w:w w:val="88"/>
              </w:rPr>
              <w:t>Title of each class</w:t>
            </w:r>
          </w:p>
        </w:tc>
        <w:tc>
          <w:tcPr>
            <w:tcW w:w="1460" w:type="dxa"/>
            <w:vAlign w:val="bottom"/>
          </w:tcPr>
          <w:p>
            <w:pPr>
              <w:spacing w:after="0"/>
              <w:rPr>
                <w:sz w:val="9"/>
                <w:szCs w:val="9"/>
                <w:color w:val="auto"/>
              </w:rPr>
            </w:pPr>
          </w:p>
        </w:tc>
        <w:tc>
          <w:tcPr>
            <w:tcW w:w="2300" w:type="dxa"/>
            <w:vAlign w:val="bottom"/>
            <w:tcBorders>
              <w:right w:val="single" w:sz="8" w:color="auto"/>
            </w:tcBorders>
            <w:gridSpan w:val="2"/>
          </w:tcPr>
          <w:p>
            <w:pPr>
              <w:jc w:val="center"/>
              <w:ind w:right="1500"/>
              <w:spacing w:after="0" w:line="113" w:lineRule="exact"/>
              <w:rPr>
                <w:sz w:val="20"/>
                <w:szCs w:val="20"/>
                <w:color w:val="auto"/>
              </w:rPr>
            </w:pPr>
            <w:r>
              <w:rPr>
                <w:rFonts w:ascii="Arial" w:cs="Arial" w:eastAsia="Arial" w:hAnsi="Arial"/>
                <w:sz w:val="11"/>
                <w:szCs w:val="11"/>
                <w:color w:val="auto"/>
                <w:w w:val="90"/>
              </w:rPr>
              <w:t>Trading symbol(s)</w:t>
            </w:r>
          </w:p>
        </w:tc>
        <w:tc>
          <w:tcPr>
            <w:tcW w:w="900" w:type="dxa"/>
            <w:vAlign w:val="bottom"/>
          </w:tcPr>
          <w:p>
            <w:pPr>
              <w:spacing w:after="0"/>
              <w:rPr>
                <w:sz w:val="9"/>
                <w:szCs w:val="9"/>
                <w:color w:val="auto"/>
              </w:rPr>
            </w:pPr>
          </w:p>
        </w:tc>
        <w:tc>
          <w:tcPr>
            <w:tcW w:w="2860" w:type="dxa"/>
            <w:vAlign w:val="bottom"/>
            <w:tcBorders>
              <w:right w:val="single" w:sz="8" w:color="auto"/>
            </w:tcBorders>
            <w:gridSpan w:val="2"/>
          </w:tcPr>
          <w:p>
            <w:pPr>
              <w:spacing w:after="0" w:line="113" w:lineRule="exact"/>
              <w:rPr>
                <w:sz w:val="20"/>
                <w:szCs w:val="20"/>
                <w:color w:val="auto"/>
              </w:rPr>
            </w:pPr>
            <w:r>
              <w:rPr>
                <w:rFonts w:ascii="Arial" w:cs="Arial" w:eastAsia="Arial" w:hAnsi="Arial"/>
                <w:sz w:val="11"/>
                <w:szCs w:val="11"/>
                <w:color w:val="auto"/>
              </w:rPr>
              <w:t>Name of each exchange on which registered</w:t>
            </w:r>
          </w:p>
        </w:tc>
      </w:tr>
      <w:tr>
        <w:trPr>
          <w:trHeight w:val="20"/>
        </w:trPr>
        <w:tc>
          <w:tcPr>
            <w:tcW w:w="150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116"/>
        </w:trPr>
        <w:tc>
          <w:tcPr>
            <w:tcW w:w="3800" w:type="dxa"/>
            <w:vAlign w:val="bottom"/>
            <w:tcBorders>
              <w:left w:val="single" w:sz="8" w:color="auto"/>
              <w:right w:val="single" w:sz="8" w:color="auto"/>
            </w:tcBorders>
            <w:gridSpan w:val="3"/>
          </w:tcPr>
          <w:p>
            <w:pPr>
              <w:jc w:val="center"/>
              <w:ind w:right="40"/>
              <w:spacing w:after="0" w:line="116" w:lineRule="exact"/>
              <w:rPr>
                <w:sz w:val="20"/>
                <w:szCs w:val="20"/>
                <w:color w:val="auto"/>
              </w:rPr>
            </w:pPr>
            <w:r>
              <w:rPr>
                <w:rFonts w:ascii="Arial" w:cs="Arial" w:eastAsia="Arial" w:hAnsi="Arial"/>
                <w:sz w:val="11"/>
                <w:szCs w:val="11"/>
                <w:color w:val="auto"/>
                <w:w w:val="87"/>
              </w:rPr>
              <w:t>Class A common stock, par value $0.0005 per share</w:t>
            </w:r>
          </w:p>
        </w:tc>
        <w:tc>
          <w:tcPr>
            <w:tcW w:w="1460" w:type="dxa"/>
            <w:vAlign w:val="bottom"/>
          </w:tcPr>
          <w:p>
            <w:pPr>
              <w:spacing w:after="0"/>
              <w:rPr>
                <w:sz w:val="10"/>
                <w:szCs w:val="10"/>
                <w:color w:val="auto"/>
              </w:rPr>
            </w:pPr>
          </w:p>
        </w:tc>
        <w:tc>
          <w:tcPr>
            <w:tcW w:w="2300" w:type="dxa"/>
            <w:vAlign w:val="bottom"/>
            <w:tcBorders>
              <w:right w:val="single" w:sz="8" w:color="auto"/>
            </w:tcBorders>
            <w:gridSpan w:val="2"/>
          </w:tcPr>
          <w:p>
            <w:pPr>
              <w:jc w:val="center"/>
              <w:ind w:right="1500"/>
              <w:spacing w:after="0" w:line="116" w:lineRule="exact"/>
              <w:rPr>
                <w:sz w:val="20"/>
                <w:szCs w:val="20"/>
                <w:color w:val="auto"/>
              </w:rPr>
            </w:pPr>
            <w:r>
              <w:rPr>
                <w:rFonts w:ascii="Arial" w:cs="Arial" w:eastAsia="Arial" w:hAnsi="Arial"/>
                <w:sz w:val="11"/>
                <w:szCs w:val="11"/>
                <w:color w:val="auto"/>
                <w:w w:val="93"/>
              </w:rPr>
              <w:t>CRWD</w:t>
            </w:r>
          </w:p>
        </w:tc>
        <w:tc>
          <w:tcPr>
            <w:tcW w:w="900" w:type="dxa"/>
            <w:vAlign w:val="bottom"/>
          </w:tcPr>
          <w:p>
            <w:pPr>
              <w:spacing w:after="0"/>
              <w:rPr>
                <w:sz w:val="10"/>
                <w:szCs w:val="10"/>
                <w:color w:val="auto"/>
              </w:rPr>
            </w:pPr>
          </w:p>
        </w:tc>
        <w:tc>
          <w:tcPr>
            <w:tcW w:w="2860" w:type="dxa"/>
            <w:vAlign w:val="bottom"/>
            <w:tcBorders>
              <w:right w:val="single" w:sz="8" w:color="auto"/>
            </w:tcBorders>
            <w:gridSpan w:val="2"/>
          </w:tcPr>
          <w:p>
            <w:pPr>
              <w:ind w:left="280"/>
              <w:spacing w:after="0" w:line="116" w:lineRule="exact"/>
              <w:rPr>
                <w:sz w:val="20"/>
                <w:szCs w:val="20"/>
                <w:color w:val="auto"/>
              </w:rPr>
            </w:pPr>
            <w:r>
              <w:rPr>
                <w:rFonts w:ascii="Arial" w:cs="Arial" w:eastAsia="Arial" w:hAnsi="Arial"/>
                <w:sz w:val="11"/>
                <w:szCs w:val="11"/>
                <w:color w:val="auto"/>
              </w:rPr>
              <w:t>The Nasdaq Stock Market LLC</w:t>
            </w:r>
          </w:p>
        </w:tc>
      </w:tr>
      <w:tr>
        <w:trPr>
          <w:trHeight w:val="162"/>
        </w:trPr>
        <w:tc>
          <w:tcPr>
            <w:tcW w:w="1500" w:type="dxa"/>
            <w:vAlign w:val="bottom"/>
            <w:tcBorders>
              <w:lef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860" w:type="dxa"/>
            <w:vAlign w:val="bottom"/>
            <w:tcBorders>
              <w:right w:val="single" w:sz="8" w:color="auto"/>
            </w:tcBorders>
            <w:gridSpan w:val="2"/>
          </w:tcPr>
          <w:p>
            <w:pPr>
              <w:ind w:left="280"/>
              <w:spacing w:after="0"/>
              <w:rPr>
                <w:sz w:val="20"/>
                <w:szCs w:val="20"/>
                <w:color w:val="auto"/>
              </w:rPr>
            </w:pPr>
            <w:r>
              <w:rPr>
                <w:rFonts w:ascii="Arial" w:cs="Arial" w:eastAsia="Arial" w:hAnsi="Arial"/>
                <w:sz w:val="11"/>
                <w:szCs w:val="11"/>
                <w:color w:val="auto"/>
              </w:rPr>
              <w:t>(Nasdaq Global Select Market)</w:t>
            </w:r>
          </w:p>
        </w:tc>
      </w:tr>
      <w:tr>
        <w:trPr>
          <w:trHeight w:val="31"/>
        </w:trPr>
        <w:tc>
          <w:tcPr>
            <w:tcW w:w="150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4"/>
          <w:szCs w:val="24"/>
          <w:color w:val="auto"/>
        </w:rPr>
      </w:pPr>
    </w:p>
    <w:p>
      <w:pPr>
        <w:ind w:right="100" w:firstLine="432"/>
        <w:spacing w:after="0" w:line="144"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9" w:lineRule="exact"/>
        <w:rPr>
          <w:sz w:val="24"/>
          <w:szCs w:val="24"/>
          <w:color w:val="auto"/>
        </w:rPr>
      </w:pPr>
    </w:p>
    <w:p>
      <w:pPr>
        <w:ind w:right="260" w:firstLine="432"/>
        <w:spacing w:after="0" w:line="144"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ind w:right="220" w:firstLine="432"/>
        <w:spacing w:after="0" w:line="281"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w:t>
      </w:r>
      <w:r>
        <w:rPr>
          <w:rFonts w:ascii="Arial" w:cs="Arial" w:eastAsia="Arial" w:hAnsi="Arial"/>
          <w:sz w:val="10"/>
          <w:szCs w:val="10"/>
          <w:color w:val="auto"/>
        </w:rPr>
        <w:t>smaller reporting company</w:t>
      </w:r>
      <w:r>
        <w:rPr>
          <w:rFonts w:ascii="Arial" w:cs="Arial" w:eastAsia="Arial" w:hAnsi="Arial"/>
          <w:sz w:val="11"/>
          <w:szCs w:val="11"/>
          <w:color w:val="auto"/>
        </w:rPr>
        <w:t xml:space="preserve">” </w:t>
      </w:r>
      <w:r>
        <w:rPr>
          <w:rFonts w:ascii="Arial" w:cs="Arial" w:eastAsia="Arial" w:hAnsi="Arial"/>
          <w:sz w:val="10"/>
          <w:szCs w:val="10"/>
          <w:color w:val="auto"/>
        </w:rPr>
        <w:t>and</w:t>
      </w:r>
      <w:r>
        <w:rPr>
          <w:rFonts w:ascii="Arial" w:cs="Arial" w:eastAsia="Arial" w:hAnsi="Arial"/>
          <w:sz w:val="11"/>
          <w:szCs w:val="11"/>
          <w:color w:val="auto"/>
        </w:rPr>
        <w:t xml:space="preserve"> “</w:t>
      </w:r>
      <w:r>
        <w:rPr>
          <w:rFonts w:ascii="Arial" w:cs="Arial" w:eastAsia="Arial" w:hAnsi="Arial"/>
          <w:sz w:val="10"/>
          <w:szCs w:val="10"/>
          <w:color w:val="auto"/>
        </w:rPr>
        <w:t>emerging growth company</w:t>
      </w:r>
      <w:r>
        <w:rPr>
          <w:rFonts w:ascii="Arial" w:cs="Arial" w:eastAsia="Arial" w:hAnsi="Arial"/>
          <w:sz w:val="11"/>
          <w:szCs w:val="11"/>
          <w:color w:val="auto"/>
        </w:rPr>
        <w:t xml:space="preserve">” </w:t>
      </w:r>
      <w:r>
        <w:rPr>
          <w:rFonts w:ascii="Arial" w:cs="Arial" w:eastAsia="Arial" w:hAnsi="Arial"/>
          <w:sz w:val="10"/>
          <w:szCs w:val="10"/>
          <w:color w:val="auto"/>
        </w:rPr>
        <w:t>in Rule 12b-2 of the Exchange Act.</w:t>
      </w:r>
    </w:p>
    <w:p>
      <w:pPr>
        <w:spacing w:after="0" w:line="1" w:lineRule="exact"/>
        <w:rPr>
          <w:sz w:val="24"/>
          <w:szCs w:val="24"/>
          <w:color w:val="auto"/>
        </w:rPr>
      </w:pPr>
    </w:p>
    <w:tbl>
      <w:tblPr>
        <w:tblLayout w:type="fixed"/>
        <w:tblInd w:w="1760" w:type="dxa"/>
        <w:tblCellMar>
          <w:top w:w="0" w:type="dxa"/>
          <w:left w:w="0" w:type="dxa"/>
          <w:bottom w:w="0" w:type="dxa"/>
          <w:right w:w="0" w:type="dxa"/>
        </w:tblCellMar>
      </w:tblPr>
      <w:tr>
        <w:trPr>
          <w:trHeight w:val="158"/>
        </w:trPr>
        <w:tc>
          <w:tcPr>
            <w:tcW w:w="2900" w:type="dxa"/>
            <w:vAlign w:val="bottom"/>
          </w:tcPr>
          <w:p>
            <w:pPr>
              <w:jc w:val="center"/>
              <w:ind w:right="826"/>
              <w:spacing w:after="0"/>
              <w:rPr>
                <w:sz w:val="20"/>
                <w:szCs w:val="20"/>
                <w:color w:val="auto"/>
              </w:rPr>
            </w:pPr>
            <w:r>
              <w:rPr>
                <w:rFonts w:ascii="Arial" w:cs="Arial" w:eastAsia="Arial" w:hAnsi="Arial"/>
                <w:sz w:val="11"/>
                <w:szCs w:val="11"/>
                <w:color w:val="auto"/>
                <w:w w:val="89"/>
              </w:rPr>
              <w:t>Large Accelerated Filer</w:t>
            </w:r>
          </w:p>
        </w:tc>
        <w:tc>
          <w:tcPr>
            <w:tcW w:w="2080" w:type="dxa"/>
            <w:vAlign w:val="bottom"/>
          </w:tcPr>
          <w:p>
            <w:pPr>
              <w:ind w:left="900"/>
              <w:spacing w:after="0" w:line="121" w:lineRule="exact"/>
              <w:rPr>
                <w:sz w:val="20"/>
                <w:szCs w:val="20"/>
                <w:color w:val="auto"/>
              </w:rPr>
            </w:pPr>
            <w:r>
              <w:rPr>
                <w:rFonts w:ascii="MS PGothic" w:cs="MS PGothic" w:eastAsia="MS PGothic" w:hAnsi="MS PGothic"/>
                <w:sz w:val="12"/>
                <w:szCs w:val="12"/>
                <w:color w:val="auto"/>
              </w:rPr>
              <w:t>☑</w:t>
            </w:r>
          </w:p>
        </w:tc>
        <w:tc>
          <w:tcPr>
            <w:tcW w:w="3300" w:type="dxa"/>
            <w:vAlign w:val="bottom"/>
          </w:tcPr>
          <w:p>
            <w:pPr>
              <w:jc w:val="center"/>
              <w:spacing w:after="0"/>
              <w:rPr>
                <w:sz w:val="20"/>
                <w:szCs w:val="20"/>
                <w:color w:val="auto"/>
              </w:rPr>
            </w:pPr>
            <w:r>
              <w:rPr>
                <w:rFonts w:ascii="Arial" w:cs="Arial" w:eastAsia="Arial" w:hAnsi="Arial"/>
                <w:sz w:val="11"/>
                <w:szCs w:val="11"/>
                <w:color w:val="auto"/>
                <w:w w:val="89"/>
              </w:rPr>
              <w:t>Accelerated Filer</w:t>
            </w:r>
          </w:p>
        </w:tc>
        <w:tc>
          <w:tcPr>
            <w:tcW w:w="1160" w:type="dxa"/>
            <w:vAlign w:val="bottom"/>
          </w:tcPr>
          <w:p>
            <w:pPr>
              <w:ind w:left="10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2"/>
        </w:trPr>
        <w:tc>
          <w:tcPr>
            <w:tcW w:w="2900" w:type="dxa"/>
            <w:vAlign w:val="bottom"/>
          </w:tcPr>
          <w:p>
            <w:pPr>
              <w:jc w:val="center"/>
              <w:ind w:right="826"/>
              <w:spacing w:after="0"/>
              <w:rPr>
                <w:sz w:val="20"/>
                <w:szCs w:val="20"/>
                <w:color w:val="auto"/>
              </w:rPr>
            </w:pPr>
            <w:r>
              <w:rPr>
                <w:rFonts w:ascii="Arial" w:cs="Arial" w:eastAsia="Arial" w:hAnsi="Arial"/>
                <w:sz w:val="11"/>
                <w:szCs w:val="11"/>
                <w:color w:val="auto"/>
                <w:w w:val="89"/>
              </w:rPr>
              <w:t>Non-accelerated Filer</w:t>
            </w:r>
          </w:p>
        </w:tc>
        <w:tc>
          <w:tcPr>
            <w:tcW w:w="2080" w:type="dxa"/>
            <w:vAlign w:val="bottom"/>
          </w:tcPr>
          <w:p>
            <w:pPr>
              <w:ind w:left="900"/>
              <w:spacing w:after="0" w:line="121" w:lineRule="exact"/>
              <w:rPr>
                <w:sz w:val="20"/>
                <w:szCs w:val="20"/>
                <w:color w:val="auto"/>
              </w:rPr>
            </w:pPr>
            <w:r>
              <w:rPr>
                <w:rFonts w:ascii="MS PGothic" w:cs="MS PGothic" w:eastAsia="MS PGothic" w:hAnsi="MS PGothic"/>
                <w:sz w:val="12"/>
                <w:szCs w:val="12"/>
                <w:color w:val="auto"/>
              </w:rPr>
              <w:t>☐</w:t>
            </w:r>
          </w:p>
        </w:tc>
        <w:tc>
          <w:tcPr>
            <w:tcW w:w="3300" w:type="dxa"/>
            <w:vAlign w:val="bottom"/>
          </w:tcPr>
          <w:p>
            <w:pPr>
              <w:jc w:val="center"/>
              <w:spacing w:after="0"/>
              <w:rPr>
                <w:sz w:val="20"/>
                <w:szCs w:val="20"/>
                <w:color w:val="auto"/>
              </w:rPr>
            </w:pPr>
            <w:r>
              <w:rPr>
                <w:rFonts w:ascii="Arial" w:cs="Arial" w:eastAsia="Arial" w:hAnsi="Arial"/>
                <w:sz w:val="11"/>
                <w:szCs w:val="11"/>
                <w:color w:val="auto"/>
                <w:w w:val="89"/>
              </w:rPr>
              <w:t>Smaller reporting company</w:t>
            </w:r>
          </w:p>
        </w:tc>
        <w:tc>
          <w:tcPr>
            <w:tcW w:w="1160" w:type="dxa"/>
            <w:vAlign w:val="bottom"/>
          </w:tcPr>
          <w:p>
            <w:pPr>
              <w:ind w:left="10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2900" w:type="dxa"/>
            <w:vAlign w:val="bottom"/>
          </w:tcPr>
          <w:p>
            <w:pPr>
              <w:jc w:val="center"/>
              <w:ind w:right="826"/>
              <w:spacing w:after="0"/>
              <w:rPr>
                <w:sz w:val="20"/>
                <w:szCs w:val="20"/>
                <w:color w:val="auto"/>
              </w:rPr>
            </w:pPr>
            <w:r>
              <w:rPr>
                <w:rFonts w:ascii="Arial" w:cs="Arial" w:eastAsia="Arial" w:hAnsi="Arial"/>
                <w:sz w:val="11"/>
                <w:szCs w:val="11"/>
                <w:color w:val="auto"/>
                <w:w w:val="91"/>
              </w:rPr>
              <w:t>(Do not check if a smaller reporting company)</w:t>
            </w:r>
          </w:p>
        </w:tc>
        <w:tc>
          <w:tcPr>
            <w:tcW w:w="208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Arial" w:cs="Arial" w:eastAsia="Arial" w:hAnsi="Arial"/>
                <w:sz w:val="11"/>
                <w:szCs w:val="11"/>
                <w:color w:val="auto"/>
                <w:w w:val="90"/>
              </w:rPr>
              <w:t>Emerging growth company</w:t>
            </w:r>
          </w:p>
        </w:tc>
        <w:tc>
          <w:tcPr>
            <w:tcW w:w="1160" w:type="dxa"/>
            <w:vAlign w:val="bottom"/>
          </w:tcPr>
          <w:p>
            <w:pPr>
              <w:ind w:left="10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9" w:lineRule="exact"/>
        <w:rPr>
          <w:sz w:val="24"/>
          <w:szCs w:val="24"/>
          <w:color w:val="auto"/>
        </w:rPr>
      </w:pPr>
    </w:p>
    <w:p>
      <w:pPr>
        <w:ind w:left="420"/>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2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Act.  </w:t>
      </w:r>
      <w:r>
        <w:rPr>
          <w:rFonts w:ascii="MS PGothic" w:cs="MS PGothic" w:eastAsia="MS PGothic" w:hAnsi="MS PGothic"/>
          <w:sz w:val="11"/>
          <w:szCs w:val="11"/>
          <w:color w:val="auto"/>
        </w:rPr>
        <w:t>☐</w:t>
      </w:r>
    </w:p>
    <w:p>
      <w:pPr>
        <w:spacing w:after="0" w:line="53" w:lineRule="exact"/>
        <w:rPr>
          <w:sz w:val="24"/>
          <w:szCs w:val="24"/>
          <w:color w:val="auto"/>
        </w:rPr>
      </w:pPr>
    </w:p>
    <w:p>
      <w:pPr>
        <w:ind w:left="420"/>
        <w:spacing w:after="0" w:line="127" w:lineRule="exact"/>
        <w:tabs>
          <w:tab w:leader="none" w:pos="560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0"/>
          <w:szCs w:val="10"/>
          <w:color w:val="auto"/>
        </w:rPr>
        <w:t>No</w:t>
      </w:r>
      <w:r>
        <w:rPr>
          <w:rFonts w:ascii="MS PGothic" w:cs="MS PGothic" w:eastAsia="MS PGothic" w:hAnsi="MS PGothic"/>
          <w:sz w:val="12"/>
          <w:szCs w:val="12"/>
          <w:color w:val="auto"/>
        </w:rPr>
        <w:t xml:space="preserve">  ☑</w:t>
      </w:r>
    </w:p>
    <w:p>
      <w:pPr>
        <w:spacing w:after="0" w:line="98" w:lineRule="exact"/>
        <w:rPr>
          <w:sz w:val="24"/>
          <w:szCs w:val="24"/>
          <w:color w:val="auto"/>
        </w:rPr>
      </w:pPr>
    </w:p>
    <w:p>
      <w:pPr>
        <w:ind w:left="420"/>
        <w:spacing w:after="0"/>
        <w:rPr>
          <w:sz w:val="20"/>
          <w:szCs w:val="20"/>
          <w:color w:val="auto"/>
        </w:rPr>
      </w:pPr>
      <w:r>
        <w:rPr>
          <w:rFonts w:ascii="Arial" w:cs="Arial" w:eastAsia="Arial" w:hAnsi="Arial"/>
          <w:sz w:val="11"/>
          <w:szCs w:val="11"/>
          <w:color w:val="auto"/>
        </w:rPr>
        <w:t>As of November 30, 2021, the number of shares of the registrant’s Class A common stock outstanding was 208,207,247, and the number of shares of the registrant’s Class B common stock outstanding was 21,132,067.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567690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26035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1"/>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2140" w:type="dxa"/>
            <w:vAlign w:val="bottom"/>
          </w:tcPr>
          <w:p>
            <w:pPr>
              <w:spacing w:after="0"/>
              <w:rPr>
                <w:sz w:val="12"/>
                <w:szCs w:val="12"/>
                <w:color w:val="auto"/>
              </w:rPr>
            </w:pPr>
          </w:p>
        </w:tc>
      </w:tr>
      <w:tr>
        <w:trPr>
          <w:trHeight w:val="547"/>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80" w:type="dxa"/>
            <w:vAlign w:val="bottom"/>
            <w:gridSpan w:val="9"/>
          </w:tcPr>
          <w:p>
            <w:pPr>
              <w:jc w:val="center"/>
              <w:ind w:right="2560"/>
              <w:spacing w:after="0"/>
              <w:rPr>
                <w:sz w:val="20"/>
                <w:szCs w:val="20"/>
                <w:color w:val="auto"/>
              </w:rPr>
            </w:pPr>
            <w:r>
              <w:rPr>
                <w:rFonts w:ascii="Arial" w:cs="Arial" w:eastAsia="Arial" w:hAnsi="Arial"/>
                <w:sz w:val="12"/>
                <w:szCs w:val="12"/>
                <w:b w:val="1"/>
                <w:bCs w:val="1"/>
                <w:color w:val="auto"/>
              </w:rPr>
              <w:t>CROWDSTRIKE HOLDINGS, INC.</w:t>
            </w:r>
          </w:p>
        </w:tc>
        <w:tc>
          <w:tcPr>
            <w:tcW w:w="2140" w:type="dxa"/>
            <w:vAlign w:val="bottom"/>
          </w:tcPr>
          <w:p>
            <w:pPr>
              <w:spacing w:after="0"/>
              <w:rPr>
                <w:sz w:val="24"/>
                <w:szCs w:val="24"/>
                <w:color w:val="auto"/>
              </w:rPr>
            </w:pPr>
          </w:p>
        </w:tc>
      </w:tr>
      <w:tr>
        <w:trPr>
          <w:trHeight w:val="333"/>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8"/>
          </w:tcPr>
          <w:p>
            <w:pPr>
              <w:jc w:val="center"/>
              <w:ind w:right="2660"/>
              <w:spacing w:after="0"/>
              <w:rPr>
                <w:sz w:val="20"/>
                <w:szCs w:val="20"/>
                <w:color w:val="auto"/>
              </w:rPr>
            </w:pPr>
            <w:r>
              <w:rPr>
                <w:rFonts w:ascii="Arial" w:cs="Arial" w:eastAsia="Arial" w:hAnsi="Arial"/>
                <w:sz w:val="12"/>
                <w:szCs w:val="12"/>
                <w:b w:val="1"/>
                <w:bCs w:val="1"/>
                <w:color w:val="auto"/>
                <w:w w:val="98"/>
              </w:rPr>
              <w:t>TABLE OF CONTENTS</w:t>
            </w:r>
          </w:p>
        </w:tc>
        <w:tc>
          <w:tcPr>
            <w:tcW w:w="2140" w:type="dxa"/>
            <w:vAlign w:val="bottom"/>
          </w:tcPr>
          <w:p>
            <w:pPr>
              <w:spacing w:after="0"/>
              <w:rPr>
                <w:sz w:val="24"/>
                <w:szCs w:val="24"/>
                <w:color w:val="auto"/>
              </w:rPr>
            </w:pPr>
          </w:p>
        </w:tc>
      </w:tr>
      <w:tr>
        <w:trPr>
          <w:trHeight w:val="136"/>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140" w:type="dxa"/>
            <w:vAlign w:val="bottom"/>
          </w:tcPr>
          <w:p>
            <w:pPr>
              <w:ind w:left="1460"/>
              <w:spacing w:after="0"/>
              <w:rPr>
                <w:sz w:val="20"/>
                <w:szCs w:val="20"/>
                <w:color w:val="auto"/>
              </w:rPr>
            </w:pPr>
            <w:r>
              <w:rPr>
                <w:rFonts w:ascii="Arial" w:cs="Arial" w:eastAsia="Arial" w:hAnsi="Arial"/>
                <w:sz w:val="10"/>
                <w:szCs w:val="10"/>
                <w:color w:val="auto"/>
              </w:rPr>
              <w:t>Page No.</w:t>
            </w:r>
          </w:p>
        </w:tc>
      </w:tr>
      <w:tr>
        <w:trPr>
          <w:trHeight w:val="134"/>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20" w:type="dxa"/>
            <w:vAlign w:val="bottom"/>
            <w:gridSpan w:val="10"/>
          </w:tcPr>
          <w:p>
            <w:pPr>
              <w:jc w:val="center"/>
              <w:ind w:right="1820"/>
              <w:spacing w:after="0" w:line="134" w:lineRule="exact"/>
              <w:rPr>
                <w:rFonts w:ascii="Arial" w:cs="Arial" w:eastAsia="Arial" w:hAnsi="Arial"/>
                <w:sz w:val="12"/>
                <w:szCs w:val="12"/>
                <w:color w:val="0000FF"/>
                <w:w w:val="98"/>
              </w:rPr>
            </w:pPr>
            <w:hyperlink w:anchor="page5">
              <w:r>
                <w:rPr>
                  <w:rFonts w:ascii="Arial" w:cs="Arial" w:eastAsia="Arial" w:hAnsi="Arial"/>
                  <w:sz w:val="12"/>
                  <w:szCs w:val="12"/>
                  <w:color w:val="0000FF"/>
                  <w:w w:val="98"/>
                </w:rPr>
                <w:t>PART I. FINANCIAL INFORMATION</w:t>
              </w:r>
            </w:hyperlink>
          </w:p>
        </w:tc>
        <w:tc>
          <w:tcPr>
            <w:tcW w:w="2140" w:type="dxa"/>
            <w:vAlign w:val="bottom"/>
          </w:tcPr>
          <w:p>
            <w:pPr>
              <w:spacing w:after="0"/>
              <w:rPr>
                <w:sz w:val="11"/>
                <w:szCs w:val="11"/>
                <w:color w:val="auto"/>
              </w:rPr>
            </w:pPr>
          </w:p>
        </w:tc>
      </w:tr>
      <w:tr>
        <w:trPr>
          <w:trHeight w:val="187"/>
        </w:trPr>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2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26"/>
        </w:trPr>
        <w:tc>
          <w:tcPr>
            <w:tcW w:w="980" w:type="dxa"/>
            <w:vAlign w:val="bottom"/>
            <w:gridSpan w:val="3"/>
            <w:shd w:val="clear" w:color="auto" w:fill="CCEEFF"/>
          </w:tcPr>
          <w:p>
            <w:pPr>
              <w:spacing w:after="0" w:line="126" w:lineRule="exact"/>
              <w:rPr>
                <w:rFonts w:ascii="Arial" w:cs="Arial" w:eastAsia="Arial" w:hAnsi="Arial"/>
                <w:sz w:val="12"/>
                <w:szCs w:val="12"/>
                <w:color w:val="0000FF"/>
              </w:rPr>
            </w:pPr>
            <w:hyperlink w:anchor="page6">
              <w:r>
                <w:rPr>
                  <w:rFonts w:ascii="Arial" w:cs="Arial" w:eastAsia="Arial" w:hAnsi="Arial"/>
                  <w:sz w:val="12"/>
                  <w:szCs w:val="12"/>
                  <w:color w:val="0000FF"/>
                </w:rPr>
                <w:t>Item 1.</w:t>
              </w:r>
            </w:hyperlink>
          </w:p>
        </w:tc>
        <w:tc>
          <w:tcPr>
            <w:tcW w:w="8180" w:type="dxa"/>
            <w:vAlign w:val="bottom"/>
            <w:gridSpan w:val="20"/>
            <w:shd w:val="clear" w:color="auto" w:fill="CCEEFF"/>
          </w:tcPr>
          <w:p>
            <w:pPr>
              <w:spacing w:after="0" w:line="126" w:lineRule="exact"/>
              <w:rPr>
                <w:rFonts w:ascii="Arial" w:cs="Arial" w:eastAsia="Arial" w:hAnsi="Arial"/>
                <w:sz w:val="12"/>
                <w:szCs w:val="12"/>
                <w:color w:val="0000FF"/>
              </w:rPr>
            </w:pPr>
            <w:hyperlink w:anchor="page6">
              <w:r>
                <w:rPr>
                  <w:rFonts w:ascii="Arial" w:cs="Arial" w:eastAsia="Arial" w:hAnsi="Arial"/>
                  <w:sz w:val="12"/>
                  <w:szCs w:val="12"/>
                  <w:color w:val="0000FF"/>
                </w:rPr>
                <w:t>Financial Statements (unaudited)</w:t>
              </w:r>
            </w:hyperlink>
          </w:p>
        </w:tc>
        <w:tc>
          <w:tcPr>
            <w:tcW w:w="2140" w:type="dxa"/>
            <w:vAlign w:val="bottom"/>
            <w:shd w:val="clear" w:color="auto" w:fill="CCEEFF"/>
          </w:tcPr>
          <w:p>
            <w:pPr>
              <w:spacing w:after="0"/>
              <w:rPr>
                <w:sz w:val="10"/>
                <w:szCs w:val="10"/>
                <w:color w:val="auto"/>
              </w:rPr>
            </w:pPr>
          </w:p>
        </w:tc>
      </w:tr>
      <w:tr>
        <w:trPr>
          <w:trHeight w:val="36"/>
        </w:trPr>
        <w:tc>
          <w:tcPr>
            <w:tcW w:w="34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r>
      <w:tr>
        <w:trPr>
          <w:trHeight w:val="126"/>
        </w:trPr>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180" w:type="dxa"/>
            <w:vAlign w:val="bottom"/>
            <w:gridSpan w:val="20"/>
          </w:tcPr>
          <w:p>
            <w:pPr>
              <w:spacing w:after="0" w:line="126" w:lineRule="exact"/>
              <w:rPr>
                <w:rFonts w:ascii="Arial" w:cs="Arial" w:eastAsia="Arial" w:hAnsi="Arial"/>
                <w:sz w:val="12"/>
                <w:szCs w:val="12"/>
                <w:color w:val="0000FF"/>
              </w:rPr>
            </w:pPr>
            <w:hyperlink w:anchor="page6">
              <w:r>
                <w:rPr>
                  <w:rFonts w:ascii="Arial" w:cs="Arial" w:eastAsia="Arial" w:hAnsi="Arial"/>
                  <w:sz w:val="12"/>
                  <w:szCs w:val="12"/>
                  <w:color w:val="0000FF"/>
                </w:rPr>
                <w:t>Condensed Consolidated Balance Sheets as of October 31, 2021 and January 31, 2021</w:t>
              </w:r>
            </w:hyperlink>
          </w:p>
        </w:tc>
        <w:tc>
          <w:tcPr>
            <w:tcW w:w="2140" w:type="dxa"/>
            <w:vAlign w:val="bottom"/>
          </w:tcPr>
          <w:p>
            <w:pPr>
              <w:jc w:val="center"/>
              <w:ind w:left="1101"/>
              <w:spacing w:after="0" w:line="126" w:lineRule="exact"/>
              <w:rPr>
                <w:rFonts w:ascii="Arial" w:cs="Arial" w:eastAsia="Arial" w:hAnsi="Arial"/>
                <w:sz w:val="12"/>
                <w:szCs w:val="12"/>
                <w:color w:val="auto"/>
                <w:w w:val="89"/>
              </w:rPr>
            </w:pPr>
            <w:hyperlink w:anchor="page6">
              <w:r>
                <w:rPr>
                  <w:rFonts w:ascii="Arial" w:cs="Arial" w:eastAsia="Arial" w:hAnsi="Arial"/>
                  <w:sz w:val="12"/>
                  <w:szCs w:val="12"/>
                  <w:color w:val="auto"/>
                  <w:w w:val="89"/>
                </w:rPr>
                <w:t>6</w:t>
              </w:r>
            </w:hyperlink>
          </w:p>
        </w:tc>
      </w:tr>
      <w:tr>
        <w:trPr>
          <w:trHeight w:val="28"/>
        </w:trPr>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50"/>
        </w:trPr>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240" w:type="dxa"/>
            <w:vAlign w:val="bottom"/>
            <w:tcBorders>
              <w:bottom w:val="single" w:sz="8" w:color="0000FF"/>
            </w:tcBorders>
            <w:gridSpan w:val="18"/>
            <w:shd w:val="clear" w:color="auto" w:fill="CCEEFF"/>
          </w:tcPr>
          <w:p>
            <w:pPr>
              <w:spacing w:after="0" w:line="134" w:lineRule="exact"/>
              <w:rPr>
                <w:rFonts w:ascii="Arial" w:cs="Arial" w:eastAsia="Arial" w:hAnsi="Arial"/>
                <w:sz w:val="12"/>
                <w:szCs w:val="12"/>
                <w:color w:val="0000FF"/>
                <w:w w:val="89"/>
              </w:rPr>
            </w:pPr>
            <w:hyperlink w:anchor="page6">
              <w:r>
                <w:rPr>
                  <w:rFonts w:ascii="Arial" w:cs="Arial" w:eastAsia="Arial" w:hAnsi="Arial"/>
                  <w:sz w:val="12"/>
                  <w:szCs w:val="12"/>
                  <w:color w:val="0000FF"/>
                  <w:w w:val="89"/>
                </w:rPr>
                <w:t>Condensed Consolidated Statements of Operations for the Three and Nine Months Ended October 31, 2021 and October 31, 2020</w:t>
              </w:r>
            </w:hyperlink>
          </w:p>
        </w:tc>
        <w:tc>
          <w:tcPr>
            <w:tcW w:w="1940" w:type="dxa"/>
            <w:vAlign w:val="bottom"/>
            <w:tcBorders>
              <w:bottom w:val="single" w:sz="8" w:color="CCEEFF"/>
            </w:tcBorders>
            <w:gridSpan w:val="2"/>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jc w:val="center"/>
              <w:ind w:left="1101"/>
              <w:spacing w:after="0" w:line="134" w:lineRule="exact"/>
              <w:rPr>
                <w:rFonts w:ascii="Arial" w:cs="Arial" w:eastAsia="Arial" w:hAnsi="Arial"/>
                <w:sz w:val="12"/>
                <w:szCs w:val="12"/>
                <w:color w:val="auto"/>
                <w:w w:val="89"/>
              </w:rPr>
            </w:pPr>
            <w:hyperlink w:anchor="page6">
              <w:r>
                <w:rPr>
                  <w:rFonts w:ascii="Arial" w:cs="Arial" w:eastAsia="Arial" w:hAnsi="Arial"/>
                  <w:sz w:val="12"/>
                  <w:szCs w:val="12"/>
                  <w:color w:val="auto"/>
                  <w:w w:val="89"/>
                </w:rPr>
                <w:t>7</w:t>
              </w:r>
            </w:hyperlink>
          </w:p>
        </w:tc>
      </w:tr>
      <w:tr>
        <w:trPr>
          <w:trHeight w:val="134"/>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720" w:type="dxa"/>
            <w:vAlign w:val="bottom"/>
            <w:tcBorders>
              <w:bottom w:val="single" w:sz="8" w:color="0000FF"/>
            </w:tcBorders>
            <w:gridSpan w:val="19"/>
          </w:tcPr>
          <w:p>
            <w:pPr>
              <w:spacing w:after="0" w:line="126" w:lineRule="exact"/>
              <w:rPr>
                <w:rFonts w:ascii="Arial" w:cs="Arial" w:eastAsia="Arial" w:hAnsi="Arial"/>
                <w:sz w:val="12"/>
                <w:szCs w:val="12"/>
                <w:color w:val="0000FF"/>
                <w:w w:val="89"/>
              </w:rPr>
            </w:pPr>
            <w:hyperlink w:anchor="page7">
              <w:r>
                <w:rPr>
                  <w:rFonts w:ascii="Arial" w:cs="Arial" w:eastAsia="Arial" w:hAnsi="Arial"/>
                  <w:sz w:val="12"/>
                  <w:szCs w:val="12"/>
                  <w:color w:val="0000FF"/>
                  <w:w w:val="89"/>
                </w:rPr>
                <w:t>Condensed Consolidated Statements of Comprehensive Loss for the Three and Nine Months Ended October 31, 2021 and October 31, 2020</w:t>
              </w:r>
            </w:hyperlink>
          </w:p>
        </w:tc>
        <w:tc>
          <w:tcPr>
            <w:tcW w:w="1460" w:type="dxa"/>
            <w:vAlign w:val="bottom"/>
          </w:tcPr>
          <w:p>
            <w:pPr>
              <w:spacing w:after="0"/>
              <w:rPr>
                <w:sz w:val="11"/>
                <w:szCs w:val="11"/>
                <w:color w:val="auto"/>
              </w:rPr>
            </w:pPr>
          </w:p>
        </w:tc>
        <w:tc>
          <w:tcPr>
            <w:tcW w:w="2140" w:type="dxa"/>
            <w:vAlign w:val="bottom"/>
          </w:tcPr>
          <w:p>
            <w:pPr>
              <w:jc w:val="center"/>
              <w:ind w:left="1101"/>
              <w:spacing w:after="0" w:line="126" w:lineRule="exact"/>
              <w:rPr>
                <w:rFonts w:ascii="Arial" w:cs="Arial" w:eastAsia="Arial" w:hAnsi="Arial"/>
                <w:sz w:val="12"/>
                <w:szCs w:val="12"/>
                <w:color w:val="auto"/>
                <w:w w:val="89"/>
              </w:rPr>
            </w:pPr>
            <w:hyperlink w:anchor="page7">
              <w:r>
                <w:rPr>
                  <w:rFonts w:ascii="Arial" w:cs="Arial" w:eastAsia="Arial" w:hAnsi="Arial"/>
                  <w:sz w:val="12"/>
                  <w:szCs w:val="12"/>
                  <w:color w:val="auto"/>
                  <w:w w:val="89"/>
                </w:rPr>
                <w:t>8</w:t>
              </w:r>
            </w:hyperlink>
          </w:p>
        </w:tc>
      </w:tr>
      <w:tr>
        <w:trPr>
          <w:trHeight w:val="150"/>
        </w:trPr>
        <w:tc>
          <w:tcPr>
            <w:tcW w:w="3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180" w:type="dxa"/>
            <w:vAlign w:val="bottom"/>
            <w:gridSpan w:val="20"/>
            <w:shd w:val="clear" w:color="auto" w:fill="CCEEFF"/>
          </w:tcPr>
          <w:p>
            <w:pPr>
              <w:spacing w:after="0" w:line="114" w:lineRule="exact"/>
              <w:rPr>
                <w:rFonts w:ascii="Arial" w:cs="Arial" w:eastAsia="Arial" w:hAnsi="Arial"/>
                <w:sz w:val="12"/>
                <w:szCs w:val="12"/>
                <w:color w:val="0000FF"/>
              </w:rPr>
            </w:pPr>
            <w:hyperlink w:anchor="page8">
              <w:r>
                <w:rPr>
                  <w:rFonts w:ascii="Arial" w:cs="Arial" w:eastAsia="Arial" w:hAnsi="Arial"/>
                  <w:sz w:val="12"/>
                  <w:szCs w:val="12"/>
                  <w:color w:val="0000FF"/>
                </w:rPr>
                <w:t>Condensed Consolidated Statements of Stockholders’ Equity for the Three and Nine Months Ended October 31, 2021 and October 31, 2020</w:t>
              </w:r>
            </w:hyperlink>
          </w:p>
        </w:tc>
        <w:tc>
          <w:tcPr>
            <w:tcW w:w="2140" w:type="dxa"/>
            <w:vAlign w:val="bottom"/>
            <w:shd w:val="clear" w:color="auto" w:fill="CCEEFF"/>
          </w:tcPr>
          <w:p>
            <w:pPr>
              <w:jc w:val="center"/>
              <w:ind w:left="1101"/>
              <w:spacing w:after="0" w:line="114" w:lineRule="exact"/>
              <w:rPr>
                <w:rFonts w:ascii="Arial" w:cs="Arial" w:eastAsia="Arial" w:hAnsi="Arial"/>
                <w:sz w:val="12"/>
                <w:szCs w:val="12"/>
                <w:color w:val="auto"/>
                <w:w w:val="89"/>
              </w:rPr>
            </w:pPr>
            <w:hyperlink w:anchor="page8">
              <w:r>
                <w:rPr>
                  <w:rFonts w:ascii="Arial" w:cs="Arial" w:eastAsia="Arial" w:hAnsi="Arial"/>
                  <w:sz w:val="12"/>
                  <w:szCs w:val="12"/>
                  <w:color w:val="auto"/>
                  <w:w w:val="89"/>
                </w:rPr>
                <w:t>9</w:t>
              </w:r>
            </w:hyperlink>
          </w:p>
        </w:tc>
      </w:tr>
      <w:tr>
        <w:trPr>
          <w:trHeight w:val="134"/>
        </w:trPr>
        <w:tc>
          <w:tcPr>
            <w:tcW w:w="3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5760" w:type="dxa"/>
            <w:vAlign w:val="bottom"/>
            <w:tcBorders>
              <w:top w:val="single" w:sz="8" w:color="0000FF"/>
              <w:bottom w:val="single" w:sz="8" w:color="0000FF"/>
            </w:tcBorders>
            <w:gridSpan w:val="17"/>
          </w:tcPr>
          <w:p>
            <w:pPr>
              <w:spacing w:after="0" w:line="126" w:lineRule="exact"/>
              <w:rPr>
                <w:rFonts w:ascii="Arial" w:cs="Arial" w:eastAsia="Arial" w:hAnsi="Arial"/>
                <w:sz w:val="12"/>
                <w:szCs w:val="12"/>
                <w:color w:val="0000FF"/>
                <w:w w:val="89"/>
              </w:rPr>
            </w:pPr>
            <w:hyperlink w:anchor="page10">
              <w:r>
                <w:rPr>
                  <w:rFonts w:ascii="Arial" w:cs="Arial" w:eastAsia="Arial" w:hAnsi="Arial"/>
                  <w:sz w:val="12"/>
                  <w:szCs w:val="12"/>
                  <w:color w:val="0000FF"/>
                  <w:w w:val="89"/>
                </w:rPr>
                <w:t>Condensed Consolidated Statements of Cash Flows for the Nine Months Ended October 31, 2021 and October 31, 2020</w:t>
              </w:r>
            </w:hyperlink>
          </w:p>
        </w:tc>
        <w:tc>
          <w:tcPr>
            <w:tcW w:w="960" w:type="dxa"/>
            <w:vAlign w:val="bottom"/>
            <w:tcBorders>
              <w:top w:val="single" w:sz="8" w:color="0000FF"/>
            </w:tcBorders>
            <w:gridSpan w:val="2"/>
          </w:tcPr>
          <w:p>
            <w:pPr>
              <w:spacing w:after="0"/>
              <w:rPr>
                <w:sz w:val="11"/>
                <w:szCs w:val="11"/>
                <w:color w:val="auto"/>
              </w:rPr>
            </w:pPr>
          </w:p>
        </w:tc>
        <w:tc>
          <w:tcPr>
            <w:tcW w:w="1460" w:type="dxa"/>
            <w:vAlign w:val="bottom"/>
            <w:tcBorders>
              <w:top w:val="single" w:sz="8" w:color="CCEEFF"/>
            </w:tcBorders>
          </w:tcPr>
          <w:p>
            <w:pPr>
              <w:spacing w:after="0"/>
              <w:rPr>
                <w:sz w:val="11"/>
                <w:szCs w:val="11"/>
                <w:color w:val="auto"/>
              </w:rPr>
            </w:pPr>
          </w:p>
        </w:tc>
        <w:tc>
          <w:tcPr>
            <w:tcW w:w="2140" w:type="dxa"/>
            <w:vAlign w:val="bottom"/>
            <w:tcBorders>
              <w:top w:val="single" w:sz="8" w:color="CCEEFF"/>
            </w:tcBorders>
          </w:tcPr>
          <w:p>
            <w:pPr>
              <w:jc w:val="center"/>
              <w:ind w:left="1081"/>
              <w:spacing w:after="0" w:line="126" w:lineRule="exact"/>
              <w:rPr>
                <w:rFonts w:ascii="Arial" w:cs="Arial" w:eastAsia="Arial" w:hAnsi="Arial"/>
                <w:sz w:val="12"/>
                <w:szCs w:val="12"/>
                <w:color w:val="auto"/>
                <w:w w:val="89"/>
              </w:rPr>
            </w:pPr>
            <w:hyperlink w:anchor="page10">
              <w:r>
                <w:rPr>
                  <w:rFonts w:ascii="Arial" w:cs="Arial" w:eastAsia="Arial" w:hAnsi="Arial"/>
                  <w:sz w:val="12"/>
                  <w:szCs w:val="12"/>
                  <w:color w:val="auto"/>
                  <w:w w:val="89"/>
                </w:rPr>
                <w:t>11</w:t>
              </w:r>
            </w:hyperlink>
          </w:p>
        </w:tc>
      </w:tr>
      <w:tr>
        <w:trPr>
          <w:trHeight w:val="134"/>
        </w:trPr>
        <w:tc>
          <w:tcPr>
            <w:tcW w:w="3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180" w:type="dxa"/>
            <w:vAlign w:val="bottom"/>
            <w:gridSpan w:val="20"/>
            <w:shd w:val="clear" w:color="auto" w:fill="CCEEFF"/>
          </w:tcPr>
          <w:p>
            <w:pPr>
              <w:spacing w:after="0" w:line="134" w:lineRule="exact"/>
              <w:rPr>
                <w:rFonts w:ascii="Arial" w:cs="Arial" w:eastAsia="Arial" w:hAnsi="Arial"/>
                <w:sz w:val="12"/>
                <w:szCs w:val="12"/>
                <w:color w:val="0000FF"/>
              </w:rPr>
            </w:pPr>
            <w:hyperlink w:anchor="page11">
              <w:r>
                <w:rPr>
                  <w:rFonts w:ascii="Arial" w:cs="Arial" w:eastAsia="Arial" w:hAnsi="Arial"/>
                  <w:sz w:val="12"/>
                  <w:szCs w:val="12"/>
                  <w:color w:val="0000FF"/>
                </w:rPr>
                <w:t>Notes to Condensed Consolidated Financial Statements</w:t>
              </w:r>
            </w:hyperlink>
          </w:p>
        </w:tc>
        <w:tc>
          <w:tcPr>
            <w:tcW w:w="2140" w:type="dxa"/>
            <w:vAlign w:val="bottom"/>
            <w:shd w:val="clear" w:color="auto" w:fill="CCEEFF"/>
          </w:tcPr>
          <w:p>
            <w:pPr>
              <w:jc w:val="center"/>
              <w:ind w:left="1081"/>
              <w:spacing w:after="0" w:line="134" w:lineRule="exact"/>
              <w:rPr>
                <w:rFonts w:ascii="Arial" w:cs="Arial" w:eastAsia="Arial" w:hAnsi="Arial"/>
                <w:sz w:val="12"/>
                <w:szCs w:val="12"/>
                <w:color w:val="auto"/>
                <w:w w:val="89"/>
              </w:rPr>
            </w:pPr>
            <w:hyperlink w:anchor="page11">
              <w:r>
                <w:rPr>
                  <w:rFonts w:ascii="Arial" w:cs="Arial" w:eastAsia="Arial" w:hAnsi="Arial"/>
                  <w:sz w:val="12"/>
                  <w:szCs w:val="12"/>
                  <w:color w:val="auto"/>
                  <w:w w:val="89"/>
                </w:rPr>
                <w:t>12</w:t>
              </w:r>
            </w:hyperlink>
          </w:p>
        </w:tc>
      </w:tr>
      <w:tr>
        <w:trPr>
          <w:trHeight w:val="36"/>
        </w:trPr>
        <w:tc>
          <w:tcPr>
            <w:tcW w:w="3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r>
      <w:tr>
        <w:trPr>
          <w:trHeight w:val="126"/>
        </w:trPr>
        <w:tc>
          <w:tcPr>
            <w:tcW w:w="980" w:type="dxa"/>
            <w:vAlign w:val="bottom"/>
            <w:gridSpan w:val="3"/>
          </w:tcPr>
          <w:p>
            <w:pPr>
              <w:spacing w:after="0" w:line="126" w:lineRule="exact"/>
              <w:rPr>
                <w:rFonts w:ascii="Arial" w:cs="Arial" w:eastAsia="Arial" w:hAnsi="Arial"/>
                <w:sz w:val="12"/>
                <w:szCs w:val="12"/>
                <w:color w:val="0000FF"/>
              </w:rPr>
            </w:pPr>
            <w:hyperlink w:anchor="page31">
              <w:r>
                <w:rPr>
                  <w:rFonts w:ascii="Arial" w:cs="Arial" w:eastAsia="Arial" w:hAnsi="Arial"/>
                  <w:sz w:val="12"/>
                  <w:szCs w:val="12"/>
                  <w:color w:val="0000FF"/>
                </w:rPr>
                <w:t>Item 2.</w:t>
              </w:r>
            </w:hyperlink>
          </w:p>
        </w:tc>
        <w:tc>
          <w:tcPr>
            <w:tcW w:w="8180" w:type="dxa"/>
            <w:vAlign w:val="bottom"/>
            <w:gridSpan w:val="20"/>
          </w:tcPr>
          <w:p>
            <w:pPr>
              <w:spacing w:after="0" w:line="126" w:lineRule="exact"/>
              <w:rPr>
                <w:rFonts w:ascii="Arial" w:cs="Arial" w:eastAsia="Arial" w:hAnsi="Arial"/>
                <w:sz w:val="12"/>
                <w:szCs w:val="12"/>
                <w:color w:val="0000FF"/>
              </w:rPr>
            </w:pPr>
            <w:hyperlink w:anchor="page31">
              <w:r>
                <w:rPr>
                  <w:rFonts w:ascii="Arial" w:cs="Arial" w:eastAsia="Arial" w:hAnsi="Arial"/>
                  <w:sz w:val="12"/>
                  <w:szCs w:val="12"/>
                  <w:color w:val="0000FF"/>
                </w:rPr>
                <w:t>Management’s Discussion and Analysis of Financial Condition and Results of Operations</w:t>
              </w:r>
            </w:hyperlink>
          </w:p>
        </w:tc>
        <w:tc>
          <w:tcPr>
            <w:tcW w:w="2140" w:type="dxa"/>
            <w:vAlign w:val="bottom"/>
          </w:tcPr>
          <w:p>
            <w:pPr>
              <w:jc w:val="center"/>
              <w:ind w:left="1081"/>
              <w:spacing w:after="0" w:line="126" w:lineRule="exact"/>
              <w:rPr>
                <w:rFonts w:ascii="Arial" w:cs="Arial" w:eastAsia="Arial" w:hAnsi="Arial"/>
                <w:sz w:val="12"/>
                <w:szCs w:val="12"/>
                <w:color w:val="auto"/>
                <w:w w:val="89"/>
              </w:rPr>
            </w:pPr>
            <w:hyperlink w:anchor="page31">
              <w:r>
                <w:rPr>
                  <w:rFonts w:ascii="Arial" w:cs="Arial" w:eastAsia="Arial" w:hAnsi="Arial"/>
                  <w:sz w:val="12"/>
                  <w:szCs w:val="12"/>
                  <w:color w:val="auto"/>
                  <w:w w:val="89"/>
                </w:rPr>
                <w:t>31</w:t>
              </w:r>
            </w:hyperlink>
          </w:p>
        </w:tc>
      </w:tr>
      <w:tr>
        <w:trPr>
          <w:trHeight w:val="28"/>
        </w:trPr>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34"/>
        </w:trPr>
        <w:tc>
          <w:tcPr>
            <w:tcW w:w="980" w:type="dxa"/>
            <w:vAlign w:val="bottom"/>
            <w:gridSpan w:val="3"/>
            <w:shd w:val="clear" w:color="auto" w:fill="CCEEFF"/>
          </w:tcPr>
          <w:p>
            <w:pPr>
              <w:spacing w:after="0" w:line="134" w:lineRule="exact"/>
              <w:rPr>
                <w:rFonts w:ascii="Arial" w:cs="Arial" w:eastAsia="Arial" w:hAnsi="Arial"/>
                <w:sz w:val="12"/>
                <w:szCs w:val="12"/>
                <w:color w:val="0000FF"/>
              </w:rPr>
            </w:pPr>
            <w:hyperlink w:anchor="page52">
              <w:r>
                <w:rPr>
                  <w:rFonts w:ascii="Arial" w:cs="Arial" w:eastAsia="Arial" w:hAnsi="Arial"/>
                  <w:sz w:val="12"/>
                  <w:szCs w:val="12"/>
                  <w:color w:val="0000FF"/>
                </w:rPr>
                <w:t>Item 3.</w:t>
              </w:r>
            </w:hyperlink>
          </w:p>
        </w:tc>
        <w:tc>
          <w:tcPr>
            <w:tcW w:w="8180" w:type="dxa"/>
            <w:vAlign w:val="bottom"/>
            <w:gridSpan w:val="20"/>
            <w:shd w:val="clear" w:color="auto" w:fill="CCEEFF"/>
          </w:tcPr>
          <w:p>
            <w:pPr>
              <w:spacing w:after="0" w:line="134" w:lineRule="exact"/>
              <w:rPr>
                <w:rFonts w:ascii="Arial" w:cs="Arial" w:eastAsia="Arial" w:hAnsi="Arial"/>
                <w:sz w:val="12"/>
                <w:szCs w:val="12"/>
                <w:color w:val="0000FF"/>
              </w:rPr>
            </w:pPr>
            <w:hyperlink w:anchor="page52">
              <w:r>
                <w:rPr>
                  <w:rFonts w:ascii="Arial" w:cs="Arial" w:eastAsia="Arial" w:hAnsi="Arial"/>
                  <w:sz w:val="12"/>
                  <w:szCs w:val="12"/>
                  <w:color w:val="0000FF"/>
                </w:rPr>
                <w:t>Quantitative and Qualitative Disclosures about Market Risk</w:t>
              </w:r>
            </w:hyperlink>
          </w:p>
        </w:tc>
        <w:tc>
          <w:tcPr>
            <w:tcW w:w="2140" w:type="dxa"/>
            <w:vAlign w:val="bottom"/>
            <w:shd w:val="clear" w:color="auto" w:fill="CCEEFF"/>
          </w:tcPr>
          <w:p>
            <w:pPr>
              <w:jc w:val="center"/>
              <w:ind w:left="1081"/>
              <w:spacing w:after="0" w:line="134" w:lineRule="exact"/>
              <w:rPr>
                <w:rFonts w:ascii="Arial" w:cs="Arial" w:eastAsia="Arial" w:hAnsi="Arial"/>
                <w:sz w:val="12"/>
                <w:szCs w:val="12"/>
                <w:color w:val="auto"/>
                <w:w w:val="89"/>
              </w:rPr>
            </w:pPr>
            <w:hyperlink w:anchor="page52">
              <w:r>
                <w:rPr>
                  <w:rFonts w:ascii="Arial" w:cs="Arial" w:eastAsia="Arial" w:hAnsi="Arial"/>
                  <w:sz w:val="12"/>
                  <w:szCs w:val="12"/>
                  <w:color w:val="auto"/>
                  <w:w w:val="89"/>
                </w:rPr>
                <w:t>52</w:t>
              </w:r>
            </w:hyperlink>
          </w:p>
        </w:tc>
      </w:tr>
      <w:tr>
        <w:trPr>
          <w:trHeight w:val="36"/>
        </w:trPr>
        <w:tc>
          <w:tcPr>
            <w:tcW w:w="34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r>
      <w:tr>
        <w:trPr>
          <w:trHeight w:val="134"/>
        </w:trPr>
        <w:tc>
          <w:tcPr>
            <w:tcW w:w="980" w:type="dxa"/>
            <w:vAlign w:val="bottom"/>
            <w:gridSpan w:val="3"/>
          </w:tcPr>
          <w:p>
            <w:pPr>
              <w:spacing w:after="0" w:line="126" w:lineRule="exact"/>
              <w:rPr>
                <w:rFonts w:ascii="Arial" w:cs="Arial" w:eastAsia="Arial" w:hAnsi="Arial"/>
                <w:sz w:val="12"/>
                <w:szCs w:val="12"/>
                <w:color w:val="0000FF"/>
              </w:rPr>
            </w:pPr>
            <w:hyperlink w:anchor="page52">
              <w:r>
                <w:rPr>
                  <w:rFonts w:ascii="Arial" w:cs="Arial" w:eastAsia="Arial" w:hAnsi="Arial"/>
                  <w:sz w:val="12"/>
                  <w:szCs w:val="12"/>
                  <w:color w:val="0000FF"/>
                </w:rPr>
                <w:t>Item 4.</w:t>
              </w:r>
            </w:hyperlink>
          </w:p>
        </w:tc>
        <w:tc>
          <w:tcPr>
            <w:tcW w:w="8180" w:type="dxa"/>
            <w:vAlign w:val="bottom"/>
            <w:gridSpan w:val="20"/>
          </w:tcPr>
          <w:p>
            <w:pPr>
              <w:spacing w:after="0" w:line="126" w:lineRule="exact"/>
              <w:rPr>
                <w:rFonts w:ascii="Arial" w:cs="Arial" w:eastAsia="Arial" w:hAnsi="Arial"/>
                <w:sz w:val="12"/>
                <w:szCs w:val="12"/>
                <w:color w:val="0000FF"/>
              </w:rPr>
            </w:pPr>
            <w:hyperlink w:anchor="page52">
              <w:r>
                <w:rPr>
                  <w:rFonts w:ascii="Arial" w:cs="Arial" w:eastAsia="Arial" w:hAnsi="Arial"/>
                  <w:sz w:val="12"/>
                  <w:szCs w:val="12"/>
                  <w:color w:val="0000FF"/>
                </w:rPr>
                <w:t>Controls and Procedures</w:t>
              </w:r>
            </w:hyperlink>
          </w:p>
        </w:tc>
        <w:tc>
          <w:tcPr>
            <w:tcW w:w="2140" w:type="dxa"/>
            <w:vAlign w:val="bottom"/>
          </w:tcPr>
          <w:p>
            <w:pPr>
              <w:jc w:val="center"/>
              <w:ind w:left="1081"/>
              <w:spacing w:after="0" w:line="126" w:lineRule="exact"/>
              <w:rPr>
                <w:rFonts w:ascii="Arial" w:cs="Arial" w:eastAsia="Arial" w:hAnsi="Arial"/>
                <w:sz w:val="12"/>
                <w:szCs w:val="12"/>
                <w:color w:val="auto"/>
                <w:w w:val="89"/>
              </w:rPr>
            </w:pPr>
            <w:hyperlink w:anchor="page52">
              <w:r>
                <w:rPr>
                  <w:rFonts w:ascii="Arial" w:cs="Arial" w:eastAsia="Arial" w:hAnsi="Arial"/>
                  <w:sz w:val="12"/>
                  <w:szCs w:val="12"/>
                  <w:color w:val="auto"/>
                  <w:w w:val="89"/>
                </w:rPr>
                <w:t>52</w:t>
              </w:r>
            </w:hyperlink>
          </w:p>
        </w:tc>
      </w:tr>
      <w:tr>
        <w:trPr>
          <w:trHeight w:val="179"/>
        </w:trPr>
        <w:tc>
          <w:tcPr>
            <w:tcW w:w="340" w:type="dxa"/>
            <w:vAlign w:val="bottom"/>
            <w:tcBorders>
              <w:top w:val="single" w:sz="8" w:color="0000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right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r>
      <w:tr>
        <w:trPr>
          <w:trHeight w:val="134"/>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80" w:type="dxa"/>
            <w:vAlign w:val="bottom"/>
            <w:gridSpan w:val="9"/>
          </w:tcPr>
          <w:p>
            <w:pPr>
              <w:jc w:val="center"/>
              <w:ind w:right="2560"/>
              <w:spacing w:after="0" w:line="126" w:lineRule="exact"/>
              <w:rPr>
                <w:rFonts w:ascii="Arial" w:cs="Arial" w:eastAsia="Arial" w:hAnsi="Arial"/>
                <w:sz w:val="12"/>
                <w:szCs w:val="12"/>
                <w:color w:val="0000FF"/>
                <w:w w:val="96"/>
              </w:rPr>
            </w:pPr>
            <w:hyperlink w:anchor="page53">
              <w:r>
                <w:rPr>
                  <w:rFonts w:ascii="Arial" w:cs="Arial" w:eastAsia="Arial" w:hAnsi="Arial"/>
                  <w:sz w:val="12"/>
                  <w:szCs w:val="12"/>
                  <w:color w:val="0000FF"/>
                  <w:w w:val="96"/>
                </w:rPr>
                <w:t>PART II. OTHER INFORMATION</w:t>
              </w:r>
            </w:hyperlink>
          </w:p>
        </w:tc>
        <w:tc>
          <w:tcPr>
            <w:tcW w:w="2140" w:type="dxa"/>
            <w:vAlign w:val="bottom"/>
          </w:tcPr>
          <w:p>
            <w:pPr>
              <w:spacing w:after="0"/>
              <w:rPr>
                <w:sz w:val="11"/>
                <w:szCs w:val="11"/>
                <w:color w:val="auto"/>
              </w:rPr>
            </w:pPr>
          </w:p>
        </w:tc>
      </w:tr>
      <w:tr>
        <w:trPr>
          <w:trHeight w:val="179"/>
        </w:trPr>
        <w:tc>
          <w:tcPr>
            <w:tcW w:w="3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1220" w:type="dxa"/>
            <w:vAlign w:val="bottom"/>
            <w:tcBorders>
              <w:top w:val="single" w:sz="8" w:color="0000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r>
      <w:tr>
        <w:trPr>
          <w:trHeight w:val="126"/>
        </w:trPr>
        <w:tc>
          <w:tcPr>
            <w:tcW w:w="980" w:type="dxa"/>
            <w:vAlign w:val="bottom"/>
            <w:gridSpan w:val="3"/>
          </w:tcPr>
          <w:p>
            <w:pPr>
              <w:spacing w:after="0" w:line="126" w:lineRule="exact"/>
              <w:rPr>
                <w:rFonts w:ascii="Arial" w:cs="Arial" w:eastAsia="Arial" w:hAnsi="Arial"/>
                <w:sz w:val="12"/>
                <w:szCs w:val="12"/>
                <w:color w:val="0000FF"/>
              </w:rPr>
            </w:pPr>
            <w:hyperlink w:anchor="page53">
              <w:r>
                <w:rPr>
                  <w:rFonts w:ascii="Arial" w:cs="Arial" w:eastAsia="Arial" w:hAnsi="Arial"/>
                  <w:sz w:val="12"/>
                  <w:szCs w:val="12"/>
                  <w:color w:val="0000FF"/>
                </w:rPr>
                <w:t>Item 1.</w:t>
              </w:r>
            </w:hyperlink>
          </w:p>
        </w:tc>
        <w:tc>
          <w:tcPr>
            <w:tcW w:w="8180" w:type="dxa"/>
            <w:vAlign w:val="bottom"/>
            <w:gridSpan w:val="20"/>
          </w:tcPr>
          <w:p>
            <w:pPr>
              <w:spacing w:after="0" w:line="126" w:lineRule="exact"/>
              <w:rPr>
                <w:rFonts w:ascii="Arial" w:cs="Arial" w:eastAsia="Arial" w:hAnsi="Arial"/>
                <w:sz w:val="12"/>
                <w:szCs w:val="12"/>
                <w:color w:val="0000FF"/>
              </w:rPr>
            </w:pPr>
            <w:hyperlink w:anchor="page53">
              <w:r>
                <w:rPr>
                  <w:rFonts w:ascii="Arial" w:cs="Arial" w:eastAsia="Arial" w:hAnsi="Arial"/>
                  <w:sz w:val="12"/>
                  <w:szCs w:val="12"/>
                  <w:color w:val="0000FF"/>
                </w:rPr>
                <w:t>Legal Proceedings</w:t>
              </w:r>
            </w:hyperlink>
          </w:p>
        </w:tc>
        <w:tc>
          <w:tcPr>
            <w:tcW w:w="2140" w:type="dxa"/>
            <w:vAlign w:val="bottom"/>
          </w:tcPr>
          <w:p>
            <w:pPr>
              <w:jc w:val="center"/>
              <w:ind w:left="1081"/>
              <w:spacing w:after="0" w:line="126" w:lineRule="exact"/>
              <w:rPr>
                <w:rFonts w:ascii="Arial" w:cs="Arial" w:eastAsia="Arial" w:hAnsi="Arial"/>
                <w:sz w:val="12"/>
                <w:szCs w:val="12"/>
                <w:color w:val="auto"/>
                <w:w w:val="89"/>
              </w:rPr>
            </w:pPr>
            <w:hyperlink w:anchor="page53">
              <w:r>
                <w:rPr>
                  <w:rFonts w:ascii="Arial" w:cs="Arial" w:eastAsia="Arial" w:hAnsi="Arial"/>
                  <w:sz w:val="12"/>
                  <w:szCs w:val="12"/>
                  <w:color w:val="auto"/>
                  <w:w w:val="89"/>
                </w:rPr>
                <w:t>53</w:t>
              </w:r>
            </w:hyperlink>
          </w:p>
        </w:tc>
      </w:tr>
      <w:tr>
        <w:trPr>
          <w:trHeight w:val="28"/>
        </w:trPr>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34"/>
        </w:trPr>
        <w:tc>
          <w:tcPr>
            <w:tcW w:w="440" w:type="dxa"/>
            <w:vAlign w:val="bottom"/>
            <w:tcBorders>
              <w:right w:val="single" w:sz="8" w:color="CCEEFF"/>
            </w:tcBorders>
            <w:gridSpan w:val="2"/>
            <w:shd w:val="clear" w:color="auto" w:fill="CCEEFF"/>
          </w:tcPr>
          <w:p>
            <w:pPr>
              <w:spacing w:after="0" w:line="134" w:lineRule="exact"/>
              <w:rPr>
                <w:rFonts w:ascii="Arial" w:cs="Arial" w:eastAsia="Arial" w:hAnsi="Arial"/>
                <w:sz w:val="12"/>
                <w:szCs w:val="12"/>
                <w:color w:val="0000FF"/>
                <w:w w:val="89"/>
              </w:rPr>
            </w:pPr>
            <w:hyperlink w:anchor="page53">
              <w:r>
                <w:rPr>
                  <w:rFonts w:ascii="Arial" w:cs="Arial" w:eastAsia="Arial" w:hAnsi="Arial"/>
                  <w:sz w:val="12"/>
                  <w:szCs w:val="12"/>
                  <w:color w:val="0000FF"/>
                  <w:w w:val="89"/>
                </w:rPr>
                <w:t>Item 1A.</w:t>
              </w:r>
            </w:hyperlink>
          </w:p>
        </w:tc>
        <w:tc>
          <w:tcPr>
            <w:tcW w:w="540" w:type="dxa"/>
            <w:vAlign w:val="bottom"/>
            <w:shd w:val="clear" w:color="auto" w:fill="CCEEFF"/>
          </w:tcPr>
          <w:p>
            <w:pPr>
              <w:spacing w:after="0"/>
              <w:rPr>
                <w:sz w:val="11"/>
                <w:szCs w:val="11"/>
                <w:color w:val="auto"/>
              </w:rPr>
            </w:pPr>
          </w:p>
        </w:tc>
        <w:tc>
          <w:tcPr>
            <w:tcW w:w="8180" w:type="dxa"/>
            <w:vAlign w:val="bottom"/>
            <w:gridSpan w:val="20"/>
            <w:shd w:val="clear" w:color="auto" w:fill="CCEEFF"/>
          </w:tcPr>
          <w:p>
            <w:pPr>
              <w:spacing w:after="0" w:line="134" w:lineRule="exact"/>
              <w:rPr>
                <w:rFonts w:ascii="Arial" w:cs="Arial" w:eastAsia="Arial" w:hAnsi="Arial"/>
                <w:sz w:val="12"/>
                <w:szCs w:val="12"/>
                <w:color w:val="0000FF"/>
              </w:rPr>
            </w:pPr>
            <w:hyperlink w:anchor="page53">
              <w:r>
                <w:rPr>
                  <w:rFonts w:ascii="Arial" w:cs="Arial" w:eastAsia="Arial" w:hAnsi="Arial"/>
                  <w:sz w:val="12"/>
                  <w:szCs w:val="12"/>
                  <w:color w:val="0000FF"/>
                </w:rPr>
                <w:t>Risk Factors</w:t>
              </w:r>
            </w:hyperlink>
          </w:p>
        </w:tc>
        <w:tc>
          <w:tcPr>
            <w:tcW w:w="2140" w:type="dxa"/>
            <w:vAlign w:val="bottom"/>
            <w:shd w:val="clear" w:color="auto" w:fill="CCEEFF"/>
          </w:tcPr>
          <w:p>
            <w:pPr>
              <w:jc w:val="center"/>
              <w:ind w:left="1081"/>
              <w:spacing w:after="0" w:line="134" w:lineRule="exact"/>
              <w:rPr>
                <w:rFonts w:ascii="Arial" w:cs="Arial" w:eastAsia="Arial" w:hAnsi="Arial"/>
                <w:sz w:val="12"/>
                <w:szCs w:val="12"/>
                <w:color w:val="auto"/>
                <w:w w:val="89"/>
              </w:rPr>
            </w:pPr>
            <w:hyperlink w:anchor="page53">
              <w:r>
                <w:rPr>
                  <w:rFonts w:ascii="Arial" w:cs="Arial" w:eastAsia="Arial" w:hAnsi="Arial"/>
                  <w:sz w:val="12"/>
                  <w:szCs w:val="12"/>
                  <w:color w:val="auto"/>
                  <w:w w:val="89"/>
                </w:rPr>
                <w:t>53</w:t>
              </w:r>
            </w:hyperlink>
          </w:p>
        </w:tc>
      </w:tr>
      <w:tr>
        <w:trPr>
          <w:trHeight w:val="36"/>
        </w:trPr>
        <w:tc>
          <w:tcPr>
            <w:tcW w:w="34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r>
      <w:tr>
        <w:trPr>
          <w:trHeight w:val="126"/>
        </w:trPr>
        <w:tc>
          <w:tcPr>
            <w:tcW w:w="440" w:type="dxa"/>
            <w:vAlign w:val="bottom"/>
            <w:gridSpan w:val="2"/>
          </w:tcPr>
          <w:p>
            <w:pPr>
              <w:spacing w:after="0" w:line="126" w:lineRule="exact"/>
              <w:rPr>
                <w:sz w:val="20"/>
                <w:szCs w:val="20"/>
                <w:color w:val="auto"/>
              </w:rPr>
            </w:pPr>
            <w:r>
              <w:rPr>
                <w:rFonts w:ascii="Arial" w:cs="Arial" w:eastAsia="Arial" w:hAnsi="Arial"/>
                <w:sz w:val="12"/>
                <w:szCs w:val="12"/>
                <w:color w:val="0000FF"/>
              </w:rPr>
              <w:t>Item 2.</w:t>
            </w:r>
          </w:p>
        </w:tc>
        <w:tc>
          <w:tcPr>
            <w:tcW w:w="540" w:type="dxa"/>
            <w:vAlign w:val="bottom"/>
          </w:tcPr>
          <w:p>
            <w:pPr>
              <w:spacing w:after="0"/>
              <w:rPr>
                <w:sz w:val="10"/>
                <w:szCs w:val="10"/>
                <w:color w:val="auto"/>
              </w:rPr>
            </w:pPr>
          </w:p>
        </w:tc>
        <w:tc>
          <w:tcPr>
            <w:tcW w:w="8180" w:type="dxa"/>
            <w:vAlign w:val="bottom"/>
            <w:gridSpan w:val="20"/>
          </w:tcPr>
          <w:p>
            <w:pPr>
              <w:spacing w:after="0" w:line="126" w:lineRule="exact"/>
              <w:rPr>
                <w:rFonts w:ascii="Arial" w:cs="Arial" w:eastAsia="Arial" w:hAnsi="Arial"/>
                <w:sz w:val="12"/>
                <w:szCs w:val="12"/>
                <w:color w:val="0000FF"/>
              </w:rPr>
            </w:pPr>
            <w:hyperlink w:anchor="page83">
              <w:r>
                <w:rPr>
                  <w:rFonts w:ascii="Arial" w:cs="Arial" w:eastAsia="Arial" w:hAnsi="Arial"/>
                  <w:sz w:val="12"/>
                  <w:szCs w:val="12"/>
                  <w:color w:val="0000FF"/>
                </w:rPr>
                <w:t>Unregistered Shares of Equity Securities and Use of Proceeds</w:t>
              </w:r>
            </w:hyperlink>
          </w:p>
        </w:tc>
        <w:tc>
          <w:tcPr>
            <w:tcW w:w="2140" w:type="dxa"/>
            <w:vAlign w:val="bottom"/>
          </w:tcPr>
          <w:p>
            <w:pPr>
              <w:jc w:val="center"/>
              <w:ind w:left="1081"/>
              <w:spacing w:after="0" w:line="126" w:lineRule="exact"/>
              <w:rPr>
                <w:rFonts w:ascii="Arial" w:cs="Arial" w:eastAsia="Arial" w:hAnsi="Arial"/>
                <w:sz w:val="12"/>
                <w:szCs w:val="12"/>
                <w:color w:val="auto"/>
                <w:w w:val="89"/>
              </w:rPr>
            </w:pPr>
            <w:hyperlink w:anchor="page83">
              <w:r>
                <w:rPr>
                  <w:rFonts w:ascii="Arial" w:cs="Arial" w:eastAsia="Arial" w:hAnsi="Arial"/>
                  <w:sz w:val="12"/>
                  <w:szCs w:val="12"/>
                  <w:color w:val="auto"/>
                  <w:w w:val="89"/>
                </w:rPr>
                <w:t>83</w:t>
              </w:r>
            </w:hyperlink>
          </w:p>
        </w:tc>
      </w:tr>
      <w:tr>
        <w:trPr>
          <w:trHeight w:val="28"/>
        </w:trPr>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34"/>
        </w:trPr>
        <w:tc>
          <w:tcPr>
            <w:tcW w:w="9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0000FF"/>
              </w:rPr>
              <w:t>Item 3.</w:t>
            </w:r>
          </w:p>
        </w:tc>
        <w:tc>
          <w:tcPr>
            <w:tcW w:w="8180" w:type="dxa"/>
            <w:vAlign w:val="bottom"/>
            <w:gridSpan w:val="20"/>
            <w:shd w:val="clear" w:color="auto" w:fill="CCEEFF"/>
          </w:tcPr>
          <w:p>
            <w:pPr>
              <w:spacing w:after="0" w:line="134" w:lineRule="exact"/>
              <w:rPr>
                <w:rFonts w:ascii="Arial" w:cs="Arial" w:eastAsia="Arial" w:hAnsi="Arial"/>
                <w:sz w:val="12"/>
                <w:szCs w:val="12"/>
                <w:color w:val="0000FF"/>
              </w:rPr>
            </w:pPr>
            <w:hyperlink w:anchor="page83">
              <w:r>
                <w:rPr>
                  <w:rFonts w:ascii="Arial" w:cs="Arial" w:eastAsia="Arial" w:hAnsi="Arial"/>
                  <w:sz w:val="12"/>
                  <w:szCs w:val="12"/>
                  <w:color w:val="0000FF"/>
                </w:rPr>
                <w:t>Defaults Upon Senior Securities</w:t>
              </w:r>
            </w:hyperlink>
          </w:p>
        </w:tc>
        <w:tc>
          <w:tcPr>
            <w:tcW w:w="2140" w:type="dxa"/>
            <w:vAlign w:val="bottom"/>
            <w:shd w:val="clear" w:color="auto" w:fill="CCEEFF"/>
          </w:tcPr>
          <w:p>
            <w:pPr>
              <w:jc w:val="center"/>
              <w:ind w:left="1081"/>
              <w:spacing w:after="0" w:line="134" w:lineRule="exact"/>
              <w:rPr>
                <w:rFonts w:ascii="Arial" w:cs="Arial" w:eastAsia="Arial" w:hAnsi="Arial"/>
                <w:sz w:val="12"/>
                <w:szCs w:val="12"/>
                <w:color w:val="auto"/>
                <w:w w:val="89"/>
              </w:rPr>
            </w:pPr>
            <w:hyperlink w:anchor="page83">
              <w:r>
                <w:rPr>
                  <w:rFonts w:ascii="Arial" w:cs="Arial" w:eastAsia="Arial" w:hAnsi="Arial"/>
                  <w:sz w:val="12"/>
                  <w:szCs w:val="12"/>
                  <w:color w:val="auto"/>
                  <w:w w:val="89"/>
                </w:rPr>
                <w:t>84</w:t>
              </w:r>
            </w:hyperlink>
          </w:p>
        </w:tc>
      </w:tr>
      <w:tr>
        <w:trPr>
          <w:trHeight w:val="36"/>
        </w:trPr>
        <w:tc>
          <w:tcPr>
            <w:tcW w:w="34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r>
      <w:tr>
        <w:trPr>
          <w:trHeight w:val="126"/>
        </w:trPr>
        <w:tc>
          <w:tcPr>
            <w:tcW w:w="980" w:type="dxa"/>
            <w:vAlign w:val="bottom"/>
            <w:gridSpan w:val="3"/>
          </w:tcPr>
          <w:p>
            <w:pPr>
              <w:spacing w:after="0" w:line="126" w:lineRule="exact"/>
              <w:rPr>
                <w:sz w:val="20"/>
                <w:szCs w:val="20"/>
                <w:color w:val="auto"/>
              </w:rPr>
            </w:pPr>
            <w:r>
              <w:rPr>
                <w:rFonts w:ascii="Arial" w:cs="Arial" w:eastAsia="Arial" w:hAnsi="Arial"/>
                <w:sz w:val="12"/>
                <w:szCs w:val="12"/>
                <w:color w:val="0000FF"/>
              </w:rPr>
              <w:t>Item 4.</w:t>
            </w:r>
          </w:p>
        </w:tc>
        <w:tc>
          <w:tcPr>
            <w:tcW w:w="8180" w:type="dxa"/>
            <w:vAlign w:val="bottom"/>
            <w:gridSpan w:val="20"/>
          </w:tcPr>
          <w:p>
            <w:pPr>
              <w:spacing w:after="0" w:line="126" w:lineRule="exact"/>
              <w:rPr>
                <w:rFonts w:ascii="Arial" w:cs="Arial" w:eastAsia="Arial" w:hAnsi="Arial"/>
                <w:sz w:val="12"/>
                <w:szCs w:val="12"/>
                <w:color w:val="0000FF"/>
              </w:rPr>
            </w:pPr>
            <w:hyperlink w:anchor="page84">
              <w:r>
                <w:rPr>
                  <w:rFonts w:ascii="Arial" w:cs="Arial" w:eastAsia="Arial" w:hAnsi="Arial"/>
                  <w:sz w:val="12"/>
                  <w:szCs w:val="12"/>
                  <w:color w:val="0000FF"/>
                </w:rPr>
                <w:t>Mine Safety Disclosures</w:t>
              </w:r>
            </w:hyperlink>
          </w:p>
        </w:tc>
        <w:tc>
          <w:tcPr>
            <w:tcW w:w="2140" w:type="dxa"/>
            <w:vAlign w:val="bottom"/>
          </w:tcPr>
          <w:p>
            <w:pPr>
              <w:jc w:val="center"/>
              <w:ind w:left="1081"/>
              <w:spacing w:after="0" w:line="126" w:lineRule="exact"/>
              <w:rPr>
                <w:rFonts w:ascii="Arial" w:cs="Arial" w:eastAsia="Arial" w:hAnsi="Arial"/>
                <w:sz w:val="12"/>
                <w:szCs w:val="12"/>
                <w:color w:val="auto"/>
                <w:w w:val="89"/>
              </w:rPr>
            </w:pPr>
            <w:hyperlink w:anchor="page84">
              <w:r>
                <w:rPr>
                  <w:rFonts w:ascii="Arial" w:cs="Arial" w:eastAsia="Arial" w:hAnsi="Arial"/>
                  <w:sz w:val="12"/>
                  <w:szCs w:val="12"/>
                  <w:color w:val="auto"/>
                  <w:w w:val="89"/>
                </w:rPr>
                <w:t>84</w:t>
              </w:r>
            </w:hyperlink>
          </w:p>
        </w:tc>
      </w:tr>
      <w:tr>
        <w:trPr>
          <w:trHeight w:val="28"/>
        </w:trPr>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34"/>
        </w:trPr>
        <w:tc>
          <w:tcPr>
            <w:tcW w:w="9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0000FF"/>
              </w:rPr>
              <w:t>Item 5.</w:t>
            </w:r>
          </w:p>
        </w:tc>
        <w:tc>
          <w:tcPr>
            <w:tcW w:w="8180" w:type="dxa"/>
            <w:vAlign w:val="bottom"/>
            <w:gridSpan w:val="20"/>
            <w:shd w:val="clear" w:color="auto" w:fill="CCEEFF"/>
          </w:tcPr>
          <w:p>
            <w:pPr>
              <w:spacing w:after="0" w:line="134" w:lineRule="exact"/>
              <w:rPr>
                <w:rFonts w:ascii="Arial" w:cs="Arial" w:eastAsia="Arial" w:hAnsi="Arial"/>
                <w:sz w:val="12"/>
                <w:szCs w:val="12"/>
                <w:color w:val="0000FF"/>
              </w:rPr>
            </w:pPr>
            <w:hyperlink w:anchor="page84">
              <w:r>
                <w:rPr>
                  <w:rFonts w:ascii="Arial" w:cs="Arial" w:eastAsia="Arial" w:hAnsi="Arial"/>
                  <w:sz w:val="12"/>
                  <w:szCs w:val="12"/>
                  <w:color w:val="0000FF"/>
                </w:rPr>
                <w:t>Other Information</w:t>
              </w:r>
            </w:hyperlink>
          </w:p>
        </w:tc>
        <w:tc>
          <w:tcPr>
            <w:tcW w:w="2140" w:type="dxa"/>
            <w:vAlign w:val="bottom"/>
            <w:shd w:val="clear" w:color="auto" w:fill="CCEEFF"/>
          </w:tcPr>
          <w:p>
            <w:pPr>
              <w:jc w:val="center"/>
              <w:ind w:left="1081"/>
              <w:spacing w:after="0" w:line="134" w:lineRule="exact"/>
              <w:rPr>
                <w:rFonts w:ascii="Arial" w:cs="Arial" w:eastAsia="Arial" w:hAnsi="Arial"/>
                <w:sz w:val="12"/>
                <w:szCs w:val="12"/>
                <w:color w:val="auto"/>
                <w:w w:val="89"/>
              </w:rPr>
            </w:pPr>
            <w:hyperlink w:anchor="page84">
              <w:r>
                <w:rPr>
                  <w:rFonts w:ascii="Arial" w:cs="Arial" w:eastAsia="Arial" w:hAnsi="Arial"/>
                  <w:sz w:val="12"/>
                  <w:szCs w:val="12"/>
                  <w:color w:val="auto"/>
                  <w:w w:val="89"/>
                </w:rPr>
                <w:t>84</w:t>
              </w:r>
            </w:hyperlink>
          </w:p>
        </w:tc>
      </w:tr>
      <w:tr>
        <w:trPr>
          <w:trHeight w:val="36"/>
        </w:trPr>
        <w:tc>
          <w:tcPr>
            <w:tcW w:w="34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r>
      <w:tr>
        <w:trPr>
          <w:trHeight w:val="126"/>
        </w:trPr>
        <w:tc>
          <w:tcPr>
            <w:tcW w:w="980" w:type="dxa"/>
            <w:vAlign w:val="bottom"/>
            <w:gridSpan w:val="3"/>
          </w:tcPr>
          <w:p>
            <w:pPr>
              <w:spacing w:after="0" w:line="126" w:lineRule="exact"/>
              <w:rPr>
                <w:rFonts w:ascii="Arial" w:cs="Arial" w:eastAsia="Arial" w:hAnsi="Arial"/>
                <w:sz w:val="12"/>
                <w:szCs w:val="12"/>
                <w:color w:val="0000FF"/>
              </w:rPr>
            </w:pPr>
            <w:hyperlink w:anchor="page84">
              <w:r>
                <w:rPr>
                  <w:rFonts w:ascii="Arial" w:cs="Arial" w:eastAsia="Arial" w:hAnsi="Arial"/>
                  <w:sz w:val="12"/>
                  <w:szCs w:val="12"/>
                  <w:color w:val="0000FF"/>
                </w:rPr>
                <w:t>Item 6.</w:t>
              </w:r>
            </w:hyperlink>
          </w:p>
        </w:tc>
        <w:tc>
          <w:tcPr>
            <w:tcW w:w="8180" w:type="dxa"/>
            <w:vAlign w:val="bottom"/>
            <w:gridSpan w:val="20"/>
          </w:tcPr>
          <w:p>
            <w:pPr>
              <w:spacing w:after="0" w:line="126" w:lineRule="exact"/>
              <w:rPr>
                <w:rFonts w:ascii="Arial" w:cs="Arial" w:eastAsia="Arial" w:hAnsi="Arial"/>
                <w:sz w:val="12"/>
                <w:szCs w:val="12"/>
                <w:color w:val="0000FF"/>
              </w:rPr>
            </w:pPr>
            <w:hyperlink w:anchor="page84">
              <w:r>
                <w:rPr>
                  <w:rFonts w:ascii="Arial" w:cs="Arial" w:eastAsia="Arial" w:hAnsi="Arial"/>
                  <w:sz w:val="12"/>
                  <w:szCs w:val="12"/>
                  <w:color w:val="0000FF"/>
                </w:rPr>
                <w:t>Exhibits</w:t>
              </w:r>
            </w:hyperlink>
          </w:p>
        </w:tc>
        <w:tc>
          <w:tcPr>
            <w:tcW w:w="2140" w:type="dxa"/>
            <w:vAlign w:val="bottom"/>
          </w:tcPr>
          <w:p>
            <w:pPr>
              <w:jc w:val="center"/>
              <w:ind w:left="1081"/>
              <w:spacing w:after="0" w:line="126" w:lineRule="exact"/>
              <w:rPr>
                <w:rFonts w:ascii="Arial" w:cs="Arial" w:eastAsia="Arial" w:hAnsi="Arial"/>
                <w:sz w:val="12"/>
                <w:szCs w:val="12"/>
                <w:color w:val="auto"/>
                <w:w w:val="89"/>
              </w:rPr>
            </w:pPr>
            <w:hyperlink w:anchor="page84">
              <w:r>
                <w:rPr>
                  <w:rFonts w:ascii="Arial" w:cs="Arial" w:eastAsia="Arial" w:hAnsi="Arial"/>
                  <w:sz w:val="12"/>
                  <w:szCs w:val="12"/>
                  <w:color w:val="auto"/>
                  <w:w w:val="89"/>
                </w:rPr>
                <w:t>84</w:t>
              </w:r>
            </w:hyperlink>
          </w:p>
        </w:tc>
      </w:tr>
      <w:tr>
        <w:trPr>
          <w:trHeight w:val="28"/>
        </w:trPr>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50"/>
        </w:trPr>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0000FF"/>
            </w:tcBorders>
            <w:gridSpan w:val="3"/>
            <w:shd w:val="clear" w:color="auto" w:fill="CCEEFF"/>
          </w:tcPr>
          <w:p>
            <w:pPr>
              <w:spacing w:after="0" w:line="134" w:lineRule="exact"/>
              <w:rPr>
                <w:rFonts w:ascii="Arial" w:cs="Arial" w:eastAsia="Arial" w:hAnsi="Arial"/>
                <w:sz w:val="12"/>
                <w:szCs w:val="12"/>
                <w:color w:val="0000FF"/>
                <w:w w:val="87"/>
              </w:rPr>
            </w:pPr>
            <w:hyperlink w:anchor="page84">
              <w:r>
                <w:rPr>
                  <w:rFonts w:ascii="Arial" w:cs="Arial" w:eastAsia="Arial" w:hAnsi="Arial"/>
                  <w:sz w:val="12"/>
                  <w:szCs w:val="12"/>
                  <w:color w:val="0000FF"/>
                  <w:w w:val="87"/>
                </w:rPr>
                <w:t>Signatures</w:t>
              </w:r>
            </w:hyperlink>
          </w:p>
        </w:tc>
        <w:tc>
          <w:tcPr>
            <w:tcW w:w="7660" w:type="dxa"/>
            <w:vAlign w:val="bottom"/>
            <w:tcBorders>
              <w:bottom w:val="single" w:sz="8" w:color="CCEEFF"/>
            </w:tcBorders>
            <w:gridSpan w:val="17"/>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jc w:val="center"/>
              <w:ind w:left="1081"/>
              <w:spacing w:after="0" w:line="134" w:lineRule="exact"/>
              <w:rPr>
                <w:rFonts w:ascii="Arial" w:cs="Arial" w:eastAsia="Arial" w:hAnsi="Arial"/>
                <w:sz w:val="12"/>
                <w:szCs w:val="12"/>
                <w:color w:val="auto"/>
                <w:w w:val="89"/>
              </w:rPr>
            </w:pPr>
            <w:hyperlink w:anchor="page84">
              <w:r>
                <w:rPr>
                  <w:rFonts w:ascii="Arial" w:cs="Arial" w:eastAsia="Arial" w:hAnsi="Arial"/>
                  <w:sz w:val="12"/>
                  <w:szCs w:val="12"/>
                  <w:color w:val="auto"/>
                  <w:w w:val="89"/>
                </w:rPr>
                <w:t>85</w:t>
              </w:r>
            </w:hyperlink>
          </w:p>
        </w:tc>
      </w:tr>
      <w:tr>
        <w:trPr>
          <w:trHeight w:val="7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20" w:type="dxa"/>
            <w:vAlign w:val="bottom"/>
            <w:gridSpan w:val="15"/>
          </w:tcPr>
          <w:p>
            <w:pPr>
              <w:jc w:val="center"/>
              <w:ind w:left="3760"/>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72"/>
        </w:trPr>
        <w:tc>
          <w:tcPr>
            <w:tcW w:w="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2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63" w:right="299" w:bottom="1440" w:gutter="0" w:footer="0" w:header="0"/>
        </w:sectPr>
      </w:pPr>
    </w:p>
    <w:bookmarkStart w:id="2" w:name="page3"/>
    <w:bookmarkEnd w:id="2"/>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36" w:lineRule="exact"/>
        <w:rPr>
          <w:sz w:val="20"/>
          <w:szCs w:val="20"/>
          <w:color w:val="auto"/>
        </w:rPr>
      </w:pPr>
    </w:p>
    <w:p>
      <w:pPr>
        <w:ind w:firstLine="432"/>
        <w:spacing w:after="0" w:line="230" w:lineRule="auto"/>
        <w:rPr>
          <w:sz w:val="20"/>
          <w:szCs w:val="20"/>
          <w:color w:val="auto"/>
        </w:rPr>
      </w:pPr>
      <w:r>
        <w:rPr>
          <w:rFonts w:ascii="Arial" w:cs="Arial" w:eastAsia="Arial" w:hAnsi="Arial"/>
          <w:sz w:val="12"/>
          <w:szCs w:val="12"/>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These forward-looking statements include, but are not limited to, statements concerning the following:</w:t>
      </w:r>
    </w:p>
    <w:p>
      <w:pPr>
        <w:spacing w:after="0" w:line="141" w:lineRule="exact"/>
        <w:rPr>
          <w:sz w:val="20"/>
          <w:szCs w:val="20"/>
          <w:color w:val="auto"/>
        </w:rPr>
      </w:pPr>
    </w:p>
    <w:p>
      <w:pPr>
        <w:ind w:left="860" w:right="560" w:hanging="220"/>
        <w:spacing w:after="0" w:line="276" w:lineRule="auto"/>
        <w:tabs>
          <w:tab w:leader="none" w:pos="857"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the COVID-19 pandemic on our operations, financial results, and liquidity and capital resources, including on customers, sales, expenses, and employees;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market acceptance of our cloud platform;</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effects of increased competition in our markets and our ability to compete effectively;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the security and availability of our cloud platform;</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and expand our customer base, including by attracting new customers;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develop new solutions, or enhancements to our existing solutions, and bring them to market in a timely manner;</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anticipated trends, growth rates and challenges in our business and in the markets in which we operate;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business plan and our ability to effectively manage our growth and associated investments;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beliefs and objectives for future operations;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relationships with third parties, including channel partners and technology alliance partners;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protect and enhance our intellectual property rights;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defend litigation brought against us;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expand in our existing markets and into new markets;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sufficiency of cash and cash equivalents to meet cash needs for at least the next 12 months;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expand internationally;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comply with laws and regulations that currently apply or become applicable to our business both in the United States and internationally;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develop, maintain, and improve our internal control over financial reporting;</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instability in the global credit and financial markets;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close and integrate acquisitions to contribute to our growth objectives;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attraction and retention of qualified employees and key personnel.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3" w:name="page4"/>
    <w:bookmarkEnd w:id="3"/>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ind w:right="60" w:firstLine="432"/>
        <w:spacing w:after="0" w:line="255" w:lineRule="auto"/>
        <w:rPr>
          <w:sz w:val="20"/>
          <w:szCs w:val="20"/>
          <w:color w:val="auto"/>
        </w:rPr>
      </w:pPr>
      <w:r>
        <w:rPr>
          <w:rFonts w:ascii="Arial" w:cs="Arial" w:eastAsia="Arial" w:hAnsi="Arial"/>
          <w:sz w:val="11"/>
          <w:szCs w:val="11"/>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1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1"/>
          <w:szCs w:val="11"/>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06" w:lineRule="exact"/>
        <w:rPr>
          <w:sz w:val="20"/>
          <w:szCs w:val="20"/>
          <w:color w:val="auto"/>
        </w:rPr>
      </w:pPr>
    </w:p>
    <w:p>
      <w:pPr>
        <w:jc w:val="center"/>
        <w:ind w:right="-259"/>
        <w:spacing w:after="0"/>
        <w:rPr>
          <w:sz w:val="20"/>
          <w:szCs w:val="20"/>
          <w:color w:val="auto"/>
        </w:rPr>
      </w:pPr>
      <w:r>
        <w:rPr>
          <w:rFonts w:ascii="Arial" w:cs="Arial" w:eastAsia="Arial" w:hAnsi="Arial"/>
          <w:sz w:val="12"/>
          <w:szCs w:val="12"/>
          <w:b w:val="1"/>
          <w:bCs w:val="1"/>
          <w:color w:val="auto"/>
        </w:rPr>
        <w:t>SUMMARY OF RISK FACTORS</w:t>
      </w:r>
    </w:p>
    <w:p>
      <w:pPr>
        <w:spacing w:after="0" w:line="172" w:lineRule="exact"/>
        <w:rPr>
          <w:sz w:val="20"/>
          <w:szCs w:val="20"/>
          <w:color w:val="auto"/>
        </w:rPr>
      </w:pPr>
    </w:p>
    <w:p>
      <w:pPr>
        <w:ind w:firstLine="216"/>
        <w:spacing w:after="0" w:line="247" w:lineRule="auto"/>
        <w:rPr>
          <w:sz w:val="20"/>
          <w:szCs w:val="20"/>
          <w:color w:val="auto"/>
        </w:rPr>
      </w:pPr>
      <w:r>
        <w:rPr>
          <w:rFonts w:ascii="Arial" w:cs="Arial" w:eastAsia="Arial" w:hAnsi="Arial"/>
          <w:sz w:val="12"/>
          <w:szCs w:val="12"/>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23" w:lineRule="exact"/>
        <w:rPr>
          <w:sz w:val="20"/>
          <w:szCs w:val="20"/>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have experienced rapid growth in recent periods, and if we do not manage our future growth, our business and results of operations will be adversely affected.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have a history of losses and may not be able to achieve or sustain profitability in the future.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limited operating history makes it difficult to evaluate our current business and future prospects, and may increase the risk of your investment.</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COVID-19 pandemic could adversely affect global economic conditions and our business, operating results and future revenue.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If organizations do not adopt cloud-based SaaS-delivered endpoint security solutions, our ability to grow our business and results of operations may be adversely affected.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If we are unable to attract new customers, our future results of operations could be harmed.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If our customers do not renew their subscriptions for our products and add additional cloud modules to their subscriptions, our future results of operations could be harmed.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face intense competition and could lose market share to our competitors, which could adversely affect our business, financial condition, and results of operations.</w:t>
      </w:r>
    </w:p>
    <w:p>
      <w:pPr>
        <w:spacing w:after="0" w:line="150" w:lineRule="exact"/>
        <w:rPr>
          <w:rFonts w:ascii="Arial" w:cs="Arial" w:eastAsia="Arial" w:hAnsi="Arial"/>
          <w:sz w:val="12"/>
          <w:szCs w:val="12"/>
          <w:color w:val="auto"/>
        </w:rPr>
      </w:pPr>
    </w:p>
    <w:p>
      <w:pPr>
        <w:ind w:left="860" w:hanging="220"/>
        <w:spacing w:after="0" w:line="276"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14" w:lineRule="exact"/>
        <w:rPr>
          <w:rFonts w:ascii="Arial" w:cs="Arial" w:eastAsia="Arial" w:hAnsi="Arial"/>
          <w:sz w:val="12"/>
          <w:szCs w:val="12"/>
          <w:color w:val="auto"/>
        </w:rPr>
      </w:pPr>
    </w:p>
    <w:p>
      <w:pPr>
        <w:ind w:left="860" w:right="80" w:hanging="220"/>
        <w:spacing w:after="0" w:line="276"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business is focused on cloud-based data analytics, and cybersecurity, privacy, and other regulations may affect how we collect and process certain types of data.</w:t>
      </w:r>
    </w:p>
    <w:p>
      <w:pPr>
        <w:spacing w:after="0" w:line="150" w:lineRule="exact"/>
        <w:rPr>
          <w:rFonts w:ascii="Arial" w:cs="Arial" w:eastAsia="Arial" w:hAnsi="Arial"/>
          <w:sz w:val="12"/>
          <w:szCs w:val="12"/>
          <w:color w:val="auto"/>
        </w:rPr>
      </w:pPr>
    </w:p>
    <w:p>
      <w:pPr>
        <w:ind w:left="860" w:right="160" w:hanging="220"/>
        <w:spacing w:after="0" w:line="276"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rely on third-party data centers, such as Amazon Web Services, and our own colocation data centers, to host and operate our Falcon platform, and any disruption of or interference with our use of these facilities may</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75" w:right="35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negatively affect our ability to maintain the performance and reliability of our Falcon platform, which could cause our business to suffer.</w:t>
      </w:r>
    </w:p>
    <w:p>
      <w:pPr>
        <w:spacing w:after="0" w:line="150" w:lineRule="exact"/>
        <w:rPr>
          <w:sz w:val="20"/>
          <w:szCs w:val="20"/>
          <w:color w:val="auto"/>
        </w:rPr>
      </w:pPr>
    </w:p>
    <w:p>
      <w:pPr>
        <w:ind w:left="440" w:hanging="220"/>
        <w:spacing w:after="0"/>
        <w:tabs>
          <w:tab w:leader="none" w:pos="440" w:val="left"/>
        </w:tabs>
        <w:numPr>
          <w:ilvl w:val="0"/>
          <w:numId w:val="5"/>
        </w:numPr>
        <w:rPr>
          <w:rFonts w:ascii="Arial" w:cs="Arial" w:eastAsia="Arial" w:hAnsi="Arial"/>
          <w:sz w:val="11"/>
          <w:szCs w:val="11"/>
          <w:color w:val="auto"/>
        </w:rPr>
      </w:pPr>
      <w:r>
        <w:rPr>
          <w:rFonts w:ascii="Arial" w:cs="Arial" w:eastAsia="Arial" w:hAnsi="Arial"/>
          <w:sz w:val="11"/>
          <w:szCs w:val="11"/>
          <w:color w:val="auto"/>
        </w:rPr>
        <w:t>If we do not effectively expand and train our direct sales force, we may be unable to add new customers or increase sales to our existing customers, and our business will be adversely affected.</w:t>
      </w:r>
    </w:p>
    <w:p>
      <w:pPr>
        <w:spacing w:after="0" w:line="161" w:lineRule="exact"/>
        <w:rPr>
          <w:rFonts w:ascii="Arial" w:cs="Arial" w:eastAsia="Arial" w:hAnsi="Arial"/>
          <w:sz w:val="11"/>
          <w:szCs w:val="11"/>
          <w:color w:val="auto"/>
        </w:rPr>
      </w:pPr>
    </w:p>
    <w:p>
      <w:pPr>
        <w:ind w:left="440" w:hanging="220"/>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results of operations may fluctuate significantly, which could make our future results difficult to predict and could cause our results of operations to fall below expectations.</w:t>
      </w:r>
    </w:p>
    <w:p>
      <w:pPr>
        <w:spacing w:after="0" w:line="150" w:lineRule="exact"/>
        <w:rPr>
          <w:rFonts w:ascii="Arial" w:cs="Arial" w:eastAsia="Arial" w:hAnsi="Arial"/>
          <w:sz w:val="12"/>
          <w:szCs w:val="12"/>
          <w:color w:val="auto"/>
        </w:rPr>
      </w:pPr>
    </w:p>
    <w:p>
      <w:pPr>
        <w:ind w:left="440" w:hanging="220"/>
        <w:spacing w:after="0" w:line="276" w:lineRule="auto"/>
        <w:tabs>
          <w:tab w:leader="none" w:pos="437" w:val="left"/>
        </w:tabs>
        <w:numPr>
          <w:ilvl w:val="0"/>
          <w:numId w:val="5"/>
        </w:numPr>
        <w:rPr>
          <w:rFonts w:ascii="Arial" w:cs="Arial" w:eastAsia="Arial" w:hAnsi="Arial"/>
          <w:sz w:val="12"/>
          <w:szCs w:val="12"/>
          <w:color w:val="auto"/>
        </w:rPr>
      </w:pPr>
      <w:r>
        <w:rPr>
          <w:rFonts w:ascii="Arial" w:cs="Arial" w:eastAsia="Arial" w:hAnsi="Arial"/>
          <w:sz w:val="12"/>
          <w:szCs w:val="12"/>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14" w:lineRule="exact"/>
        <w:rPr>
          <w:rFonts w:ascii="Arial" w:cs="Arial" w:eastAsia="Arial" w:hAnsi="Arial"/>
          <w:sz w:val="12"/>
          <w:szCs w:val="12"/>
          <w:color w:val="auto"/>
        </w:rPr>
      </w:pPr>
    </w:p>
    <w:p>
      <w:pPr>
        <w:ind w:left="440" w:right="40" w:hanging="220"/>
        <w:spacing w:after="0" w:line="276" w:lineRule="auto"/>
        <w:tabs>
          <w:tab w:leader="none" w:pos="437" w:val="left"/>
        </w:tabs>
        <w:numPr>
          <w:ilvl w:val="0"/>
          <w:numId w:val="5"/>
        </w:numPr>
        <w:rPr>
          <w:rFonts w:ascii="Arial" w:cs="Arial" w:eastAsia="Arial" w:hAnsi="Arial"/>
          <w:sz w:val="12"/>
          <w:szCs w:val="12"/>
          <w:color w:val="auto"/>
        </w:rPr>
      </w:pPr>
      <w:r>
        <w:rPr>
          <w:rFonts w:ascii="Arial" w:cs="Arial" w:eastAsia="Arial" w:hAnsi="Arial"/>
          <w:sz w:val="12"/>
          <w:szCs w:val="12"/>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367"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20"/>
          </w:cols>
          <w:pgMar w:left="720" w:top="275" w:right="559" w:bottom="1440" w:gutter="0" w:footer="0" w:header="0"/>
        </w:sectPr>
      </w:pPr>
    </w:p>
    <w:bookmarkStart w:id="5" w:name="page6"/>
    <w:bookmarkEnd w:id="5"/>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CrowdStrike Holdings,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Balance Sheets</w:t>
      </w:r>
    </w:p>
    <w:p>
      <w:pPr>
        <w:jc w:val="center"/>
        <w:spacing w:after="0"/>
        <w:rPr>
          <w:sz w:val="20"/>
          <w:szCs w:val="20"/>
          <w:color w:val="auto"/>
        </w:rPr>
      </w:pPr>
      <w:r>
        <w:rPr>
          <w:rFonts w:ascii="Arial" w:cs="Arial" w:eastAsia="Arial" w:hAnsi="Arial"/>
          <w:sz w:val="11"/>
          <w:szCs w:val="11"/>
          <w:i w:val="1"/>
          <w:iCs w:val="1"/>
          <w:color w:val="auto"/>
        </w:rPr>
        <w:t>(in thousands, except per share data)</w:t>
      </w:r>
    </w:p>
    <w:p>
      <w:pPr>
        <w:jc w:val="center"/>
        <w:spacing w:after="0"/>
        <w:rPr>
          <w:sz w:val="20"/>
          <w:szCs w:val="20"/>
          <w:color w:val="auto"/>
        </w:rPr>
      </w:pPr>
      <w:r>
        <w:rPr>
          <w:rFonts w:ascii="Arial" w:cs="Arial" w:eastAsia="Arial" w:hAnsi="Arial"/>
          <w:sz w:val="11"/>
          <w:szCs w:val="11"/>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818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October 31,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ind w:right="472"/>
              <w:spacing w:after="0"/>
              <w:rPr>
                <w:sz w:val="20"/>
                <w:szCs w:val="20"/>
                <w:color w:val="auto"/>
              </w:rPr>
            </w:pPr>
            <w:r>
              <w:rPr>
                <w:rFonts w:ascii="Arial" w:cs="Arial" w:eastAsia="Arial" w:hAnsi="Arial"/>
                <w:sz w:val="10"/>
                <w:szCs w:val="10"/>
                <w:b w:val="1"/>
                <w:bCs w:val="1"/>
                <w:color w:val="auto"/>
              </w:rPr>
              <w:t>January 31,</w:t>
            </w:r>
          </w:p>
        </w:tc>
        <w:tc>
          <w:tcPr>
            <w:tcW w:w="0" w:type="dxa"/>
            <w:vAlign w:val="bottom"/>
          </w:tcPr>
          <w:p>
            <w:pPr>
              <w:spacing w:after="0"/>
              <w:rPr>
                <w:sz w:val="1"/>
                <w:szCs w:val="1"/>
                <w:color w:val="auto"/>
              </w:rPr>
            </w:pPr>
          </w:p>
        </w:tc>
      </w:tr>
      <w:tr>
        <w:trPr>
          <w:trHeight w:val="130"/>
        </w:trPr>
        <w:tc>
          <w:tcPr>
            <w:tcW w:w="81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10"/>
        </w:trPr>
        <w:tc>
          <w:tcPr>
            <w:tcW w:w="818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Assets</w:t>
            </w:r>
          </w:p>
        </w:tc>
        <w:tc>
          <w:tcPr>
            <w:tcW w:w="10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8180" w:type="dxa"/>
            <w:vAlign w:val="bottom"/>
          </w:tcPr>
          <w:p>
            <w:pPr>
              <w:spacing w:after="0"/>
              <w:rPr>
                <w:sz w:val="20"/>
                <w:szCs w:val="20"/>
                <w:color w:val="auto"/>
              </w:rPr>
            </w:pPr>
            <w:r>
              <w:rPr>
                <w:rFonts w:ascii="Arial" w:cs="Arial" w:eastAsia="Arial" w:hAnsi="Arial"/>
                <w:sz w:val="10"/>
                <w:szCs w:val="10"/>
                <w:color w:val="auto"/>
              </w:rPr>
              <w:t>Current assets:</w:t>
            </w: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ind w:left="80"/>
              <w:spacing w:after="0"/>
              <w:rPr>
                <w:sz w:val="20"/>
                <w:szCs w:val="20"/>
                <w:color w:val="auto"/>
              </w:rPr>
            </w:pPr>
            <w:r>
              <w:rPr>
                <w:rFonts w:ascii="Arial" w:cs="Arial" w:eastAsia="Arial" w:hAnsi="Arial"/>
                <w:sz w:val="10"/>
                <w:szCs w:val="10"/>
                <w:color w:val="auto"/>
              </w:rPr>
              <w:t>Cash and cash equivalents</w:t>
            </w:r>
          </w:p>
        </w:tc>
        <w:tc>
          <w:tcPr>
            <w:tcW w:w="1040" w:type="dxa"/>
            <w:vAlign w:val="bottom"/>
            <w:shd w:val="clear" w:color="auto" w:fill="CCEEFF"/>
          </w:tcPr>
          <w:p>
            <w:pPr>
              <w:jc w:val="right"/>
              <w:ind w:right="93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4"/>
              </w:rPr>
              <w:t>1,907,508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1,918,608</w:t>
            </w:r>
          </w:p>
        </w:tc>
        <w:tc>
          <w:tcPr>
            <w:tcW w:w="0" w:type="dxa"/>
            <w:vAlign w:val="bottom"/>
          </w:tcPr>
          <w:p>
            <w:pPr>
              <w:spacing w:after="0"/>
              <w:rPr>
                <w:sz w:val="1"/>
                <w:szCs w:val="1"/>
                <w:color w:val="auto"/>
              </w:rPr>
            </w:pPr>
          </w:p>
        </w:tc>
      </w:tr>
      <w:tr>
        <w:trPr>
          <w:trHeight w:val="124"/>
        </w:trPr>
        <w:tc>
          <w:tcPr>
            <w:tcW w:w="8180" w:type="dxa"/>
            <w:vAlign w:val="bottom"/>
          </w:tcPr>
          <w:p>
            <w:pPr>
              <w:ind w:left="80"/>
              <w:spacing w:after="0"/>
              <w:rPr>
                <w:sz w:val="20"/>
                <w:szCs w:val="20"/>
                <w:color w:val="auto"/>
              </w:rPr>
            </w:pPr>
            <w:r>
              <w:rPr>
                <w:rFonts w:ascii="Arial" w:cs="Arial" w:eastAsia="Arial" w:hAnsi="Arial"/>
                <w:sz w:val="10"/>
                <w:szCs w:val="10"/>
                <w:color w:val="auto"/>
              </w:rPr>
              <w:t>Accounts receivable, net of allowance for credit losses of $1.3 million and $1.2 million as of October 31, 2021 and January 31, 2021, respectively</w:t>
            </w:r>
          </w:p>
        </w:tc>
        <w:tc>
          <w:tcPr>
            <w:tcW w:w="10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283,272</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239,199</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ind w:left="80"/>
              <w:spacing w:after="0"/>
              <w:rPr>
                <w:sz w:val="20"/>
                <w:szCs w:val="20"/>
                <w:color w:val="auto"/>
              </w:rPr>
            </w:pPr>
            <w:r>
              <w:rPr>
                <w:rFonts w:ascii="Arial" w:cs="Arial" w:eastAsia="Arial" w:hAnsi="Arial"/>
                <w:sz w:val="10"/>
                <w:szCs w:val="10"/>
                <w:color w:val="auto"/>
              </w:rPr>
              <w:t>Deferred contract acquisition costs, current</w:t>
            </w:r>
          </w:p>
        </w:tc>
        <w:tc>
          <w:tcPr>
            <w:tcW w:w="10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108,636</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80,850</w:t>
            </w:r>
          </w:p>
        </w:tc>
        <w:tc>
          <w:tcPr>
            <w:tcW w:w="0" w:type="dxa"/>
            <w:vAlign w:val="bottom"/>
          </w:tcPr>
          <w:p>
            <w:pPr>
              <w:spacing w:after="0"/>
              <w:rPr>
                <w:sz w:val="1"/>
                <w:szCs w:val="1"/>
                <w:color w:val="auto"/>
              </w:rPr>
            </w:pPr>
          </w:p>
        </w:tc>
      </w:tr>
      <w:tr>
        <w:trPr>
          <w:trHeight w:val="124"/>
        </w:trPr>
        <w:tc>
          <w:tcPr>
            <w:tcW w:w="818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Prepaid expenses and other current assets</w:t>
            </w: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60,670</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53,617</w:t>
            </w:r>
          </w:p>
        </w:tc>
        <w:tc>
          <w:tcPr>
            <w:tcW w:w="0" w:type="dxa"/>
            <w:vAlign w:val="bottom"/>
          </w:tcPr>
          <w:p>
            <w:pPr>
              <w:spacing w:after="0"/>
              <w:rPr>
                <w:sz w:val="1"/>
                <w:szCs w:val="1"/>
                <w:color w:val="auto"/>
              </w:rPr>
            </w:pPr>
          </w:p>
        </w:tc>
      </w:tr>
      <w:tr>
        <w:trPr>
          <w:trHeight w:val="117"/>
        </w:trPr>
        <w:tc>
          <w:tcPr>
            <w:tcW w:w="8180" w:type="dxa"/>
            <w:vAlign w:val="bottom"/>
            <w:shd w:val="clear" w:color="auto" w:fill="CCEEFF"/>
          </w:tcPr>
          <w:p>
            <w:pPr>
              <w:ind w:left="140"/>
              <w:spacing w:after="0" w:line="110" w:lineRule="exact"/>
              <w:rPr>
                <w:sz w:val="20"/>
                <w:szCs w:val="20"/>
                <w:color w:val="auto"/>
              </w:rPr>
            </w:pPr>
            <w:r>
              <w:rPr>
                <w:rFonts w:ascii="Arial" w:cs="Arial" w:eastAsia="Arial" w:hAnsi="Arial"/>
                <w:sz w:val="10"/>
                <w:szCs w:val="10"/>
                <w:color w:val="auto"/>
              </w:rPr>
              <w:t>Total current assets</w:t>
            </w:r>
          </w:p>
        </w:tc>
        <w:tc>
          <w:tcPr>
            <w:tcW w:w="10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4"/>
              </w:rPr>
              <w:t>2,360,086</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2,292,274</w:t>
            </w:r>
          </w:p>
        </w:tc>
        <w:tc>
          <w:tcPr>
            <w:tcW w:w="0" w:type="dxa"/>
            <w:vAlign w:val="bottom"/>
          </w:tcPr>
          <w:p>
            <w:pPr>
              <w:spacing w:after="0"/>
              <w:rPr>
                <w:sz w:val="1"/>
                <w:szCs w:val="1"/>
                <w:color w:val="auto"/>
              </w:rPr>
            </w:pPr>
          </w:p>
        </w:tc>
      </w:tr>
      <w:tr>
        <w:trPr>
          <w:trHeight w:val="124"/>
        </w:trPr>
        <w:tc>
          <w:tcPr>
            <w:tcW w:w="8180" w:type="dxa"/>
            <w:vAlign w:val="bottom"/>
          </w:tcPr>
          <w:p>
            <w:pPr>
              <w:spacing w:after="0"/>
              <w:rPr>
                <w:sz w:val="20"/>
                <w:szCs w:val="20"/>
                <w:color w:val="auto"/>
              </w:rPr>
            </w:pPr>
            <w:r>
              <w:rPr>
                <w:rFonts w:ascii="Arial" w:cs="Arial" w:eastAsia="Arial" w:hAnsi="Arial"/>
                <w:sz w:val="10"/>
                <w:szCs w:val="10"/>
                <w:color w:val="auto"/>
              </w:rPr>
              <w:t>Strategic investments</w:t>
            </w:r>
          </w:p>
        </w:tc>
        <w:tc>
          <w:tcPr>
            <w:tcW w:w="10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22,665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2,500</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Property and equipment, net</w:t>
            </w:r>
          </w:p>
        </w:tc>
        <w:tc>
          <w:tcPr>
            <w:tcW w:w="10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242,224</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167,014</w:t>
            </w:r>
          </w:p>
        </w:tc>
        <w:tc>
          <w:tcPr>
            <w:tcW w:w="0" w:type="dxa"/>
            <w:vAlign w:val="bottom"/>
          </w:tcPr>
          <w:p>
            <w:pPr>
              <w:spacing w:after="0"/>
              <w:rPr>
                <w:sz w:val="1"/>
                <w:szCs w:val="1"/>
                <w:color w:val="auto"/>
              </w:rPr>
            </w:pPr>
          </w:p>
        </w:tc>
      </w:tr>
      <w:tr>
        <w:trPr>
          <w:trHeight w:val="124"/>
        </w:trPr>
        <w:tc>
          <w:tcPr>
            <w:tcW w:w="8180" w:type="dxa"/>
            <w:vAlign w:val="bottom"/>
          </w:tcPr>
          <w:p>
            <w:pPr>
              <w:spacing w:after="0"/>
              <w:rPr>
                <w:sz w:val="20"/>
                <w:szCs w:val="20"/>
                <w:color w:val="auto"/>
              </w:rPr>
            </w:pPr>
            <w:r>
              <w:rPr>
                <w:rFonts w:ascii="Arial" w:cs="Arial" w:eastAsia="Arial" w:hAnsi="Arial"/>
                <w:sz w:val="10"/>
                <w:szCs w:val="10"/>
                <w:color w:val="auto"/>
              </w:rPr>
              <w:t>Operating lease right-of-use assets</w:t>
            </w:r>
          </w:p>
        </w:tc>
        <w:tc>
          <w:tcPr>
            <w:tcW w:w="10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33,893</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36,484</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Deferred contract acquisition costs, noncurrent</w:t>
            </w:r>
          </w:p>
        </w:tc>
        <w:tc>
          <w:tcPr>
            <w:tcW w:w="10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162,309</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117,906</w:t>
            </w:r>
          </w:p>
        </w:tc>
        <w:tc>
          <w:tcPr>
            <w:tcW w:w="0" w:type="dxa"/>
            <w:vAlign w:val="bottom"/>
          </w:tcPr>
          <w:p>
            <w:pPr>
              <w:spacing w:after="0"/>
              <w:rPr>
                <w:sz w:val="1"/>
                <w:szCs w:val="1"/>
                <w:color w:val="auto"/>
              </w:rPr>
            </w:pPr>
          </w:p>
        </w:tc>
      </w:tr>
      <w:tr>
        <w:trPr>
          <w:trHeight w:val="124"/>
        </w:trPr>
        <w:tc>
          <w:tcPr>
            <w:tcW w:w="8180" w:type="dxa"/>
            <w:vAlign w:val="bottom"/>
          </w:tcPr>
          <w:p>
            <w:pPr>
              <w:spacing w:after="0"/>
              <w:rPr>
                <w:sz w:val="20"/>
                <w:szCs w:val="20"/>
                <w:color w:val="auto"/>
              </w:rPr>
            </w:pPr>
            <w:r>
              <w:rPr>
                <w:rFonts w:ascii="Arial" w:cs="Arial" w:eastAsia="Arial" w:hAnsi="Arial"/>
                <w:sz w:val="10"/>
                <w:szCs w:val="10"/>
                <w:color w:val="auto"/>
              </w:rPr>
              <w:t>Goodwill</w:t>
            </w:r>
          </w:p>
        </w:tc>
        <w:tc>
          <w:tcPr>
            <w:tcW w:w="10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373,889</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83,566</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Intangible assets, net</w:t>
            </w:r>
          </w:p>
        </w:tc>
        <w:tc>
          <w:tcPr>
            <w:tcW w:w="10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82,870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15,677</w:t>
            </w:r>
          </w:p>
        </w:tc>
        <w:tc>
          <w:tcPr>
            <w:tcW w:w="0" w:type="dxa"/>
            <w:vAlign w:val="bottom"/>
          </w:tcPr>
          <w:p>
            <w:pPr>
              <w:spacing w:after="0"/>
              <w:rPr>
                <w:sz w:val="1"/>
                <w:szCs w:val="1"/>
                <w:color w:val="auto"/>
              </w:rPr>
            </w:pPr>
          </w:p>
        </w:tc>
      </w:tr>
      <w:tr>
        <w:trPr>
          <w:trHeight w:val="124"/>
        </w:trPr>
        <w:tc>
          <w:tcPr>
            <w:tcW w:w="81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long-term assets</w:t>
            </w: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21,681</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17,112</w:t>
            </w:r>
          </w:p>
        </w:tc>
        <w:tc>
          <w:tcPr>
            <w:tcW w:w="0" w:type="dxa"/>
            <w:vAlign w:val="bottom"/>
          </w:tcPr>
          <w:p>
            <w:pPr>
              <w:spacing w:after="0"/>
              <w:rPr>
                <w:sz w:val="1"/>
                <w:szCs w:val="1"/>
                <w:color w:val="auto"/>
              </w:rPr>
            </w:pPr>
          </w:p>
        </w:tc>
      </w:tr>
      <w:tr>
        <w:trPr>
          <w:trHeight w:val="137"/>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assets</w:t>
            </w:r>
          </w:p>
        </w:tc>
        <w:tc>
          <w:tcPr>
            <w:tcW w:w="10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4"/>
              </w:rPr>
              <w:t>3,299,617</w:t>
            </w: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2,732,533</w:t>
            </w:r>
          </w:p>
        </w:tc>
        <w:tc>
          <w:tcPr>
            <w:tcW w:w="0" w:type="dxa"/>
            <w:vAlign w:val="bottom"/>
          </w:tcPr>
          <w:p>
            <w:pPr>
              <w:spacing w:after="0"/>
              <w:rPr>
                <w:sz w:val="1"/>
                <w:szCs w:val="1"/>
                <w:color w:val="auto"/>
              </w:rPr>
            </w:pPr>
          </w:p>
        </w:tc>
      </w:tr>
      <w:tr>
        <w:trPr>
          <w:trHeight w:val="103"/>
        </w:trPr>
        <w:tc>
          <w:tcPr>
            <w:tcW w:w="8180" w:type="dxa"/>
            <w:vAlign w:val="bottom"/>
          </w:tcPr>
          <w:p>
            <w:pPr>
              <w:spacing w:after="0" w:line="103" w:lineRule="exact"/>
              <w:rPr>
                <w:sz w:val="20"/>
                <w:szCs w:val="20"/>
                <w:color w:val="auto"/>
              </w:rPr>
            </w:pPr>
            <w:r>
              <w:rPr>
                <w:rFonts w:ascii="Arial" w:cs="Arial" w:eastAsia="Arial" w:hAnsi="Arial"/>
                <w:sz w:val="10"/>
                <w:szCs w:val="10"/>
                <w:b w:val="1"/>
                <w:bCs w:val="1"/>
                <w:color w:val="auto"/>
              </w:rPr>
              <w:t>Liabilities and Stockholders’ Equity</w:t>
            </w: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Current liabilities:</w:t>
            </w:r>
          </w:p>
        </w:tc>
        <w:tc>
          <w:tcPr>
            <w:tcW w:w="10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180" w:type="dxa"/>
            <w:vAlign w:val="bottom"/>
          </w:tcPr>
          <w:p>
            <w:pPr>
              <w:ind w:left="80"/>
              <w:spacing w:after="0"/>
              <w:rPr>
                <w:sz w:val="20"/>
                <w:szCs w:val="20"/>
                <w:color w:val="auto"/>
              </w:rPr>
            </w:pPr>
            <w:r>
              <w:rPr>
                <w:rFonts w:ascii="Arial" w:cs="Arial" w:eastAsia="Arial" w:hAnsi="Arial"/>
                <w:sz w:val="10"/>
                <w:szCs w:val="10"/>
                <w:color w:val="auto"/>
              </w:rPr>
              <w:t>Accounts payable</w:t>
            </w:r>
          </w:p>
        </w:tc>
        <w:tc>
          <w:tcPr>
            <w:tcW w:w="1040" w:type="dxa"/>
            <w:vAlign w:val="bottom"/>
          </w:tcPr>
          <w:p>
            <w:pPr>
              <w:jc w:val="right"/>
              <w:ind w:right="93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7,167</w:t>
            </w:r>
          </w:p>
        </w:tc>
        <w:tc>
          <w:tcPr>
            <w:tcW w:w="80" w:type="dxa"/>
            <w:vAlign w:val="bottom"/>
          </w:tcPr>
          <w:p>
            <w:pPr>
              <w:spacing w:after="0"/>
              <w:rPr>
                <w:sz w:val="10"/>
                <w:szCs w:val="10"/>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12,065</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ind w:left="80"/>
              <w:spacing w:after="0"/>
              <w:rPr>
                <w:sz w:val="20"/>
                <w:szCs w:val="20"/>
                <w:color w:val="auto"/>
              </w:rPr>
            </w:pPr>
            <w:r>
              <w:rPr>
                <w:rFonts w:ascii="Arial" w:cs="Arial" w:eastAsia="Arial" w:hAnsi="Arial"/>
                <w:sz w:val="10"/>
                <w:szCs w:val="10"/>
                <w:color w:val="auto"/>
              </w:rPr>
              <w:t>Accrued expenses</w:t>
            </w:r>
          </w:p>
        </w:tc>
        <w:tc>
          <w:tcPr>
            <w:tcW w:w="10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76,758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51,117</w:t>
            </w:r>
          </w:p>
        </w:tc>
        <w:tc>
          <w:tcPr>
            <w:tcW w:w="0" w:type="dxa"/>
            <w:vAlign w:val="bottom"/>
          </w:tcPr>
          <w:p>
            <w:pPr>
              <w:spacing w:after="0"/>
              <w:rPr>
                <w:sz w:val="1"/>
                <w:szCs w:val="1"/>
                <w:color w:val="auto"/>
              </w:rPr>
            </w:pPr>
          </w:p>
        </w:tc>
      </w:tr>
      <w:tr>
        <w:trPr>
          <w:trHeight w:val="124"/>
        </w:trPr>
        <w:tc>
          <w:tcPr>
            <w:tcW w:w="8180" w:type="dxa"/>
            <w:vAlign w:val="bottom"/>
          </w:tcPr>
          <w:p>
            <w:pPr>
              <w:ind w:left="80"/>
              <w:spacing w:after="0"/>
              <w:rPr>
                <w:sz w:val="20"/>
                <w:szCs w:val="20"/>
                <w:color w:val="auto"/>
              </w:rPr>
            </w:pPr>
            <w:r>
              <w:rPr>
                <w:rFonts w:ascii="Arial" w:cs="Arial" w:eastAsia="Arial" w:hAnsi="Arial"/>
                <w:sz w:val="10"/>
                <w:szCs w:val="10"/>
                <w:color w:val="auto"/>
              </w:rPr>
              <w:t>Accrued payroll and benefits</w:t>
            </w:r>
          </w:p>
        </w:tc>
        <w:tc>
          <w:tcPr>
            <w:tcW w:w="10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94,738</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71,907</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ind w:left="80"/>
              <w:spacing w:after="0"/>
              <w:rPr>
                <w:sz w:val="20"/>
                <w:szCs w:val="20"/>
                <w:color w:val="auto"/>
              </w:rPr>
            </w:pPr>
            <w:r>
              <w:rPr>
                <w:rFonts w:ascii="Arial" w:cs="Arial" w:eastAsia="Arial" w:hAnsi="Arial"/>
                <w:sz w:val="10"/>
                <w:szCs w:val="10"/>
                <w:color w:val="auto"/>
              </w:rPr>
              <w:t>Operating lease liabilities, current</w:t>
            </w:r>
          </w:p>
        </w:tc>
        <w:tc>
          <w:tcPr>
            <w:tcW w:w="10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9,706</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8,977</w:t>
            </w:r>
          </w:p>
        </w:tc>
        <w:tc>
          <w:tcPr>
            <w:tcW w:w="0" w:type="dxa"/>
            <w:vAlign w:val="bottom"/>
          </w:tcPr>
          <w:p>
            <w:pPr>
              <w:spacing w:after="0"/>
              <w:rPr>
                <w:sz w:val="1"/>
                <w:szCs w:val="1"/>
                <w:color w:val="auto"/>
              </w:rPr>
            </w:pPr>
          </w:p>
        </w:tc>
      </w:tr>
      <w:tr>
        <w:trPr>
          <w:trHeight w:val="124"/>
        </w:trPr>
        <w:tc>
          <w:tcPr>
            <w:tcW w:w="8180" w:type="dxa"/>
            <w:vAlign w:val="bottom"/>
          </w:tcPr>
          <w:p>
            <w:pPr>
              <w:ind w:left="80"/>
              <w:spacing w:after="0"/>
              <w:rPr>
                <w:sz w:val="20"/>
                <w:szCs w:val="20"/>
                <w:color w:val="auto"/>
              </w:rPr>
            </w:pPr>
            <w:r>
              <w:rPr>
                <w:rFonts w:ascii="Arial" w:cs="Arial" w:eastAsia="Arial" w:hAnsi="Arial"/>
                <w:sz w:val="10"/>
                <w:szCs w:val="10"/>
                <w:color w:val="auto"/>
              </w:rPr>
              <w:t>Deferred revenue</w:t>
            </w:r>
          </w:p>
        </w:tc>
        <w:tc>
          <w:tcPr>
            <w:tcW w:w="10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974,571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701,988</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ind w:left="80"/>
              <w:spacing w:after="0"/>
              <w:rPr>
                <w:sz w:val="20"/>
                <w:szCs w:val="20"/>
                <w:color w:val="auto"/>
              </w:rPr>
            </w:pPr>
            <w:r>
              <w:rPr>
                <w:rFonts w:ascii="Arial" w:cs="Arial" w:eastAsia="Arial" w:hAnsi="Arial"/>
                <w:sz w:val="10"/>
                <w:szCs w:val="10"/>
                <w:color w:val="auto"/>
              </w:rPr>
              <w:t>Other current liabilities</w:t>
            </w:r>
          </w:p>
        </w:tc>
        <w:tc>
          <w:tcPr>
            <w:tcW w:w="10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78,607</w:t>
            </w:r>
          </w:p>
        </w:tc>
        <w:tc>
          <w:tcPr>
            <w:tcW w:w="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17,499</w:t>
            </w:r>
          </w:p>
        </w:tc>
        <w:tc>
          <w:tcPr>
            <w:tcW w:w="0" w:type="dxa"/>
            <w:vAlign w:val="bottom"/>
          </w:tcPr>
          <w:p>
            <w:pPr>
              <w:spacing w:after="0"/>
              <w:rPr>
                <w:sz w:val="1"/>
                <w:szCs w:val="1"/>
                <w:color w:val="auto"/>
              </w:rPr>
            </w:pPr>
          </w:p>
        </w:tc>
      </w:tr>
      <w:tr>
        <w:trPr>
          <w:trHeight w:val="113"/>
        </w:trPr>
        <w:tc>
          <w:tcPr>
            <w:tcW w:w="8180" w:type="dxa"/>
            <w:vAlign w:val="bottom"/>
          </w:tcPr>
          <w:p>
            <w:pPr>
              <w:ind w:left="140"/>
              <w:spacing w:after="0" w:line="107" w:lineRule="exact"/>
              <w:rPr>
                <w:sz w:val="20"/>
                <w:szCs w:val="20"/>
                <w:color w:val="auto"/>
              </w:rPr>
            </w:pPr>
            <w:r>
              <w:rPr>
                <w:rFonts w:ascii="Arial" w:cs="Arial" w:eastAsia="Arial" w:hAnsi="Arial"/>
                <w:sz w:val="10"/>
                <w:szCs w:val="10"/>
                <w:color w:val="auto"/>
              </w:rPr>
              <w:t>Total current liabilities</w:t>
            </w:r>
          </w:p>
        </w:tc>
        <w:tc>
          <w:tcPr>
            <w:tcW w:w="104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w w:val="94"/>
              </w:rPr>
              <w:t>1,241,547</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jc w:val="right"/>
              <w:spacing w:after="0" w:line="113" w:lineRule="exact"/>
              <w:rPr>
                <w:sz w:val="20"/>
                <w:szCs w:val="20"/>
                <w:color w:val="auto"/>
              </w:rPr>
            </w:pPr>
            <w:r>
              <w:rPr>
                <w:rFonts w:ascii="Arial" w:cs="Arial" w:eastAsia="Arial" w:hAnsi="Arial"/>
                <w:sz w:val="10"/>
                <w:szCs w:val="10"/>
                <w:color w:val="auto"/>
              </w:rPr>
              <w:t>863,553</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Long-term debt</w:t>
            </w:r>
          </w:p>
        </w:tc>
        <w:tc>
          <w:tcPr>
            <w:tcW w:w="10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739,145</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738,029</w:t>
            </w:r>
          </w:p>
        </w:tc>
        <w:tc>
          <w:tcPr>
            <w:tcW w:w="0" w:type="dxa"/>
            <w:vAlign w:val="bottom"/>
          </w:tcPr>
          <w:p>
            <w:pPr>
              <w:spacing w:after="0"/>
              <w:rPr>
                <w:sz w:val="1"/>
                <w:szCs w:val="1"/>
                <w:color w:val="auto"/>
              </w:rPr>
            </w:pPr>
          </w:p>
        </w:tc>
      </w:tr>
      <w:tr>
        <w:trPr>
          <w:trHeight w:val="124"/>
        </w:trPr>
        <w:tc>
          <w:tcPr>
            <w:tcW w:w="8180" w:type="dxa"/>
            <w:vAlign w:val="bottom"/>
          </w:tcPr>
          <w:p>
            <w:pPr>
              <w:spacing w:after="0"/>
              <w:rPr>
                <w:sz w:val="20"/>
                <w:szCs w:val="20"/>
                <w:color w:val="auto"/>
              </w:rPr>
            </w:pPr>
            <w:r>
              <w:rPr>
                <w:rFonts w:ascii="Arial" w:cs="Arial" w:eastAsia="Arial" w:hAnsi="Arial"/>
                <w:sz w:val="10"/>
                <w:szCs w:val="10"/>
                <w:color w:val="auto"/>
              </w:rPr>
              <w:t>Deferred revenue, noncurrent</w:t>
            </w:r>
          </w:p>
        </w:tc>
        <w:tc>
          <w:tcPr>
            <w:tcW w:w="10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313,625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209,907</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Operating lease liabilities, noncurrent</w:t>
            </w:r>
          </w:p>
        </w:tc>
        <w:tc>
          <w:tcPr>
            <w:tcW w:w="10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27,895</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31,986</w:t>
            </w:r>
          </w:p>
        </w:tc>
        <w:tc>
          <w:tcPr>
            <w:tcW w:w="0" w:type="dxa"/>
            <w:vAlign w:val="bottom"/>
          </w:tcPr>
          <w:p>
            <w:pPr>
              <w:spacing w:after="0"/>
              <w:rPr>
                <w:sz w:val="1"/>
                <w:szCs w:val="1"/>
                <w:color w:val="auto"/>
              </w:rPr>
            </w:pPr>
          </w:p>
        </w:tc>
      </w:tr>
      <w:tr>
        <w:trPr>
          <w:trHeight w:val="124"/>
        </w:trPr>
        <w:tc>
          <w:tcPr>
            <w:tcW w:w="81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liabilities, noncurrent</w:t>
            </w: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17,835</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17,184</w:t>
            </w:r>
          </w:p>
        </w:tc>
        <w:tc>
          <w:tcPr>
            <w:tcW w:w="0" w:type="dxa"/>
            <w:vAlign w:val="bottom"/>
          </w:tcPr>
          <w:p>
            <w:pPr>
              <w:spacing w:after="0"/>
              <w:rPr>
                <w:sz w:val="1"/>
                <w:szCs w:val="1"/>
                <w:color w:val="auto"/>
              </w:rPr>
            </w:pPr>
          </w:p>
        </w:tc>
      </w:tr>
      <w:tr>
        <w:trPr>
          <w:trHeight w:val="117"/>
        </w:trPr>
        <w:tc>
          <w:tcPr>
            <w:tcW w:w="8180" w:type="dxa"/>
            <w:vAlign w:val="bottom"/>
            <w:shd w:val="clear" w:color="auto" w:fill="CCEEFF"/>
          </w:tcPr>
          <w:p>
            <w:pPr>
              <w:ind w:left="140"/>
              <w:spacing w:after="0" w:line="110" w:lineRule="exact"/>
              <w:rPr>
                <w:sz w:val="20"/>
                <w:szCs w:val="20"/>
                <w:color w:val="auto"/>
              </w:rPr>
            </w:pPr>
            <w:r>
              <w:rPr>
                <w:rFonts w:ascii="Arial" w:cs="Arial" w:eastAsia="Arial" w:hAnsi="Arial"/>
                <w:sz w:val="10"/>
                <w:szCs w:val="10"/>
                <w:color w:val="auto"/>
              </w:rPr>
              <w:t>Total liabilities</w:t>
            </w:r>
          </w:p>
        </w:tc>
        <w:tc>
          <w:tcPr>
            <w:tcW w:w="104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4"/>
              </w:rPr>
              <w:t>2,340,047</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1,860,659</w:t>
            </w:r>
          </w:p>
        </w:tc>
        <w:tc>
          <w:tcPr>
            <w:tcW w:w="0" w:type="dxa"/>
            <w:vAlign w:val="bottom"/>
          </w:tcPr>
          <w:p>
            <w:pPr>
              <w:spacing w:after="0"/>
              <w:rPr>
                <w:sz w:val="1"/>
                <w:szCs w:val="1"/>
                <w:color w:val="auto"/>
              </w:rPr>
            </w:pPr>
          </w:p>
        </w:tc>
      </w:tr>
      <w:tr>
        <w:trPr>
          <w:trHeight w:val="104"/>
        </w:trPr>
        <w:tc>
          <w:tcPr>
            <w:tcW w:w="8180" w:type="dxa"/>
            <w:vAlign w:val="bottom"/>
          </w:tcPr>
          <w:p>
            <w:pPr>
              <w:spacing w:after="0" w:line="102" w:lineRule="exact"/>
              <w:rPr>
                <w:sz w:val="20"/>
                <w:szCs w:val="20"/>
                <w:color w:val="auto"/>
              </w:rPr>
            </w:pPr>
            <w:r>
              <w:rPr>
                <w:rFonts w:ascii="Arial" w:cs="Arial" w:eastAsia="Arial" w:hAnsi="Arial"/>
                <w:sz w:val="10"/>
                <w:szCs w:val="10"/>
                <w:color w:val="auto"/>
              </w:rPr>
              <w:t>Commitments and contingencies (Note 10)</w:t>
            </w:r>
          </w:p>
        </w:tc>
        <w:tc>
          <w:tcPr>
            <w:tcW w:w="1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Stockholders’ Equity</w:t>
            </w:r>
          </w:p>
        </w:tc>
        <w:tc>
          <w:tcPr>
            <w:tcW w:w="10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180" w:type="dxa"/>
            <w:vAlign w:val="bottom"/>
          </w:tcPr>
          <w:p>
            <w:pPr>
              <w:spacing w:after="0"/>
              <w:rPr>
                <w:sz w:val="20"/>
                <w:szCs w:val="20"/>
                <w:color w:val="auto"/>
              </w:rPr>
            </w:pPr>
            <w:r>
              <w:rPr>
                <w:rFonts w:ascii="Arial" w:cs="Arial" w:eastAsia="Arial" w:hAnsi="Arial"/>
                <w:sz w:val="10"/>
                <w:szCs w:val="10"/>
                <w:color w:val="auto"/>
                <w:w w:val="97"/>
              </w:rPr>
              <w:t>Preferred stock, $0.0005 par value; 100,000 shares authorized as of October 31, 2021 and January 31, 2021; no shares issued and outstanding as of October 31, 2021 and January 31, 2021</w:t>
            </w:r>
          </w:p>
        </w:tc>
        <w:tc>
          <w:tcPr>
            <w:tcW w:w="104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2"/>
        </w:trPr>
        <w:tc>
          <w:tcPr>
            <w:tcW w:w="818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w w:val="88"/>
              </w:rPr>
              <w:t>Class A common stock, $0.0005 par value; 2,000,000 shares authorized as of October 31, 2021 and January 31, 2021; 208,121 shares and 195,039 shares issued and outstanding as of October 31, 2021 and</w:t>
            </w:r>
          </w:p>
        </w:tc>
        <w:tc>
          <w:tcPr>
            <w:tcW w:w="10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180" w:type="dxa"/>
            <w:vAlign w:val="bottom"/>
            <w:shd w:val="clear" w:color="auto" w:fill="CCEEFF"/>
          </w:tcPr>
          <w:p>
            <w:pPr>
              <w:spacing w:after="0" w:line="90" w:lineRule="exact"/>
              <w:rPr>
                <w:sz w:val="20"/>
                <w:szCs w:val="20"/>
                <w:color w:val="auto"/>
              </w:rPr>
            </w:pPr>
            <w:r>
              <w:rPr>
                <w:rFonts w:ascii="Arial" w:cs="Arial" w:eastAsia="Arial" w:hAnsi="Arial"/>
                <w:sz w:val="10"/>
                <w:szCs w:val="10"/>
                <w:color w:val="auto"/>
                <w:w w:val="86"/>
              </w:rPr>
              <w:t>January 31, 2021, respectively; Class B common stock, $0.0005 par value; 300,000 shares authorized as of October 31, 2021 and January 31, 2021; 21,176 shares and 28,685 shares issued and outstanding as of</w:t>
            </w:r>
          </w:p>
        </w:tc>
        <w:tc>
          <w:tcPr>
            <w:tcW w:w="104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115</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112</w:t>
            </w:r>
          </w:p>
        </w:tc>
        <w:tc>
          <w:tcPr>
            <w:tcW w:w="0" w:type="dxa"/>
            <w:vAlign w:val="bottom"/>
          </w:tcPr>
          <w:p>
            <w:pPr>
              <w:spacing w:after="0"/>
              <w:rPr>
                <w:sz w:val="1"/>
                <w:szCs w:val="1"/>
                <w:color w:val="auto"/>
              </w:rPr>
            </w:pPr>
          </w:p>
        </w:tc>
      </w:tr>
      <w:tr>
        <w:trPr>
          <w:trHeight w:val="126"/>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October 31, 2021 and January 31, 2021, respectively.</w:t>
            </w:r>
          </w:p>
        </w:tc>
        <w:tc>
          <w:tcPr>
            <w:tcW w:w="104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180" w:type="dxa"/>
            <w:vAlign w:val="bottom"/>
          </w:tcPr>
          <w:p>
            <w:pPr>
              <w:ind w:left="80"/>
              <w:spacing w:after="0"/>
              <w:rPr>
                <w:sz w:val="20"/>
                <w:szCs w:val="20"/>
                <w:color w:val="auto"/>
              </w:rPr>
            </w:pPr>
            <w:r>
              <w:rPr>
                <w:rFonts w:ascii="Arial" w:cs="Arial" w:eastAsia="Arial" w:hAnsi="Arial"/>
                <w:sz w:val="10"/>
                <w:szCs w:val="10"/>
                <w:color w:val="auto"/>
              </w:rPr>
              <w:t>Additional paid-in capital</w:t>
            </w:r>
          </w:p>
        </w:tc>
        <w:tc>
          <w:tcPr>
            <w:tcW w:w="10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w w:val="94"/>
              </w:rPr>
              <w:t>1,870,120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1,598,259</w:t>
            </w:r>
          </w:p>
        </w:tc>
        <w:tc>
          <w:tcPr>
            <w:tcW w:w="0" w:type="dxa"/>
            <w:vAlign w:val="bottom"/>
          </w:tcPr>
          <w:p>
            <w:pPr>
              <w:spacing w:after="0"/>
              <w:rPr>
                <w:sz w:val="1"/>
                <w:szCs w:val="1"/>
                <w:color w:val="auto"/>
              </w:rPr>
            </w:pPr>
          </w:p>
        </w:tc>
      </w:tr>
      <w:tr>
        <w:trPr>
          <w:trHeight w:val="128"/>
        </w:trPr>
        <w:tc>
          <w:tcPr>
            <w:tcW w:w="8180" w:type="dxa"/>
            <w:vAlign w:val="bottom"/>
            <w:shd w:val="clear" w:color="auto" w:fill="CCEEFF"/>
          </w:tcPr>
          <w:p>
            <w:pPr>
              <w:ind w:left="80"/>
              <w:spacing w:after="0"/>
              <w:rPr>
                <w:sz w:val="20"/>
                <w:szCs w:val="20"/>
                <w:color w:val="auto"/>
              </w:rPr>
            </w:pPr>
            <w:r>
              <w:rPr>
                <w:rFonts w:ascii="Arial" w:cs="Arial" w:eastAsia="Arial" w:hAnsi="Arial"/>
                <w:sz w:val="10"/>
                <w:szCs w:val="10"/>
                <w:color w:val="auto"/>
              </w:rPr>
              <w:t>Accumulated deficit</w:t>
            </w:r>
          </w:p>
        </w:tc>
        <w:tc>
          <w:tcPr>
            <w:tcW w:w="10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(922,938)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(730,116)</w:t>
            </w:r>
          </w:p>
        </w:tc>
        <w:tc>
          <w:tcPr>
            <w:tcW w:w="0" w:type="dxa"/>
            <w:vAlign w:val="bottom"/>
          </w:tcPr>
          <w:p>
            <w:pPr>
              <w:spacing w:after="0"/>
              <w:rPr>
                <w:sz w:val="1"/>
                <w:szCs w:val="1"/>
                <w:color w:val="auto"/>
              </w:rPr>
            </w:pPr>
          </w:p>
        </w:tc>
      </w:tr>
      <w:tr>
        <w:trPr>
          <w:trHeight w:val="124"/>
        </w:trPr>
        <w:tc>
          <w:tcPr>
            <w:tcW w:w="818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Accumulated other comprehensive income</w:t>
            </w: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885</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2,319</w:t>
            </w:r>
          </w:p>
        </w:tc>
        <w:tc>
          <w:tcPr>
            <w:tcW w:w="0" w:type="dxa"/>
            <w:vAlign w:val="bottom"/>
          </w:tcPr>
          <w:p>
            <w:pPr>
              <w:spacing w:after="0"/>
              <w:rPr>
                <w:sz w:val="1"/>
                <w:szCs w:val="1"/>
                <w:color w:val="auto"/>
              </w:rPr>
            </w:pPr>
          </w:p>
        </w:tc>
      </w:tr>
      <w:tr>
        <w:trPr>
          <w:trHeight w:val="117"/>
        </w:trPr>
        <w:tc>
          <w:tcPr>
            <w:tcW w:w="8180" w:type="dxa"/>
            <w:vAlign w:val="bottom"/>
            <w:shd w:val="clear" w:color="auto" w:fill="CCEEFF"/>
          </w:tcPr>
          <w:p>
            <w:pPr>
              <w:ind w:left="140"/>
              <w:spacing w:after="0" w:line="110" w:lineRule="exact"/>
              <w:rPr>
                <w:sz w:val="20"/>
                <w:szCs w:val="20"/>
                <w:color w:val="auto"/>
              </w:rPr>
            </w:pPr>
            <w:r>
              <w:rPr>
                <w:rFonts w:ascii="Arial" w:cs="Arial" w:eastAsia="Arial" w:hAnsi="Arial"/>
                <w:sz w:val="10"/>
                <w:szCs w:val="10"/>
                <w:color w:val="auto"/>
              </w:rPr>
              <w:t>Total CrowdStrike Holdings, Inc. stockholders’ equity</w:t>
            </w:r>
          </w:p>
        </w:tc>
        <w:tc>
          <w:tcPr>
            <w:tcW w:w="10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948,182</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870,574</w:t>
            </w:r>
          </w:p>
        </w:tc>
        <w:tc>
          <w:tcPr>
            <w:tcW w:w="0" w:type="dxa"/>
            <w:vAlign w:val="bottom"/>
          </w:tcPr>
          <w:p>
            <w:pPr>
              <w:spacing w:after="0"/>
              <w:rPr>
                <w:sz w:val="1"/>
                <w:szCs w:val="1"/>
                <w:color w:val="auto"/>
              </w:rPr>
            </w:pPr>
          </w:p>
        </w:tc>
      </w:tr>
      <w:tr>
        <w:trPr>
          <w:trHeight w:val="124"/>
        </w:trPr>
        <w:tc>
          <w:tcPr>
            <w:tcW w:w="818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Non-controlling interest</w:t>
            </w: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11,388</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1,300</w:t>
            </w:r>
          </w:p>
        </w:tc>
        <w:tc>
          <w:tcPr>
            <w:tcW w:w="0" w:type="dxa"/>
            <w:vAlign w:val="bottom"/>
          </w:tcPr>
          <w:p>
            <w:pPr>
              <w:spacing w:after="0"/>
              <w:rPr>
                <w:sz w:val="1"/>
                <w:szCs w:val="1"/>
                <w:color w:val="auto"/>
              </w:rPr>
            </w:pPr>
          </w:p>
        </w:tc>
      </w:tr>
      <w:tr>
        <w:trPr>
          <w:trHeight w:val="115"/>
        </w:trPr>
        <w:tc>
          <w:tcPr>
            <w:tcW w:w="8180" w:type="dxa"/>
            <w:vAlign w:val="bottom"/>
            <w:shd w:val="clear" w:color="auto" w:fill="CCEEFF"/>
          </w:tcPr>
          <w:p>
            <w:pPr>
              <w:ind w:left="140"/>
              <w:spacing w:after="0" w:line="110" w:lineRule="exact"/>
              <w:rPr>
                <w:sz w:val="20"/>
                <w:szCs w:val="20"/>
                <w:color w:val="auto"/>
              </w:rPr>
            </w:pPr>
            <w:r>
              <w:rPr>
                <w:rFonts w:ascii="Arial" w:cs="Arial" w:eastAsia="Arial" w:hAnsi="Arial"/>
                <w:sz w:val="10"/>
                <w:szCs w:val="10"/>
                <w:color w:val="auto"/>
              </w:rPr>
              <w:t>Total stockholders’ equity</w:t>
            </w:r>
          </w:p>
        </w:tc>
        <w:tc>
          <w:tcPr>
            <w:tcW w:w="104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959,570</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871,874</w:t>
            </w:r>
          </w:p>
        </w:tc>
        <w:tc>
          <w:tcPr>
            <w:tcW w:w="0" w:type="dxa"/>
            <w:vAlign w:val="bottom"/>
          </w:tcPr>
          <w:p>
            <w:pPr>
              <w:spacing w:after="0"/>
              <w:rPr>
                <w:sz w:val="1"/>
                <w:szCs w:val="1"/>
                <w:color w:val="auto"/>
              </w:rPr>
            </w:pPr>
          </w:p>
        </w:tc>
      </w:tr>
      <w:tr>
        <w:trPr>
          <w:trHeight w:val="117"/>
        </w:trPr>
        <w:tc>
          <w:tcPr>
            <w:tcW w:w="8180" w:type="dxa"/>
            <w:vAlign w:val="bottom"/>
          </w:tcPr>
          <w:p>
            <w:pPr>
              <w:ind w:left="80"/>
              <w:spacing w:after="0"/>
              <w:rPr>
                <w:sz w:val="20"/>
                <w:szCs w:val="20"/>
                <w:color w:val="auto"/>
              </w:rPr>
            </w:pPr>
            <w:r>
              <w:rPr>
                <w:rFonts w:ascii="Arial" w:cs="Arial" w:eastAsia="Arial" w:hAnsi="Arial"/>
                <w:sz w:val="10"/>
                <w:szCs w:val="10"/>
                <w:b w:val="1"/>
                <w:bCs w:val="1"/>
                <w:color w:val="auto"/>
              </w:rPr>
              <w:t>Total liabilities and stockholders’ equity</w:t>
            </w:r>
          </w:p>
        </w:tc>
        <w:tc>
          <w:tcPr>
            <w:tcW w:w="1040" w:type="dxa"/>
            <w:vAlign w:val="bottom"/>
            <w:tcBorders>
              <w:bottom w:val="single" w:sz="8" w:color="auto"/>
            </w:tcBorders>
          </w:tcPr>
          <w:p>
            <w:pPr>
              <w:jc w:val="right"/>
              <w:ind w:right="93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4"/>
              </w:rPr>
              <w:t>3,299,617</w:t>
            </w:r>
          </w:p>
        </w:tc>
        <w:tc>
          <w:tcPr>
            <w:tcW w:w="80" w:type="dxa"/>
            <w:vAlign w:val="bottom"/>
          </w:tcPr>
          <w:p>
            <w:pPr>
              <w:spacing w:after="0"/>
              <w:rPr>
                <w:sz w:val="10"/>
                <w:szCs w:val="10"/>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2,732,533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6" w:name="page7"/>
    <w:bookmarkEnd w:id="6"/>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CrowdStrike Holdings,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per share data)</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Three Months Ended October 31,</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Nine Months Ended October 31,</w:t>
            </w: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04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w w:val="80"/>
              </w:rPr>
              <w:t>2020</w:t>
            </w: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w w:val="80"/>
              </w:rPr>
              <w:t>2020</w:t>
            </w:r>
          </w:p>
        </w:tc>
        <w:tc>
          <w:tcPr>
            <w:tcW w:w="0" w:type="dxa"/>
            <w:vAlign w:val="bottom"/>
          </w:tcPr>
          <w:p>
            <w:pPr>
              <w:spacing w:after="0"/>
              <w:rPr>
                <w:sz w:val="1"/>
                <w:szCs w:val="1"/>
                <w:color w:val="auto"/>
              </w:rPr>
            </w:pPr>
          </w:p>
        </w:tc>
      </w:tr>
      <w:tr>
        <w:trPr>
          <w:trHeight w:val="134"/>
        </w:trPr>
        <w:tc>
          <w:tcPr>
            <w:tcW w:w="5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8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40" w:type="dxa"/>
            <w:vAlign w:val="bottom"/>
          </w:tcPr>
          <w:p>
            <w:pPr>
              <w:ind w:left="80"/>
              <w:spacing w:after="0"/>
              <w:rPr>
                <w:sz w:val="20"/>
                <w:szCs w:val="20"/>
                <w:color w:val="auto"/>
              </w:rPr>
            </w:pPr>
            <w:r>
              <w:rPr>
                <w:rFonts w:ascii="Arial" w:cs="Arial" w:eastAsia="Arial" w:hAnsi="Arial"/>
                <w:sz w:val="12"/>
                <w:szCs w:val="12"/>
                <w:color w:val="auto"/>
              </w:rPr>
              <w:t>Subscription</w:t>
            </w: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357,030</w:t>
            </w:r>
          </w:p>
        </w:tc>
        <w:tc>
          <w:tcPr>
            <w:tcW w:w="80" w:type="dxa"/>
            <w:vAlign w:val="bottom"/>
          </w:tcPr>
          <w:p>
            <w:pPr>
              <w:spacing w:after="0"/>
              <w:rPr>
                <w:sz w:val="13"/>
                <w:szCs w:val="13"/>
                <w:color w:val="auto"/>
              </w:rPr>
            </w:pP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213,530</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954,094</w:t>
            </w:r>
          </w:p>
        </w:tc>
        <w:tc>
          <w:tcPr>
            <w:tcW w:w="80" w:type="dxa"/>
            <w:vAlign w:val="bottom"/>
          </w:tcPr>
          <w:p>
            <w:pPr>
              <w:spacing w:after="0"/>
              <w:rPr>
                <w:sz w:val="13"/>
                <w:szCs w:val="13"/>
                <w:color w:val="auto"/>
              </w:rPr>
            </w:pP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560,008</w:t>
            </w: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Professional services</w:t>
            </w:r>
          </w:p>
        </w:tc>
        <w:tc>
          <w:tcPr>
            <w:tcW w:w="8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23,021</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18,930</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66,490</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49,501</w:t>
            </w:r>
          </w:p>
        </w:tc>
        <w:tc>
          <w:tcPr>
            <w:tcW w:w="0" w:type="dxa"/>
            <w:vAlign w:val="bottom"/>
          </w:tcPr>
          <w:p>
            <w:pPr>
              <w:spacing w:after="0"/>
              <w:rPr>
                <w:sz w:val="1"/>
                <w:szCs w:val="1"/>
                <w:color w:val="auto"/>
              </w:rPr>
            </w:pPr>
          </w:p>
        </w:tc>
      </w:tr>
      <w:tr>
        <w:trPr>
          <w:trHeight w:val="142"/>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Total revenue</w:t>
            </w:r>
          </w:p>
        </w:tc>
        <w:tc>
          <w:tcPr>
            <w:tcW w:w="8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380,051</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232,460</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1,020,584</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609,509</w:t>
            </w:r>
          </w:p>
        </w:tc>
        <w:tc>
          <w:tcPr>
            <w:tcW w:w="0" w:type="dxa"/>
            <w:vAlign w:val="bottom"/>
          </w:tcPr>
          <w:p>
            <w:pPr>
              <w:spacing w:after="0"/>
              <w:rPr>
                <w:sz w:val="1"/>
                <w:szCs w:val="1"/>
                <w:color w:val="auto"/>
              </w:rPr>
            </w:pPr>
          </w:p>
        </w:tc>
      </w:tr>
      <w:tr>
        <w:trPr>
          <w:trHeight w:val="160"/>
        </w:trPr>
        <w:tc>
          <w:tcPr>
            <w:tcW w:w="5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Cost of revenue</w:t>
            </w: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Subscription</w:t>
            </w: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85,464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49,583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226,360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130,864</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Professional services</w:t>
            </w:r>
          </w:p>
        </w:tc>
        <w:tc>
          <w:tcPr>
            <w:tcW w:w="8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16,200</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11,944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44,241</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31,949</w:t>
            </w:r>
          </w:p>
        </w:tc>
        <w:tc>
          <w:tcPr>
            <w:tcW w:w="0" w:type="dxa"/>
            <w:vAlign w:val="bottom"/>
          </w:tcPr>
          <w:p>
            <w:pPr>
              <w:spacing w:after="0"/>
              <w:rPr>
                <w:sz w:val="1"/>
                <w:szCs w:val="1"/>
                <w:color w:val="auto"/>
              </w:rPr>
            </w:pPr>
          </w:p>
        </w:tc>
      </w:tr>
      <w:tr>
        <w:trPr>
          <w:trHeight w:val="142"/>
        </w:trPr>
        <w:tc>
          <w:tcPr>
            <w:tcW w:w="5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cost of revenue</w:t>
            </w:r>
          </w:p>
        </w:tc>
        <w:tc>
          <w:tcPr>
            <w:tcW w:w="8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101,664</w:t>
            </w: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61,527</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270,601</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162,813</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Gross profit</w:t>
            </w: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278,387</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170,933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749,983</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446,696</w:t>
            </w: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ind w:left="80"/>
              <w:spacing w:after="0"/>
              <w:rPr>
                <w:sz w:val="20"/>
                <w:szCs w:val="20"/>
                <w:color w:val="auto"/>
              </w:rPr>
            </w:pPr>
            <w:r>
              <w:rPr>
                <w:rFonts w:ascii="Arial" w:cs="Arial" w:eastAsia="Arial" w:hAnsi="Arial"/>
                <w:sz w:val="12"/>
                <w:szCs w:val="12"/>
                <w:color w:val="auto"/>
              </w:rPr>
              <w:t>Sales and marketing</w:t>
            </w:r>
          </w:p>
        </w:tc>
        <w:tc>
          <w:tcPr>
            <w:tcW w:w="84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164,960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105,602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453,952</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288,867</w:t>
            </w: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Research and development</w:t>
            </w: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97,630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57,539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266,265</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148,600</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General and administrative</w:t>
            </w:r>
          </w:p>
        </w:tc>
        <w:tc>
          <w:tcPr>
            <w:tcW w:w="8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56,061</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31,951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148,780</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85,955</w:t>
            </w:r>
          </w:p>
        </w:tc>
        <w:tc>
          <w:tcPr>
            <w:tcW w:w="0" w:type="dxa"/>
            <w:vAlign w:val="bottom"/>
          </w:tcPr>
          <w:p>
            <w:pPr>
              <w:spacing w:after="0"/>
              <w:rPr>
                <w:sz w:val="1"/>
                <w:szCs w:val="1"/>
                <w:color w:val="auto"/>
              </w:rPr>
            </w:pPr>
          </w:p>
        </w:tc>
      </w:tr>
      <w:tr>
        <w:trPr>
          <w:trHeight w:val="142"/>
        </w:trPr>
        <w:tc>
          <w:tcPr>
            <w:tcW w:w="5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operating expenses</w:t>
            </w:r>
          </w:p>
        </w:tc>
        <w:tc>
          <w:tcPr>
            <w:tcW w:w="8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318,651</w:t>
            </w: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195,092</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868,997</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523,422</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(40,264)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(24,159)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(119,014)</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(76,726)</w:t>
            </w:r>
          </w:p>
        </w:tc>
        <w:tc>
          <w:tcPr>
            <w:tcW w:w="0" w:type="dxa"/>
            <w:vAlign w:val="bottom"/>
          </w:tcPr>
          <w:p>
            <w:pPr>
              <w:spacing w:after="0"/>
              <w:rPr>
                <w:sz w:val="1"/>
                <w:szCs w:val="1"/>
                <w:color w:val="auto"/>
              </w:rPr>
            </w:pPr>
          </w:p>
        </w:tc>
      </w:tr>
      <w:tr>
        <w:trPr>
          <w:trHeight w:val="153"/>
        </w:trPr>
        <w:tc>
          <w:tcPr>
            <w:tcW w:w="504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8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(6,403)</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(18,929)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income, net</w:t>
            </w:r>
          </w:p>
        </w:tc>
        <w:tc>
          <w:tcPr>
            <w:tcW w:w="8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690</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6,077</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5,537</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Loss before provision for income taxes</w:t>
            </w: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(45,977)</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(24,080)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(131,866)</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(71,699)</w:t>
            </w: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Provision for income taxes</w:t>
            </w:r>
          </w:p>
        </w:tc>
        <w:tc>
          <w:tcPr>
            <w:tcW w:w="8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4,473</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58,773</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1,928</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(50,450)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(24,531)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(190,639)</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(73,627)</w:t>
            </w: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Net income attributable to noncontrolling interest</w:t>
            </w:r>
          </w:p>
        </w:tc>
        <w:tc>
          <w:tcPr>
            <w:tcW w:w="84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2,183</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 attributable to CrowdStrike</w:t>
            </w:r>
          </w:p>
        </w:tc>
        <w:tc>
          <w:tcPr>
            <w:tcW w:w="84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(50,455)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(24,531)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(192,822)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(73,627)</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 per share attributable to CrowdStrike common stockholders, basic and diluted</w:t>
            </w:r>
          </w:p>
        </w:tc>
        <w:tc>
          <w:tcPr>
            <w:tcW w:w="8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(0.22)</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(0.11)</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(0.34)</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504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w w:val="94"/>
              </w:rPr>
              <w:t>Weighted-average shares used in computing net loss per share attributable to CrowdStrike common</w:t>
            </w:r>
          </w:p>
        </w:tc>
        <w:tc>
          <w:tcPr>
            <w:tcW w:w="8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228,293</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219,401</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226,292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216,432</w:t>
            </w:r>
          </w:p>
        </w:tc>
        <w:tc>
          <w:tcPr>
            <w:tcW w:w="0" w:type="dxa"/>
            <w:vAlign w:val="bottom"/>
          </w:tcPr>
          <w:p>
            <w:pPr>
              <w:spacing w:after="0"/>
              <w:rPr>
                <w:sz w:val="1"/>
                <w:szCs w:val="1"/>
                <w:color w:val="auto"/>
              </w:rPr>
            </w:pPr>
          </w:p>
        </w:tc>
      </w:tr>
      <w:tr>
        <w:trPr>
          <w:trHeight w:val="151"/>
        </w:trPr>
        <w:tc>
          <w:tcPr>
            <w:tcW w:w="50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stockholders, basic and diluted</w:t>
            </w:r>
          </w:p>
        </w:tc>
        <w:tc>
          <w:tcPr>
            <w:tcW w:w="8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7" w:name="page8"/>
    <w:bookmarkEnd w:id="7"/>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CrowdStrike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9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0"/>
                <w:szCs w:val="10"/>
                <w:b w:val="1"/>
                <w:bCs w:val="1"/>
                <w:color w:val="auto"/>
                <w:w w:val="88"/>
              </w:rPr>
              <w:t>Three Months Ended October 31,</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Nine Months Ended October 31,</w:t>
            </w:r>
          </w:p>
        </w:tc>
        <w:tc>
          <w:tcPr>
            <w:tcW w:w="860" w:type="dxa"/>
            <w:vAlign w:val="bottom"/>
            <w:tcBorders>
              <w:bottom w:val="single" w:sz="8" w:color="auto"/>
            </w:tcBorders>
          </w:tcPr>
          <w:p>
            <w:pPr>
              <w:spacing w:after="0"/>
              <w:rPr>
                <w:sz w:val="11"/>
                <w:szCs w:val="11"/>
                <w:color w:val="auto"/>
              </w:rPr>
            </w:pPr>
          </w:p>
        </w:tc>
      </w:tr>
      <w:tr>
        <w:trPr>
          <w:trHeight w:val="118"/>
        </w:trPr>
        <w:tc>
          <w:tcPr>
            <w:tcW w:w="496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w w:val="80"/>
              </w:rPr>
              <w:t>2020</w:t>
            </w:r>
          </w:p>
        </w:tc>
      </w:tr>
      <w:tr>
        <w:trPr>
          <w:trHeight w:val="143"/>
        </w:trPr>
        <w:tc>
          <w:tcPr>
            <w:tcW w:w="4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(50,450)</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(24,531)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(190,639)</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(73,627)</w:t>
            </w:r>
          </w:p>
        </w:tc>
      </w:tr>
      <w:tr>
        <w:trPr>
          <w:trHeight w:val="153"/>
        </w:trPr>
        <w:tc>
          <w:tcPr>
            <w:tcW w:w="4960" w:type="dxa"/>
            <w:vAlign w:val="bottom"/>
          </w:tcPr>
          <w:p>
            <w:pPr>
              <w:ind w:left="20"/>
              <w:spacing w:after="0"/>
              <w:rPr>
                <w:sz w:val="20"/>
                <w:szCs w:val="20"/>
                <w:color w:val="auto"/>
              </w:rPr>
            </w:pPr>
            <w:r>
              <w:rPr>
                <w:rFonts w:ascii="Arial" w:cs="Arial" w:eastAsia="Arial" w:hAnsi="Arial"/>
                <w:sz w:val="12"/>
                <w:szCs w:val="12"/>
                <w:color w:val="auto"/>
              </w:rPr>
              <w:t>Other comprehensive income (loss):</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3"/>
        </w:trPr>
        <w:tc>
          <w:tcPr>
            <w:tcW w:w="4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currency translation adjustments</w:t>
            </w: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(665)</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(1,434)</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926</w:t>
            </w:r>
          </w:p>
        </w:tc>
      </w:tr>
      <w:tr>
        <w:trPr>
          <w:trHeight w:val="153"/>
        </w:trPr>
        <w:tc>
          <w:tcPr>
            <w:tcW w:w="4960" w:type="dxa"/>
            <w:vAlign w:val="bottom"/>
          </w:tcPr>
          <w:p>
            <w:pPr>
              <w:ind w:left="100"/>
              <w:spacing w:after="0"/>
              <w:rPr>
                <w:sz w:val="20"/>
                <w:szCs w:val="20"/>
                <w:color w:val="auto"/>
              </w:rPr>
            </w:pPr>
            <w:r>
              <w:rPr>
                <w:rFonts w:ascii="Arial" w:cs="Arial" w:eastAsia="Arial" w:hAnsi="Arial"/>
                <w:sz w:val="12"/>
                <w:szCs w:val="12"/>
                <w:color w:val="auto"/>
              </w:rPr>
              <w:t>Reversal of unrealized gain upon sale of debt securities, net of tax</w:t>
            </w:r>
          </w:p>
        </w:tc>
        <w:tc>
          <w:tcPr>
            <w:tcW w:w="8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(1,320)</w:t>
            </w:r>
          </w:p>
        </w:tc>
      </w:tr>
      <w:tr>
        <w:trPr>
          <w:trHeight w:val="142"/>
        </w:trPr>
        <w:tc>
          <w:tcPr>
            <w:tcW w:w="4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Other comprehensive loss</w:t>
            </w: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(665)</w:t>
            </w: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(1,434)</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(394)</w:t>
            </w:r>
          </w:p>
        </w:tc>
      </w:tr>
      <w:tr>
        <w:trPr>
          <w:trHeight w:val="142"/>
        </w:trPr>
        <w:tc>
          <w:tcPr>
            <w:tcW w:w="4960" w:type="dxa"/>
            <w:vAlign w:val="bottom"/>
          </w:tcPr>
          <w:p>
            <w:pPr>
              <w:ind w:left="20"/>
              <w:spacing w:after="0"/>
              <w:rPr>
                <w:sz w:val="20"/>
                <w:szCs w:val="20"/>
                <w:color w:val="auto"/>
              </w:rPr>
            </w:pPr>
            <w:r>
              <w:rPr>
                <w:rFonts w:ascii="Arial" w:cs="Arial" w:eastAsia="Arial" w:hAnsi="Arial"/>
                <w:sz w:val="12"/>
                <w:szCs w:val="12"/>
                <w:color w:val="auto"/>
              </w:rPr>
              <w:t>Less: Comprehensive income attributable to noncontrolling interest</w:t>
            </w:r>
          </w:p>
        </w:tc>
        <w:tc>
          <w:tcPr>
            <w:tcW w:w="8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2,183</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comprehensive loss attributable to CrowdStrike</w:t>
            </w:r>
          </w:p>
        </w:tc>
        <w:tc>
          <w:tcPr>
            <w:tcW w:w="86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(51,120)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(25,031)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(194,256)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(74,021)</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8" w:name="page9"/>
    <w:bookmarkEnd w:id="8"/>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CrowdStrike Holdings, Inc.</w:t>
      </w:r>
    </w:p>
    <w:p>
      <w:pPr>
        <w:jc w:val="center"/>
        <w:ind w:right="20"/>
        <w:spacing w:after="0" w:line="231" w:lineRule="auto"/>
        <w:rPr>
          <w:sz w:val="20"/>
          <w:szCs w:val="20"/>
          <w:color w:val="auto"/>
        </w:rPr>
      </w:pPr>
      <w:r>
        <w:rPr>
          <w:rFonts w:ascii="Arial" w:cs="Arial" w:eastAsia="Arial" w:hAnsi="Arial"/>
          <w:sz w:val="10"/>
          <w:szCs w:val="10"/>
          <w:b w:val="1"/>
          <w:bCs w:val="1"/>
          <w:color w:val="auto"/>
        </w:rPr>
        <w:t>Condensed Consolidated Statements of Stockholders’ Equity</w:t>
      </w:r>
    </w:p>
    <w:p>
      <w:pPr>
        <w:jc w:val="center"/>
        <w:ind w:right="20"/>
        <w:spacing w:after="0" w:line="226" w:lineRule="auto"/>
        <w:rPr>
          <w:sz w:val="20"/>
          <w:szCs w:val="20"/>
          <w:color w:val="auto"/>
        </w:rPr>
      </w:pPr>
      <w:r>
        <w:rPr>
          <w:rFonts w:ascii="Arial" w:cs="Arial" w:eastAsia="Arial" w:hAnsi="Arial"/>
          <w:sz w:val="10"/>
          <w:szCs w:val="10"/>
          <w:b w:val="1"/>
          <w:bCs w:val="1"/>
          <w:color w:val="auto"/>
        </w:rPr>
        <w:t>Three Months Ended October 31, 2021 and 2020</w:t>
      </w:r>
    </w:p>
    <w:p>
      <w:pPr>
        <w:jc w:val="center"/>
        <w:ind w:right="20"/>
        <w:spacing w:after="0" w:line="225" w:lineRule="auto"/>
        <w:rPr>
          <w:sz w:val="20"/>
          <w:szCs w:val="20"/>
          <w:color w:val="auto"/>
        </w:rPr>
      </w:pPr>
      <w:r>
        <w:rPr>
          <w:rFonts w:ascii="Arial" w:cs="Arial" w:eastAsia="Arial" w:hAnsi="Arial"/>
          <w:sz w:val="10"/>
          <w:szCs w:val="10"/>
          <w:i w:val="1"/>
          <w:iCs w:val="1"/>
          <w:color w:val="auto"/>
        </w:rPr>
        <w:t>(in thousands)</w:t>
      </w:r>
    </w:p>
    <w:p>
      <w:pPr>
        <w:jc w:val="center"/>
        <w:ind w:right="20"/>
        <w:spacing w:after="0" w:line="237" w:lineRule="auto"/>
        <w:rPr>
          <w:sz w:val="20"/>
          <w:szCs w:val="20"/>
          <w:color w:val="auto"/>
        </w:rPr>
      </w:pPr>
      <w:r>
        <w:rPr>
          <w:rFonts w:ascii="Arial" w:cs="Arial" w:eastAsia="Arial" w:hAnsi="Arial"/>
          <w:sz w:val="10"/>
          <w:szCs w:val="10"/>
          <w:i w:val="1"/>
          <w:iCs w:val="1"/>
          <w:color w:val="auto"/>
        </w:rPr>
        <w:t>(unaudited)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36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8"/>
                <w:szCs w:val="8"/>
                <w:b w:val="1"/>
                <w:bCs w:val="1"/>
                <w:color w:val="auto"/>
              </w:rPr>
              <w:t>Common Stock</w:t>
            </w: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6"/>
              </w:rPr>
              <w:t>Additional Paid-in</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7"/>
              </w:rPr>
              <w:t>Accumulated Other</w:t>
            </w: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25"/>
        </w:trPr>
        <w:tc>
          <w:tcPr>
            <w:tcW w:w="3620" w:type="dxa"/>
            <w:vAlign w:val="bottom"/>
          </w:tcPr>
          <w:p>
            <w:pPr>
              <w:spacing w:after="0"/>
              <w:rPr>
                <w:sz w:val="10"/>
                <w:szCs w:val="10"/>
                <w:color w:val="auto"/>
              </w:rPr>
            </w:pPr>
          </w:p>
        </w:tc>
        <w:tc>
          <w:tcPr>
            <w:tcW w:w="600" w:type="dxa"/>
            <w:vAlign w:val="bottom"/>
          </w:tcPr>
          <w:p>
            <w:pPr>
              <w:ind w:left="360"/>
              <w:spacing w:after="0"/>
              <w:rPr>
                <w:sz w:val="20"/>
                <w:szCs w:val="20"/>
                <w:color w:val="auto"/>
              </w:rPr>
            </w:pPr>
            <w:r>
              <w:rPr>
                <w:rFonts w:ascii="Arial" w:cs="Arial" w:eastAsia="Arial" w:hAnsi="Arial"/>
                <w:sz w:val="8"/>
                <w:szCs w:val="8"/>
                <w:b w:val="1"/>
                <w:bCs w:val="1"/>
                <w:color w:val="auto"/>
                <w:w w:val="82"/>
              </w:rPr>
              <w:t>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36"/>
              <w:spacing w:after="0"/>
              <w:rPr>
                <w:sz w:val="20"/>
                <w:szCs w:val="20"/>
                <w:color w:val="auto"/>
              </w:rPr>
            </w:pPr>
            <w:r>
              <w:rPr>
                <w:rFonts w:ascii="Arial" w:cs="Arial" w:eastAsia="Arial" w:hAnsi="Arial"/>
                <w:sz w:val="8"/>
                <w:szCs w:val="8"/>
                <w:b w:val="1"/>
                <w:bCs w:val="1"/>
                <w:color w:val="auto"/>
              </w:rPr>
              <w:t>Amount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7"/>
              </w:rPr>
              <w:t>Capital</w:t>
            </w:r>
          </w:p>
        </w:tc>
        <w:tc>
          <w:tcPr>
            <w:tcW w:w="10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Arial" w:cs="Arial" w:eastAsia="Arial" w:hAnsi="Arial"/>
                <w:sz w:val="8"/>
                <w:szCs w:val="8"/>
                <w:b w:val="1"/>
                <w:bCs w:val="1"/>
                <w:color w:val="auto"/>
              </w:rPr>
              <w:t>Accumulated Deficit</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3"/>
              </w:rPr>
              <w:t>Comprehensive Income</w:t>
            </w:r>
          </w:p>
        </w:tc>
        <w:tc>
          <w:tcPr>
            <w:tcW w:w="1020" w:type="dxa"/>
            <w:vAlign w:val="bottom"/>
            <w:gridSpan w:val="3"/>
          </w:tcPr>
          <w:p>
            <w:pPr>
              <w:ind w:left="40"/>
              <w:spacing w:after="0"/>
              <w:rPr>
                <w:sz w:val="20"/>
                <w:szCs w:val="20"/>
                <w:color w:val="auto"/>
              </w:rPr>
            </w:pPr>
            <w:r>
              <w:rPr>
                <w:rFonts w:ascii="Arial" w:cs="Arial" w:eastAsia="Arial" w:hAnsi="Arial"/>
                <w:sz w:val="8"/>
                <w:szCs w:val="8"/>
                <w:b w:val="1"/>
                <w:bCs w:val="1"/>
                <w:color w:val="auto"/>
              </w:rPr>
              <w:t>Non-controlling Interest</w:t>
            </w:r>
          </w:p>
        </w:tc>
        <w:tc>
          <w:tcPr>
            <w:tcW w:w="60" w:type="dxa"/>
            <w:vAlign w:val="bottom"/>
          </w:tcPr>
          <w:p>
            <w:pPr>
              <w:spacing w:after="0"/>
              <w:rPr>
                <w:sz w:val="10"/>
                <w:szCs w:val="10"/>
                <w:color w:val="auto"/>
              </w:rPr>
            </w:pPr>
          </w:p>
        </w:tc>
        <w:tc>
          <w:tcPr>
            <w:tcW w:w="1040" w:type="dxa"/>
            <w:vAlign w:val="bottom"/>
          </w:tcPr>
          <w:p>
            <w:pPr>
              <w:jc w:val="right"/>
              <w:ind w:right="15"/>
              <w:spacing w:after="0"/>
              <w:rPr>
                <w:sz w:val="20"/>
                <w:szCs w:val="20"/>
                <w:color w:val="auto"/>
              </w:rPr>
            </w:pPr>
            <w:r>
              <w:rPr>
                <w:rFonts w:ascii="Arial" w:cs="Arial" w:eastAsia="Arial" w:hAnsi="Arial"/>
                <w:sz w:val="8"/>
                <w:szCs w:val="8"/>
                <w:b w:val="1"/>
                <w:bCs w:val="1"/>
                <w:color w:val="auto"/>
                <w:w w:val="95"/>
              </w:rPr>
              <w:t>Total Stockholders’ Equity</w:t>
            </w:r>
          </w:p>
        </w:tc>
      </w:tr>
      <w:tr>
        <w:trPr>
          <w:trHeight w:val="12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rPr>
              <w:t>Balances at July 31, 2021</w:t>
            </w:r>
          </w:p>
        </w:tc>
        <w:tc>
          <w:tcPr>
            <w:tcW w:w="6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2"/>
              </w:rPr>
              <w:t>228,152</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1,775,087</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(872,483)</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1,550</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7,133</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911,401</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Issuance of common stock upon exercise of options</w:t>
            </w:r>
          </w:p>
        </w:tc>
        <w:tc>
          <w:tcPr>
            <w:tcW w:w="360" w:type="dxa"/>
            <w:vAlign w:val="bottom"/>
          </w:tcPr>
          <w:p>
            <w:pPr>
              <w:jc w:val="right"/>
              <w:spacing w:after="0"/>
              <w:rPr>
                <w:sz w:val="20"/>
                <w:szCs w:val="20"/>
                <w:color w:val="auto"/>
              </w:rPr>
            </w:pPr>
            <w:r>
              <w:rPr>
                <w:rFonts w:ascii="Arial" w:cs="Arial" w:eastAsia="Arial" w:hAnsi="Arial"/>
                <w:sz w:val="9"/>
                <w:szCs w:val="9"/>
                <w:color w:val="auto"/>
              </w:rPr>
              <w:t>375</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2,580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2,580</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Issuance of common stock under RSU and PSU release</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759</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Vesting of early exercised options</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795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795</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Issuance of common stock for founders holdbacks related to acquisitions</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2,867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2,867</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Stock-based compensation expense</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85,706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85,706</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Capitalized stock-based compensation</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3,086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3,086</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Net income (loss)</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(50,455)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(50,450)</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Non-controlling interest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4,250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4,250</w:t>
            </w:r>
          </w:p>
        </w:tc>
      </w:tr>
      <w:tr>
        <w:trPr>
          <w:trHeight w:val="121"/>
        </w:trPr>
        <w:tc>
          <w:tcPr>
            <w:tcW w:w="3620" w:type="dxa"/>
            <w:vAlign w:val="bottom"/>
            <w:tcBorders>
              <w:bottom w:val="single" w:sz="8" w:color="CCEEFF"/>
            </w:tcBorders>
          </w:tcPr>
          <w:p>
            <w:pPr>
              <w:spacing w:after="0"/>
              <w:rPr>
                <w:sz w:val="20"/>
                <w:szCs w:val="20"/>
                <w:color w:val="auto"/>
              </w:rPr>
            </w:pPr>
            <w:r>
              <w:rPr>
                <w:rFonts w:ascii="Arial" w:cs="Arial" w:eastAsia="Arial" w:hAnsi="Arial"/>
                <w:sz w:val="9"/>
                <w:szCs w:val="9"/>
                <w:color w:val="auto"/>
              </w:rPr>
              <w:t>Other comprehensive loss</w:t>
            </w:r>
          </w:p>
        </w:tc>
        <w:tc>
          <w:tcPr>
            <w:tcW w:w="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(665)</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(665)</w:t>
            </w:r>
          </w:p>
        </w:tc>
      </w:tr>
      <w:tr>
        <w:trPr>
          <w:trHeight w:val="147"/>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Balances at October 31, 2021</w:t>
            </w:r>
          </w:p>
        </w:tc>
        <w:tc>
          <w:tcPr>
            <w:tcW w:w="6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2"/>
              </w:rPr>
              <w:t>229,297</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1,870,120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(922,938)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885</w:t>
            </w:r>
          </w:p>
        </w:tc>
        <w:tc>
          <w:tcPr>
            <w:tcW w:w="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11,388</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959,570</w:t>
            </w:r>
          </w:p>
        </w:tc>
      </w:tr>
      <w:tr>
        <w:trPr>
          <w:trHeight w:val="568"/>
        </w:trPr>
        <w:tc>
          <w:tcPr>
            <w:tcW w:w="3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8"/>
                <w:szCs w:val="8"/>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6"/>
              </w:rPr>
              <w:t>Additional Paid-in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7"/>
              </w:rPr>
              <w:t>Accumulated Other</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25"/>
        </w:trPr>
        <w:tc>
          <w:tcPr>
            <w:tcW w:w="3620" w:type="dxa"/>
            <w:vAlign w:val="bottom"/>
          </w:tcPr>
          <w:p>
            <w:pPr>
              <w:spacing w:after="0"/>
              <w:rPr>
                <w:sz w:val="10"/>
                <w:szCs w:val="10"/>
                <w:color w:val="auto"/>
              </w:rPr>
            </w:pPr>
          </w:p>
        </w:tc>
        <w:tc>
          <w:tcPr>
            <w:tcW w:w="600" w:type="dxa"/>
            <w:vAlign w:val="bottom"/>
          </w:tcPr>
          <w:p>
            <w:pPr>
              <w:ind w:left="360"/>
              <w:spacing w:after="0"/>
              <w:rPr>
                <w:sz w:val="20"/>
                <w:szCs w:val="20"/>
                <w:color w:val="auto"/>
              </w:rPr>
            </w:pPr>
            <w:r>
              <w:rPr>
                <w:rFonts w:ascii="Arial" w:cs="Arial" w:eastAsia="Arial" w:hAnsi="Arial"/>
                <w:sz w:val="8"/>
                <w:szCs w:val="8"/>
                <w:b w:val="1"/>
                <w:bCs w:val="1"/>
                <w:color w:val="auto"/>
                <w:w w:val="82"/>
              </w:rPr>
              <w:t>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36"/>
              <w:spacing w:after="0"/>
              <w:rPr>
                <w:sz w:val="20"/>
                <w:szCs w:val="20"/>
                <w:color w:val="auto"/>
              </w:rPr>
            </w:pPr>
            <w:r>
              <w:rPr>
                <w:rFonts w:ascii="Arial" w:cs="Arial" w:eastAsia="Arial" w:hAnsi="Arial"/>
                <w:sz w:val="8"/>
                <w:szCs w:val="8"/>
                <w:b w:val="1"/>
                <w:bCs w:val="1"/>
                <w:color w:val="auto"/>
              </w:rPr>
              <w:t>Amount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7"/>
              </w:rPr>
              <w:t>Capital</w:t>
            </w:r>
          </w:p>
        </w:tc>
        <w:tc>
          <w:tcPr>
            <w:tcW w:w="10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Arial" w:cs="Arial" w:eastAsia="Arial" w:hAnsi="Arial"/>
                <w:sz w:val="8"/>
                <w:szCs w:val="8"/>
                <w:b w:val="1"/>
                <w:bCs w:val="1"/>
                <w:color w:val="auto"/>
              </w:rPr>
              <w:t>Accumulated Deficit</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3"/>
              </w:rPr>
              <w:t>Comprehensive Income</w:t>
            </w:r>
          </w:p>
        </w:tc>
        <w:tc>
          <w:tcPr>
            <w:tcW w:w="1020" w:type="dxa"/>
            <w:vAlign w:val="bottom"/>
            <w:gridSpan w:val="3"/>
          </w:tcPr>
          <w:p>
            <w:pPr>
              <w:ind w:left="40"/>
              <w:spacing w:after="0"/>
              <w:rPr>
                <w:sz w:val="20"/>
                <w:szCs w:val="20"/>
                <w:color w:val="auto"/>
              </w:rPr>
            </w:pPr>
            <w:r>
              <w:rPr>
                <w:rFonts w:ascii="Arial" w:cs="Arial" w:eastAsia="Arial" w:hAnsi="Arial"/>
                <w:sz w:val="8"/>
                <w:szCs w:val="8"/>
                <w:b w:val="1"/>
                <w:bCs w:val="1"/>
                <w:color w:val="auto"/>
              </w:rPr>
              <w:t>Non-controlling Interest</w:t>
            </w:r>
          </w:p>
        </w:tc>
        <w:tc>
          <w:tcPr>
            <w:tcW w:w="60" w:type="dxa"/>
            <w:vAlign w:val="bottom"/>
          </w:tcPr>
          <w:p>
            <w:pPr>
              <w:spacing w:after="0"/>
              <w:rPr>
                <w:sz w:val="10"/>
                <w:szCs w:val="10"/>
                <w:color w:val="auto"/>
              </w:rPr>
            </w:pPr>
          </w:p>
        </w:tc>
        <w:tc>
          <w:tcPr>
            <w:tcW w:w="1040" w:type="dxa"/>
            <w:vAlign w:val="bottom"/>
          </w:tcPr>
          <w:p>
            <w:pPr>
              <w:jc w:val="right"/>
              <w:ind w:right="15"/>
              <w:spacing w:after="0"/>
              <w:rPr>
                <w:sz w:val="20"/>
                <w:szCs w:val="20"/>
                <w:color w:val="auto"/>
              </w:rPr>
            </w:pPr>
            <w:r>
              <w:rPr>
                <w:rFonts w:ascii="Arial" w:cs="Arial" w:eastAsia="Arial" w:hAnsi="Arial"/>
                <w:sz w:val="8"/>
                <w:szCs w:val="8"/>
                <w:b w:val="1"/>
                <w:bCs w:val="1"/>
                <w:color w:val="auto"/>
                <w:w w:val="95"/>
              </w:rPr>
              <w:t>Total Stockholders’ Equity</w:t>
            </w:r>
          </w:p>
        </w:tc>
      </w:tr>
      <w:tr>
        <w:trPr>
          <w:trHeight w:val="12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rPr>
              <w:t>Balances at July 31, 2020</w:t>
            </w:r>
          </w:p>
        </w:tc>
        <w:tc>
          <w:tcPr>
            <w:tcW w:w="6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2"/>
              </w:rPr>
              <w:t>219,194</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110</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1,476,323</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(686,583)</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1,115</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1,050</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792,015</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Issuance of common stock upon exercise of options</w:t>
            </w:r>
          </w:p>
        </w:tc>
        <w:tc>
          <w:tcPr>
            <w:tcW w:w="360" w:type="dxa"/>
            <w:vAlign w:val="bottom"/>
          </w:tcPr>
          <w:p>
            <w:pPr>
              <w:jc w:val="right"/>
              <w:spacing w:after="0"/>
              <w:rPr>
                <w:sz w:val="20"/>
                <w:szCs w:val="20"/>
                <w:color w:val="auto"/>
              </w:rPr>
            </w:pPr>
            <w:r>
              <w:rPr>
                <w:rFonts w:ascii="Arial" w:cs="Arial" w:eastAsia="Arial" w:hAnsi="Arial"/>
                <w:sz w:val="9"/>
                <w:szCs w:val="9"/>
                <w:color w:val="auto"/>
              </w:rPr>
              <w:t>1,277</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4,920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4,921</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Issuance of common stock under RSU and PSU release</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483</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Vesting of early exercised options</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799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799</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Stock-based compensation expense</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40,532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40,532</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Capitalized stock-based compensation</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986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986</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Fair value of replacement equity awards attributable to pre-acquisition service</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313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313</w:t>
            </w:r>
          </w:p>
        </w:tc>
      </w:tr>
      <w:tr>
        <w:trPr>
          <w:trHeight w:val="121"/>
        </w:trPr>
        <w:tc>
          <w:tcPr>
            <w:tcW w:w="4220" w:type="dxa"/>
            <w:vAlign w:val="bottom"/>
            <w:gridSpan w:val="2"/>
          </w:tcPr>
          <w:p>
            <w:pPr>
              <w:spacing w:after="0"/>
              <w:rPr>
                <w:sz w:val="20"/>
                <w:szCs w:val="20"/>
                <w:color w:val="auto"/>
              </w:rPr>
            </w:pPr>
            <w:r>
              <w:rPr>
                <w:rFonts w:ascii="Arial" w:cs="Arial" w:eastAsia="Arial" w:hAnsi="Arial"/>
                <w:sz w:val="9"/>
                <w:szCs w:val="9"/>
                <w:color w:val="auto"/>
              </w:rPr>
              <w:t>Net loss</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(24,531)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(24,531)</w:t>
            </w:r>
          </w:p>
        </w:tc>
      </w:tr>
      <w:tr>
        <w:trPr>
          <w:trHeight w:val="131"/>
        </w:trPr>
        <w:tc>
          <w:tcPr>
            <w:tcW w:w="42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Non-controlling interest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250</w:t>
            </w:r>
          </w:p>
        </w:tc>
      </w:tr>
      <w:tr>
        <w:trPr>
          <w:trHeight w:val="124"/>
        </w:trPr>
        <w:tc>
          <w:tcPr>
            <w:tcW w:w="36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comprehensive loss</w:t>
            </w:r>
          </w:p>
        </w:tc>
        <w:tc>
          <w:tcPr>
            <w:tcW w:w="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(500)</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(500)</w:t>
            </w:r>
          </w:p>
        </w:tc>
      </w:tr>
      <w:tr>
        <w:trPr>
          <w:trHeight w:val="133"/>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Balances at October 31, 2020</w:t>
            </w:r>
          </w:p>
        </w:tc>
        <w:tc>
          <w:tcPr>
            <w:tcW w:w="6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2"/>
              </w:rPr>
              <w:t>220,954</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1,523,873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(711,114)</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615</w:t>
            </w: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1,300</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814,785</w:t>
            </w:r>
          </w:p>
        </w:tc>
      </w:tr>
    </w:tbl>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9"/>
          <w:szCs w:val="9"/>
          <w:color w:val="auto"/>
        </w:rPr>
        <w:t>The accompanying notes are an integral part of these condensed consolidated financial statements.</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9" w:name="page10"/>
    <w:bookmarkEnd w:id="9"/>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CrowdStrike Holdings, Inc.</w:t>
      </w:r>
    </w:p>
    <w:p>
      <w:pPr>
        <w:jc w:val="center"/>
        <w:ind w:right="20"/>
        <w:spacing w:after="0" w:line="231" w:lineRule="auto"/>
        <w:rPr>
          <w:sz w:val="20"/>
          <w:szCs w:val="20"/>
          <w:color w:val="auto"/>
        </w:rPr>
      </w:pPr>
      <w:r>
        <w:rPr>
          <w:rFonts w:ascii="Arial" w:cs="Arial" w:eastAsia="Arial" w:hAnsi="Arial"/>
          <w:sz w:val="10"/>
          <w:szCs w:val="10"/>
          <w:b w:val="1"/>
          <w:bCs w:val="1"/>
          <w:color w:val="auto"/>
        </w:rPr>
        <w:t>Condensed Consolidated Statements of Stockholders’ Equity</w:t>
      </w:r>
    </w:p>
    <w:p>
      <w:pPr>
        <w:jc w:val="center"/>
        <w:ind w:right="20"/>
        <w:spacing w:after="0" w:line="226" w:lineRule="auto"/>
        <w:rPr>
          <w:sz w:val="20"/>
          <w:szCs w:val="20"/>
          <w:color w:val="auto"/>
        </w:rPr>
      </w:pPr>
      <w:r>
        <w:rPr>
          <w:rFonts w:ascii="Arial" w:cs="Arial" w:eastAsia="Arial" w:hAnsi="Arial"/>
          <w:sz w:val="10"/>
          <w:szCs w:val="10"/>
          <w:b w:val="1"/>
          <w:bCs w:val="1"/>
          <w:color w:val="auto"/>
        </w:rPr>
        <w:t>Nine Months Ended October 31, 2021 and 2020</w:t>
      </w:r>
    </w:p>
    <w:p>
      <w:pPr>
        <w:jc w:val="center"/>
        <w:ind w:right="20"/>
        <w:spacing w:after="0" w:line="225" w:lineRule="auto"/>
        <w:rPr>
          <w:sz w:val="20"/>
          <w:szCs w:val="20"/>
          <w:color w:val="auto"/>
        </w:rPr>
      </w:pPr>
      <w:r>
        <w:rPr>
          <w:rFonts w:ascii="Arial" w:cs="Arial" w:eastAsia="Arial" w:hAnsi="Arial"/>
          <w:sz w:val="10"/>
          <w:szCs w:val="10"/>
          <w:i w:val="1"/>
          <w:iCs w:val="1"/>
          <w:color w:val="auto"/>
        </w:rPr>
        <w:t>(in thousands)</w:t>
      </w:r>
    </w:p>
    <w:p>
      <w:pPr>
        <w:jc w:val="center"/>
        <w:ind w:right="20"/>
        <w:spacing w:after="0" w:line="237" w:lineRule="auto"/>
        <w:rPr>
          <w:sz w:val="20"/>
          <w:szCs w:val="20"/>
          <w:color w:val="auto"/>
        </w:rPr>
      </w:pPr>
      <w:r>
        <w:rPr>
          <w:rFonts w:ascii="Arial" w:cs="Arial" w:eastAsia="Arial" w:hAnsi="Arial"/>
          <w:sz w:val="10"/>
          <w:szCs w:val="10"/>
          <w:i w:val="1"/>
          <w:iCs w:val="1"/>
          <w:color w:val="auto"/>
        </w:rPr>
        <w:t>(unaudited)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5"/>
          </w:tcPr>
          <w:p>
            <w:pPr>
              <w:jc w:val="right"/>
              <w:ind w:right="417"/>
              <w:spacing w:after="0"/>
              <w:rPr>
                <w:sz w:val="20"/>
                <w:szCs w:val="20"/>
                <w:color w:val="auto"/>
              </w:rPr>
            </w:pPr>
            <w:r>
              <w:rPr>
                <w:rFonts w:ascii="Arial" w:cs="Arial" w:eastAsia="Arial" w:hAnsi="Arial"/>
                <w:sz w:val="8"/>
                <w:szCs w:val="8"/>
                <w:b w:val="1"/>
                <w:bCs w:val="1"/>
                <w:color w:val="auto"/>
              </w:rPr>
              <w:t>Common Stock</w:t>
            </w: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6"/>
              </w:rPr>
              <w:t>Additional Paid-in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w w:val="97"/>
              </w:rPr>
              <w:t>Accumulated Other</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25"/>
        </w:trPr>
        <w:tc>
          <w:tcPr>
            <w:tcW w:w="36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8"/>
                <w:szCs w:val="8"/>
                <w:b w:val="1"/>
                <w:bCs w:val="1"/>
                <w:color w:val="auto"/>
                <w:w w:val="82"/>
              </w:rPr>
              <w:t>Shares</w:t>
            </w: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8"/>
                <w:szCs w:val="8"/>
                <w:b w:val="1"/>
                <w:bCs w:val="1"/>
                <w:color w:val="auto"/>
              </w:rPr>
              <w:t>Amount</w:t>
            </w: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auto"/>
                <w:w w:val="97"/>
              </w:rPr>
              <w:t>Capital</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8"/>
                <w:szCs w:val="8"/>
                <w:b w:val="1"/>
                <w:bCs w:val="1"/>
                <w:color w:val="auto"/>
              </w:rPr>
              <w:t>Accumulated Deficit</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8"/>
                <w:szCs w:val="8"/>
                <w:b w:val="1"/>
                <w:bCs w:val="1"/>
                <w:color w:val="auto"/>
                <w:w w:val="93"/>
              </w:rPr>
              <w:t>Comprehensive Income</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8"/>
                <w:szCs w:val="8"/>
                <w:b w:val="1"/>
                <w:bCs w:val="1"/>
                <w:color w:val="auto"/>
                <w:w w:val="99"/>
              </w:rPr>
              <w:t>Non-controlling Interest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8"/>
                <w:szCs w:val="8"/>
                <w:b w:val="1"/>
                <w:bCs w:val="1"/>
                <w:color w:val="auto"/>
                <w:w w:val="95"/>
              </w:rPr>
              <w:t>Total Stockholders’ Equity</w:t>
            </w:r>
          </w:p>
        </w:tc>
      </w:tr>
      <w:tr>
        <w:trPr>
          <w:trHeight w:val="120"/>
        </w:trPr>
        <w:tc>
          <w:tcPr>
            <w:tcW w:w="362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Balances at January 31, 2021</w:t>
            </w:r>
          </w:p>
        </w:tc>
        <w:tc>
          <w:tcPr>
            <w:tcW w:w="6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223,724</w:t>
            </w:r>
          </w:p>
        </w:tc>
        <w:tc>
          <w:tcPr>
            <w:tcW w:w="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59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112</w:t>
            </w:r>
          </w:p>
        </w:tc>
        <w:tc>
          <w:tcPr>
            <w:tcW w:w="2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1,598,259</w:t>
            </w:r>
          </w:p>
        </w:tc>
        <w:tc>
          <w:tcPr>
            <w:tcW w:w="2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ind w:right="18"/>
              <w:spacing w:after="0"/>
              <w:rPr>
                <w:sz w:val="20"/>
                <w:szCs w:val="20"/>
                <w:color w:val="auto"/>
              </w:rPr>
            </w:pPr>
            <w:r>
              <w:rPr>
                <w:rFonts w:ascii="Arial" w:cs="Arial" w:eastAsia="Arial" w:hAnsi="Arial"/>
                <w:sz w:val="9"/>
                <w:szCs w:val="9"/>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w w:val="88"/>
              </w:rPr>
              <w:t>(730,116)</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9"/>
                <w:szCs w:val="9"/>
                <w:color w:val="auto"/>
              </w:rPr>
              <w:t>2,319</w:t>
            </w:r>
          </w:p>
        </w:tc>
        <w:tc>
          <w:tcPr>
            <w:tcW w:w="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257"/>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871,874</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Issuance of common stock upon exercise of options</w:t>
            </w:r>
          </w:p>
        </w:tc>
        <w:tc>
          <w:tcPr>
            <w:tcW w:w="340" w:type="dxa"/>
            <w:vAlign w:val="bottom"/>
          </w:tcPr>
          <w:p>
            <w:pPr>
              <w:jc w:val="right"/>
              <w:spacing w:after="0"/>
              <w:rPr>
                <w:sz w:val="20"/>
                <w:szCs w:val="20"/>
                <w:color w:val="auto"/>
              </w:rPr>
            </w:pPr>
            <w:r>
              <w:rPr>
                <w:rFonts w:ascii="Arial" w:cs="Arial" w:eastAsia="Arial" w:hAnsi="Arial"/>
                <w:sz w:val="9"/>
                <w:szCs w:val="9"/>
                <w:color w:val="auto"/>
              </w:rPr>
              <w:t>2,136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9"/>
                <w:szCs w:val="9"/>
                <w:color w:val="auto"/>
              </w:rPr>
              <w:t>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12,794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12,796</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Issuance of common stock under RSU and PSU release</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2,680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Issuance of common stock under employee stock purchase plan</w:t>
            </w:r>
          </w:p>
        </w:tc>
        <w:tc>
          <w:tcPr>
            <w:tcW w:w="340" w:type="dxa"/>
            <w:vAlign w:val="bottom"/>
          </w:tcPr>
          <w:p>
            <w:pPr>
              <w:jc w:val="right"/>
              <w:spacing w:after="0"/>
              <w:rPr>
                <w:sz w:val="20"/>
                <w:szCs w:val="20"/>
                <w:color w:val="auto"/>
              </w:rPr>
            </w:pPr>
            <w:r>
              <w:rPr>
                <w:rFonts w:ascii="Arial" w:cs="Arial" w:eastAsia="Arial" w:hAnsi="Arial"/>
                <w:sz w:val="9"/>
                <w:szCs w:val="9"/>
                <w:color w:val="auto"/>
              </w:rPr>
              <w:t>689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27,452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27,452</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Issuance of common stock related to early exercised options</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57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Vesting of early exercised options</w:t>
            </w: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2,389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2,389</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Issuance of common stock for founders holdbacks related to acquisitions</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2,867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2,867</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Stock-based compensation expense</w:t>
            </w: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214,716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214,716</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Capitalized stock-based compensation</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7,633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7,633</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Fair value of replacement equity awards attributable to pre-acquisition service</w:t>
            </w: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4,011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4,011</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Net income (loss)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w w:val="88"/>
              </w:rPr>
              <w:t>(192,822)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2,183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(190,639)</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Non-controlling interest</w:t>
            </w: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7,905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7,905</w:t>
            </w:r>
          </w:p>
        </w:tc>
      </w:tr>
      <w:tr>
        <w:trPr>
          <w:trHeight w:val="126"/>
        </w:trPr>
        <w:tc>
          <w:tcPr>
            <w:tcW w:w="3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Other comprehensive loss</w:t>
            </w:r>
          </w:p>
        </w:tc>
        <w:tc>
          <w:tcPr>
            <w:tcW w:w="60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9"/>
                <w:szCs w:val="9"/>
                <w:color w:val="auto"/>
              </w:rPr>
              <w:t>(1,434)</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(1,434)</w:t>
            </w:r>
          </w:p>
        </w:tc>
      </w:tr>
      <w:tr>
        <w:trPr>
          <w:trHeight w:val="120"/>
        </w:trPr>
        <w:tc>
          <w:tcPr>
            <w:tcW w:w="3620" w:type="dxa"/>
            <w:vAlign w:val="bottom"/>
            <w:gridSpan w:val="2"/>
          </w:tcPr>
          <w:p>
            <w:pPr>
              <w:spacing w:after="0"/>
              <w:rPr>
                <w:sz w:val="20"/>
                <w:szCs w:val="20"/>
                <w:color w:val="auto"/>
              </w:rPr>
            </w:pPr>
            <w:r>
              <w:rPr>
                <w:rFonts w:ascii="Arial" w:cs="Arial" w:eastAsia="Arial" w:hAnsi="Arial"/>
                <w:sz w:val="9"/>
                <w:szCs w:val="9"/>
                <w:b w:val="1"/>
                <w:bCs w:val="1"/>
                <w:color w:val="auto"/>
              </w:rPr>
              <w:t>Balances at October 31, 2021</w:t>
            </w:r>
          </w:p>
        </w:tc>
        <w:tc>
          <w:tcPr>
            <w:tcW w:w="6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2"/>
              </w:rPr>
              <w:t>229,297</w:t>
            </w:r>
          </w:p>
        </w:tc>
        <w:tc>
          <w:tcPr>
            <w:tcW w:w="20" w:type="dxa"/>
            <w:vAlign w:val="bottom"/>
            <w:tcBorders>
              <w:bottom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700" w:type="dxa"/>
            <w:vAlign w:val="bottom"/>
            <w:tcBorders>
              <w:bottom w:val="single" w:sz="8" w:color="auto"/>
            </w:tcBorders>
          </w:tcPr>
          <w:p>
            <w:pPr>
              <w:jc w:val="right"/>
              <w:ind w:right="597"/>
              <w:spacing w:after="0"/>
              <w:rPr>
                <w:sz w:val="20"/>
                <w:szCs w:val="20"/>
                <w:color w:val="auto"/>
              </w:rPr>
            </w:pPr>
            <w:r>
              <w:rPr>
                <w:rFonts w:ascii="Arial" w:cs="Arial" w:eastAsia="Arial" w:hAnsi="Arial"/>
                <w:sz w:val="9"/>
                <w:szCs w:val="9"/>
                <w:color w:val="auto"/>
                <w:w w:val="78"/>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115</w:t>
            </w:r>
          </w:p>
        </w:tc>
        <w:tc>
          <w:tcPr>
            <w:tcW w:w="20" w:type="dxa"/>
            <w:vAlign w:val="bottom"/>
            <w:tcBorders>
              <w:bottom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1,870,120</w:t>
            </w:r>
          </w:p>
        </w:tc>
        <w:tc>
          <w:tcPr>
            <w:tcW w:w="20" w:type="dxa"/>
            <w:vAlign w:val="bottom"/>
            <w:tcBorders>
              <w:bottom w:val="single" w:sz="8" w:color="auto"/>
            </w:tcBorders>
          </w:tcPr>
          <w:p>
            <w:pPr>
              <w:spacing w:after="0"/>
              <w:rPr>
                <w:sz w:val="10"/>
                <w:szCs w:val="10"/>
                <w:color w:val="auto"/>
              </w:rPr>
            </w:pPr>
          </w:p>
        </w:tc>
        <w:tc>
          <w:tcPr>
            <w:tcW w:w="100" w:type="dxa"/>
            <w:vAlign w:val="bottom"/>
            <w:gridSpan w:val="2"/>
          </w:tcPr>
          <w:p>
            <w:pPr>
              <w:spacing w:after="0"/>
              <w:rPr>
                <w:sz w:val="10"/>
                <w:szCs w:val="10"/>
                <w:color w:val="auto"/>
              </w:rPr>
            </w:pPr>
          </w:p>
        </w:tc>
        <w:tc>
          <w:tcPr>
            <w:tcW w:w="80" w:type="dxa"/>
            <w:vAlign w:val="bottom"/>
            <w:tcBorders>
              <w:bottom w:val="single" w:sz="8" w:color="auto"/>
            </w:tcBorders>
          </w:tcPr>
          <w:p>
            <w:pPr>
              <w:jc w:val="right"/>
              <w:ind w:right="18"/>
              <w:spacing w:after="0"/>
              <w:rPr>
                <w:sz w:val="20"/>
                <w:szCs w:val="20"/>
                <w:color w:val="auto"/>
              </w:rPr>
            </w:pPr>
            <w:r>
              <w:rPr>
                <w:rFonts w:ascii="Arial" w:cs="Arial" w:eastAsia="Arial" w:hAnsi="Arial"/>
                <w:sz w:val="4"/>
                <w:szCs w:val="4"/>
                <w:color w:val="auto"/>
                <w:w w:val="87"/>
              </w:rPr>
              <w:t>$</w:t>
            </w:r>
          </w:p>
        </w:tc>
        <w:tc>
          <w:tcPr>
            <w:tcW w:w="940" w:type="dxa"/>
            <w:vAlign w:val="bottom"/>
            <w:tcBorders>
              <w:bottom w:val="single" w:sz="8" w:color="auto"/>
            </w:tcBorders>
            <w:gridSpan w:val="2"/>
          </w:tcPr>
          <w:p>
            <w:pPr>
              <w:ind w:left="580"/>
              <w:spacing w:after="0"/>
              <w:rPr>
                <w:sz w:val="20"/>
                <w:szCs w:val="20"/>
                <w:color w:val="auto"/>
              </w:rPr>
            </w:pPr>
            <w:r>
              <w:rPr>
                <w:rFonts w:ascii="Arial" w:cs="Arial" w:eastAsia="Arial" w:hAnsi="Arial"/>
                <w:sz w:val="9"/>
                <w:szCs w:val="9"/>
                <w:color w:val="auto"/>
                <w:w w:val="88"/>
              </w:rPr>
              <w:t>(922,938)</w:t>
            </w:r>
          </w:p>
        </w:tc>
        <w:tc>
          <w:tcPr>
            <w:tcW w:w="100" w:type="dxa"/>
            <w:vAlign w:val="bottom"/>
            <w:gridSpan w:val="2"/>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885</w:t>
            </w:r>
          </w:p>
        </w:tc>
        <w:tc>
          <w:tcPr>
            <w:tcW w:w="20" w:type="dxa"/>
            <w:vAlign w:val="bottom"/>
            <w:tcBorders>
              <w:bottom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360" w:type="dxa"/>
            <w:vAlign w:val="bottom"/>
            <w:tcBorders>
              <w:bottom w:val="single" w:sz="8" w:color="auto"/>
            </w:tcBorders>
          </w:tcPr>
          <w:p>
            <w:pPr>
              <w:jc w:val="right"/>
              <w:ind w:right="257"/>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11,388</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959,570</w:t>
            </w:r>
          </w:p>
        </w:tc>
      </w:tr>
      <w:tr>
        <w:trPr>
          <w:trHeight w:val="20"/>
        </w:trPr>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81"/>
        </w:trPr>
        <w:tc>
          <w:tcPr>
            <w:tcW w:w="3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right"/>
              <w:ind w:right="437"/>
              <w:spacing w:after="0"/>
              <w:rPr>
                <w:sz w:val="20"/>
                <w:szCs w:val="20"/>
                <w:color w:val="auto"/>
              </w:rPr>
            </w:pPr>
            <w:r>
              <w:rPr>
                <w:rFonts w:ascii="Arial" w:cs="Arial" w:eastAsia="Arial" w:hAnsi="Arial"/>
                <w:sz w:val="8"/>
                <w:szCs w:val="8"/>
                <w:b w:val="1"/>
                <w:bCs w:val="1"/>
                <w:color w:val="auto"/>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w w:val="99"/>
              </w:rPr>
              <w:t>Additional Paid-in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8"/>
                <w:szCs w:val="8"/>
                <w:b w:val="1"/>
                <w:bCs w:val="1"/>
                <w:color w:val="auto"/>
              </w:rPr>
              <w:t>Accumulated Other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25"/>
        </w:trPr>
        <w:tc>
          <w:tcPr>
            <w:tcW w:w="360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8"/>
                <w:szCs w:val="8"/>
                <w:b w:val="1"/>
                <w:bCs w:val="1"/>
                <w:color w:val="auto"/>
                <w:w w:val="89"/>
              </w:rPr>
              <w:t>Shares</w:t>
            </w: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8"/>
                <w:szCs w:val="8"/>
                <w:b w:val="1"/>
                <w:bCs w:val="1"/>
                <w:color w:val="auto"/>
              </w:rPr>
              <w:t>Amount</w:t>
            </w: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8"/>
                <w:szCs w:val="8"/>
                <w:b w:val="1"/>
                <w:bCs w:val="1"/>
                <w:color w:val="auto"/>
              </w:rPr>
              <w:t>Capital</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8"/>
                <w:szCs w:val="8"/>
                <w:b w:val="1"/>
                <w:bCs w:val="1"/>
                <w:color w:val="auto"/>
                <w:w w:val="98"/>
              </w:rPr>
              <w:t>Accumulated Deficit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8"/>
                <w:szCs w:val="8"/>
                <w:b w:val="1"/>
                <w:bCs w:val="1"/>
                <w:color w:val="auto"/>
                <w:w w:val="97"/>
              </w:rPr>
              <w:t>Comprehensive Income</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w w:val="96"/>
              </w:rPr>
              <w:t>Non-controlling Interest</w:t>
            </w:r>
          </w:p>
        </w:tc>
        <w:tc>
          <w:tcPr>
            <w:tcW w:w="80" w:type="dxa"/>
            <w:vAlign w:val="bottom"/>
            <w:tcBorders>
              <w:bottom w:val="single" w:sz="8" w:color="CCEEFF"/>
            </w:tcBorders>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8"/>
                <w:szCs w:val="8"/>
                <w:b w:val="1"/>
                <w:bCs w:val="1"/>
                <w:color w:val="auto"/>
                <w:w w:val="95"/>
              </w:rPr>
              <w:t>Total Stockholders’ Equity</w:t>
            </w:r>
          </w:p>
        </w:tc>
      </w:tr>
      <w:tr>
        <w:trPr>
          <w:trHeight w:val="120"/>
        </w:trPr>
        <w:tc>
          <w:tcPr>
            <w:tcW w:w="360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Balances at January 31, 2020</w:t>
            </w:r>
          </w:p>
        </w:tc>
        <w:tc>
          <w:tcPr>
            <w:tcW w:w="620" w:type="dxa"/>
            <w:vAlign w:val="bottom"/>
            <w:gridSpan w:val="2"/>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w w:val="85"/>
              </w:rPr>
              <w:t>212,948</w:t>
            </w:r>
          </w:p>
        </w:tc>
        <w:tc>
          <w:tcPr>
            <w:tcW w:w="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61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106</w:t>
            </w:r>
          </w:p>
        </w:tc>
        <w:tc>
          <w:tcPr>
            <w:tcW w:w="2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1,378,479</w:t>
            </w:r>
          </w:p>
        </w:tc>
        <w:tc>
          <w:tcPr>
            <w:tcW w:w="2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ind w:right="18"/>
              <w:spacing w:after="0"/>
              <w:rPr>
                <w:sz w:val="20"/>
                <w:szCs w:val="20"/>
                <w:color w:val="auto"/>
              </w:rPr>
            </w:pPr>
            <w:r>
              <w:rPr>
                <w:rFonts w:ascii="Arial" w:cs="Arial" w:eastAsia="Arial" w:hAnsi="Arial"/>
                <w:sz w:val="9"/>
                <w:szCs w:val="9"/>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(637,487)</w:t>
            </w:r>
          </w:p>
        </w:tc>
        <w:tc>
          <w:tcPr>
            <w:tcW w:w="20" w:type="dxa"/>
            <w:vAlign w:val="bottom"/>
            <w:shd w:val="clear" w:color="auto" w:fill="CCEEFF"/>
          </w:tcPr>
          <w:p>
            <w:pPr>
              <w:spacing w:after="0"/>
              <w:rPr>
                <w:sz w:val="10"/>
                <w:szCs w:val="10"/>
                <w:color w:val="auto"/>
              </w:rPr>
            </w:pPr>
          </w:p>
        </w:tc>
        <w:tc>
          <w:tcPr>
            <w:tcW w:w="200" w:type="dxa"/>
            <w:vAlign w:val="bottom"/>
            <w:gridSpan w:val="3"/>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1,009</w:t>
            </w:r>
          </w:p>
        </w:tc>
        <w:tc>
          <w:tcPr>
            <w:tcW w:w="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277"/>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500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742,607</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Issuance of common stock upon exercise of options</w:t>
            </w:r>
          </w:p>
        </w:tc>
        <w:tc>
          <w:tcPr>
            <w:tcW w:w="340" w:type="dxa"/>
            <w:vAlign w:val="bottom"/>
          </w:tcPr>
          <w:p>
            <w:pPr>
              <w:jc w:val="right"/>
              <w:spacing w:after="0"/>
              <w:rPr>
                <w:sz w:val="20"/>
                <w:szCs w:val="20"/>
                <w:color w:val="auto"/>
              </w:rPr>
            </w:pPr>
            <w:r>
              <w:rPr>
                <w:rFonts w:ascii="Arial" w:cs="Arial" w:eastAsia="Arial" w:hAnsi="Arial"/>
                <w:sz w:val="9"/>
                <w:szCs w:val="9"/>
                <w:color w:val="auto"/>
              </w:rPr>
              <w:t>5,966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9"/>
                <w:szCs w:val="9"/>
                <w:color w:val="auto"/>
              </w:rPr>
              <w:t>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21,517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21,522</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Issuance of common stock under RSU and PSU release</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1,475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4"/>
        </w:trPr>
        <w:tc>
          <w:tcPr>
            <w:tcW w:w="4220" w:type="dxa"/>
            <w:vAlign w:val="bottom"/>
            <w:gridSpan w:val="3"/>
          </w:tcPr>
          <w:p>
            <w:pPr>
              <w:spacing w:after="0"/>
              <w:rPr>
                <w:sz w:val="20"/>
                <w:szCs w:val="20"/>
                <w:color w:val="auto"/>
              </w:rPr>
            </w:pPr>
            <w:r>
              <w:rPr>
                <w:rFonts w:ascii="Arial" w:cs="Arial" w:eastAsia="Arial" w:hAnsi="Arial"/>
                <w:sz w:val="9"/>
                <w:szCs w:val="9"/>
                <w:color w:val="auto"/>
              </w:rPr>
              <w:t>Issuance of common stock under employee stock purchase plan</w:t>
            </w:r>
          </w:p>
        </w:tc>
        <w:tc>
          <w:tcPr>
            <w:tcW w:w="340" w:type="dxa"/>
            <w:vAlign w:val="bottom"/>
          </w:tcPr>
          <w:p>
            <w:pPr>
              <w:jc w:val="right"/>
              <w:spacing w:after="0"/>
              <w:rPr>
                <w:sz w:val="20"/>
                <w:szCs w:val="20"/>
                <w:color w:val="auto"/>
              </w:rPr>
            </w:pPr>
            <w:r>
              <w:rPr>
                <w:rFonts w:ascii="Arial" w:cs="Arial" w:eastAsia="Arial" w:hAnsi="Arial"/>
                <w:sz w:val="9"/>
                <w:szCs w:val="9"/>
                <w:color w:val="auto"/>
              </w:rPr>
              <w:t>565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17,284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17,284</w:t>
            </w:r>
          </w:p>
        </w:tc>
      </w:tr>
      <w:tr>
        <w:trPr>
          <w:trHeight w:val="128"/>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Vesting of early exercised options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2,521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2,521</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Stock-based compensation expense</w:t>
            </w: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101,883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101,883</w:t>
            </w:r>
          </w:p>
        </w:tc>
      </w:tr>
      <w:tr>
        <w:trPr>
          <w:trHeight w:val="131"/>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Capitalized stock-based compensation</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1,876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1,876</w:t>
            </w:r>
          </w:p>
        </w:tc>
      </w:tr>
      <w:tr>
        <w:trPr>
          <w:trHeight w:val="124"/>
        </w:trPr>
        <w:tc>
          <w:tcPr>
            <w:tcW w:w="4220" w:type="dxa"/>
            <w:vAlign w:val="bottom"/>
            <w:gridSpan w:val="3"/>
          </w:tcPr>
          <w:p>
            <w:pPr>
              <w:spacing w:after="0"/>
              <w:rPr>
                <w:sz w:val="20"/>
                <w:szCs w:val="20"/>
                <w:color w:val="auto"/>
              </w:rPr>
            </w:pPr>
            <w:r>
              <w:rPr>
                <w:rFonts w:ascii="Arial" w:cs="Arial" w:eastAsia="Arial" w:hAnsi="Arial"/>
                <w:sz w:val="9"/>
                <w:szCs w:val="9"/>
                <w:color w:val="auto"/>
              </w:rPr>
              <w:t>Fair value of replacement equity awards attributable to pre-acquisition service</w:t>
            </w: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313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313</w:t>
            </w:r>
          </w:p>
        </w:tc>
      </w:tr>
      <w:tr>
        <w:trPr>
          <w:trHeight w:val="128"/>
        </w:trPr>
        <w:tc>
          <w:tcPr>
            <w:tcW w:w="4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Net loss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(73,627)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(73,627)</w:t>
            </w:r>
          </w:p>
        </w:tc>
      </w:tr>
      <w:tr>
        <w:trPr>
          <w:trHeight w:val="121"/>
        </w:trPr>
        <w:tc>
          <w:tcPr>
            <w:tcW w:w="4220" w:type="dxa"/>
            <w:vAlign w:val="bottom"/>
            <w:gridSpan w:val="3"/>
          </w:tcPr>
          <w:p>
            <w:pPr>
              <w:spacing w:after="0"/>
              <w:rPr>
                <w:sz w:val="20"/>
                <w:szCs w:val="20"/>
                <w:color w:val="auto"/>
              </w:rPr>
            </w:pPr>
            <w:r>
              <w:rPr>
                <w:rFonts w:ascii="Arial" w:cs="Arial" w:eastAsia="Arial" w:hAnsi="Arial"/>
                <w:sz w:val="9"/>
                <w:szCs w:val="9"/>
                <w:color w:val="auto"/>
              </w:rPr>
              <w:t>Non-controlling interest</w:t>
            </w: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8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800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800</w:t>
            </w:r>
          </w:p>
        </w:tc>
      </w:tr>
      <w:tr>
        <w:trPr>
          <w:trHeight w:val="126"/>
        </w:trPr>
        <w:tc>
          <w:tcPr>
            <w:tcW w:w="3600" w:type="dxa"/>
            <w:vAlign w:val="bottom"/>
            <w:shd w:val="clear" w:color="auto" w:fill="CCEEFF"/>
          </w:tcPr>
          <w:p>
            <w:pPr>
              <w:spacing w:after="0"/>
              <w:rPr>
                <w:sz w:val="20"/>
                <w:szCs w:val="20"/>
                <w:color w:val="auto"/>
              </w:rPr>
            </w:pPr>
            <w:r>
              <w:rPr>
                <w:rFonts w:ascii="Arial" w:cs="Arial" w:eastAsia="Arial" w:hAnsi="Arial"/>
                <w:sz w:val="9"/>
                <w:szCs w:val="9"/>
                <w:color w:val="auto"/>
              </w:rPr>
              <w:t>Other comprehensive loss</w:t>
            </w:r>
          </w:p>
        </w:tc>
        <w:tc>
          <w:tcPr>
            <w:tcW w:w="620" w:type="dxa"/>
            <w:vAlign w:val="bottom"/>
            <w:tcBorders>
              <w:bottom w:val="single" w:sz="8" w:color="auto"/>
            </w:tcBorders>
            <w:gridSpan w:val="2"/>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(394)</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gridSpan w:val="2"/>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(394)</w:t>
            </w:r>
          </w:p>
        </w:tc>
      </w:tr>
      <w:tr>
        <w:trPr>
          <w:trHeight w:val="120"/>
        </w:trPr>
        <w:tc>
          <w:tcPr>
            <w:tcW w:w="4220" w:type="dxa"/>
            <w:vAlign w:val="bottom"/>
            <w:gridSpan w:val="3"/>
          </w:tcPr>
          <w:p>
            <w:pPr>
              <w:spacing w:after="0"/>
              <w:rPr>
                <w:sz w:val="20"/>
                <w:szCs w:val="20"/>
                <w:color w:val="auto"/>
              </w:rPr>
            </w:pPr>
            <w:r>
              <w:rPr>
                <w:rFonts w:ascii="Arial" w:cs="Arial" w:eastAsia="Arial" w:hAnsi="Arial"/>
                <w:sz w:val="9"/>
                <w:szCs w:val="9"/>
                <w:b w:val="1"/>
                <w:bCs w:val="1"/>
                <w:color w:val="auto"/>
              </w:rPr>
              <w:t>Balances at October 31, 2020</w:t>
            </w:r>
          </w:p>
        </w:tc>
        <w:tc>
          <w:tcPr>
            <w:tcW w:w="340" w:type="dxa"/>
            <w:vAlign w:val="bottom"/>
          </w:tcPr>
          <w:p>
            <w:pPr>
              <w:jc w:val="right"/>
              <w:spacing w:after="0"/>
              <w:rPr>
                <w:sz w:val="20"/>
                <w:szCs w:val="20"/>
                <w:color w:val="auto"/>
              </w:rPr>
            </w:pPr>
            <w:r>
              <w:rPr>
                <w:rFonts w:ascii="Arial" w:cs="Arial" w:eastAsia="Arial" w:hAnsi="Arial"/>
                <w:sz w:val="9"/>
                <w:szCs w:val="9"/>
                <w:color w:val="auto"/>
                <w:w w:val="85"/>
              </w:rPr>
              <w:t>220,954</w:t>
            </w:r>
          </w:p>
        </w:tc>
        <w:tc>
          <w:tcPr>
            <w:tcW w:w="20" w:type="dxa"/>
            <w:vAlign w:val="bottom"/>
          </w:tcPr>
          <w:p>
            <w:pPr>
              <w:spacing w:after="0"/>
              <w:rPr>
                <w:sz w:val="10"/>
                <w:szCs w:val="10"/>
                <w:color w:val="auto"/>
              </w:rPr>
            </w:pPr>
          </w:p>
        </w:tc>
        <w:tc>
          <w:tcPr>
            <w:tcW w:w="780" w:type="dxa"/>
            <w:vAlign w:val="bottom"/>
            <w:gridSpan w:val="3"/>
          </w:tcPr>
          <w:p>
            <w:pPr>
              <w:jc w:val="right"/>
              <w:ind w:right="617"/>
              <w:spacing w:after="0"/>
              <w:rPr>
                <w:sz w:val="20"/>
                <w:szCs w:val="20"/>
                <w:color w:val="auto"/>
              </w:rPr>
            </w:pPr>
            <w:r>
              <w:rPr>
                <w:rFonts w:ascii="Arial" w:cs="Arial" w:eastAsia="Arial" w:hAnsi="Arial"/>
                <w:sz w:val="9"/>
                <w:szCs w:val="9"/>
                <w:color w:val="auto"/>
              </w:rPr>
              <w:t>$</w:t>
            </w:r>
          </w:p>
        </w:tc>
        <w:tc>
          <w:tcPr>
            <w:tcW w:w="240" w:type="dxa"/>
            <w:vAlign w:val="bottom"/>
          </w:tcPr>
          <w:p>
            <w:pPr>
              <w:jc w:val="right"/>
              <w:spacing w:after="0"/>
              <w:rPr>
                <w:sz w:val="20"/>
                <w:szCs w:val="20"/>
                <w:color w:val="auto"/>
              </w:rPr>
            </w:pPr>
            <w:r>
              <w:rPr>
                <w:rFonts w:ascii="Arial" w:cs="Arial" w:eastAsia="Arial" w:hAnsi="Arial"/>
                <w:sz w:val="9"/>
                <w:szCs w:val="9"/>
                <w:color w:val="auto"/>
              </w:rPr>
              <w:t>111</w:t>
            </w:r>
          </w:p>
        </w:tc>
        <w:tc>
          <w:tcPr>
            <w:tcW w:w="20" w:type="dxa"/>
            <w:vAlign w:val="bottom"/>
          </w:tcPr>
          <w:p>
            <w:pPr>
              <w:spacing w:after="0"/>
              <w:rPr>
                <w:sz w:val="10"/>
                <w:szCs w:val="10"/>
                <w:color w:val="auto"/>
              </w:rPr>
            </w:pPr>
          </w:p>
        </w:tc>
        <w:tc>
          <w:tcPr>
            <w:tcW w:w="180" w:type="dxa"/>
            <w:vAlign w:val="bottom"/>
            <w:gridSpan w:val="3"/>
          </w:tcPr>
          <w:p>
            <w:pPr>
              <w:jc w:val="right"/>
              <w:ind w:right="15"/>
              <w:spacing w:after="0"/>
              <w:rPr>
                <w:sz w:val="20"/>
                <w:szCs w:val="20"/>
                <w:color w:val="auto"/>
              </w:rPr>
            </w:pPr>
            <w:r>
              <w:rPr>
                <w:rFonts w:ascii="Arial" w:cs="Arial" w:eastAsia="Arial" w:hAnsi="Arial"/>
                <w:sz w:val="9"/>
                <w:szCs w:val="9"/>
                <w:color w:val="auto"/>
              </w:rPr>
              <w:t>$</w:t>
            </w:r>
          </w:p>
        </w:tc>
        <w:tc>
          <w:tcPr>
            <w:tcW w:w="840" w:type="dxa"/>
            <w:vAlign w:val="bottom"/>
          </w:tcPr>
          <w:p>
            <w:pPr>
              <w:jc w:val="right"/>
              <w:spacing w:after="0"/>
              <w:rPr>
                <w:sz w:val="20"/>
                <w:szCs w:val="20"/>
                <w:color w:val="auto"/>
              </w:rPr>
            </w:pPr>
            <w:r>
              <w:rPr>
                <w:rFonts w:ascii="Arial" w:cs="Arial" w:eastAsia="Arial" w:hAnsi="Arial"/>
                <w:sz w:val="9"/>
                <w:szCs w:val="9"/>
                <w:color w:val="auto"/>
              </w:rPr>
              <w:t>1,523,873</w:t>
            </w:r>
          </w:p>
        </w:tc>
        <w:tc>
          <w:tcPr>
            <w:tcW w:w="20" w:type="dxa"/>
            <w:vAlign w:val="bottom"/>
          </w:tcPr>
          <w:p>
            <w:pPr>
              <w:spacing w:after="0"/>
              <w:rPr>
                <w:sz w:val="10"/>
                <w:szCs w:val="10"/>
                <w:color w:val="auto"/>
              </w:rPr>
            </w:pPr>
          </w:p>
        </w:tc>
        <w:tc>
          <w:tcPr>
            <w:tcW w:w="180" w:type="dxa"/>
            <w:vAlign w:val="bottom"/>
            <w:gridSpan w:val="3"/>
          </w:tcPr>
          <w:p>
            <w:pPr>
              <w:jc w:val="right"/>
              <w:ind w:right="18"/>
              <w:spacing w:after="0"/>
              <w:rPr>
                <w:sz w:val="20"/>
                <w:szCs w:val="20"/>
                <w:color w:val="auto"/>
              </w:rPr>
            </w:pPr>
            <w:r>
              <w:rPr>
                <w:rFonts w:ascii="Arial" w:cs="Arial" w:eastAsia="Arial" w:hAnsi="Arial"/>
                <w:sz w:val="9"/>
                <w:szCs w:val="9"/>
                <w:color w:val="auto"/>
              </w:rPr>
              <w:t>$</w:t>
            </w:r>
          </w:p>
        </w:tc>
        <w:tc>
          <w:tcPr>
            <w:tcW w:w="920" w:type="dxa"/>
            <w:vAlign w:val="bottom"/>
          </w:tcPr>
          <w:p>
            <w:pPr>
              <w:jc w:val="right"/>
              <w:spacing w:after="0"/>
              <w:rPr>
                <w:sz w:val="20"/>
                <w:szCs w:val="20"/>
                <w:color w:val="auto"/>
              </w:rPr>
            </w:pPr>
            <w:r>
              <w:rPr>
                <w:rFonts w:ascii="Arial" w:cs="Arial" w:eastAsia="Arial" w:hAnsi="Arial"/>
                <w:sz w:val="9"/>
                <w:szCs w:val="9"/>
                <w:color w:val="auto"/>
              </w:rPr>
              <w:t>(711,114)</w:t>
            </w:r>
          </w:p>
        </w:tc>
        <w:tc>
          <w:tcPr>
            <w:tcW w:w="20" w:type="dxa"/>
            <w:vAlign w:val="bottom"/>
          </w:tcPr>
          <w:p>
            <w:pPr>
              <w:spacing w:after="0"/>
              <w:rPr>
                <w:sz w:val="10"/>
                <w:szCs w:val="10"/>
                <w:color w:val="auto"/>
              </w:rPr>
            </w:pPr>
          </w:p>
        </w:tc>
        <w:tc>
          <w:tcPr>
            <w:tcW w:w="200" w:type="dxa"/>
            <w:vAlign w:val="bottom"/>
            <w:gridSpan w:val="3"/>
          </w:tcPr>
          <w:p>
            <w:pPr>
              <w:jc w:val="right"/>
              <w:ind w:right="15"/>
              <w:spacing w:after="0"/>
              <w:rPr>
                <w:sz w:val="20"/>
                <w:szCs w:val="20"/>
                <w:color w:val="auto"/>
              </w:rPr>
            </w:pPr>
            <w:r>
              <w:rPr>
                <w:rFonts w:ascii="Arial" w:cs="Arial" w:eastAsia="Arial" w:hAnsi="Arial"/>
                <w:sz w:val="9"/>
                <w:szCs w:val="9"/>
                <w:color w:val="auto"/>
              </w:rPr>
              <w:t>$</w:t>
            </w:r>
          </w:p>
        </w:tc>
        <w:tc>
          <w:tcPr>
            <w:tcW w:w="1100" w:type="dxa"/>
            <w:vAlign w:val="bottom"/>
          </w:tcPr>
          <w:p>
            <w:pPr>
              <w:jc w:val="right"/>
              <w:spacing w:after="0"/>
              <w:rPr>
                <w:sz w:val="20"/>
                <w:szCs w:val="20"/>
                <w:color w:val="auto"/>
              </w:rPr>
            </w:pPr>
            <w:r>
              <w:rPr>
                <w:rFonts w:ascii="Arial" w:cs="Arial" w:eastAsia="Arial" w:hAnsi="Arial"/>
                <w:sz w:val="9"/>
                <w:szCs w:val="9"/>
                <w:color w:val="auto"/>
              </w:rPr>
              <w:t>615</w:t>
            </w:r>
          </w:p>
        </w:tc>
        <w:tc>
          <w:tcPr>
            <w:tcW w:w="20" w:type="dxa"/>
            <w:vAlign w:val="bottom"/>
          </w:tcPr>
          <w:p>
            <w:pPr>
              <w:spacing w:after="0"/>
              <w:rPr>
                <w:sz w:val="10"/>
                <w:szCs w:val="10"/>
                <w:color w:val="auto"/>
              </w:rPr>
            </w:pPr>
          </w:p>
        </w:tc>
        <w:tc>
          <w:tcPr>
            <w:tcW w:w="440" w:type="dxa"/>
            <w:vAlign w:val="bottom"/>
            <w:gridSpan w:val="3"/>
          </w:tcPr>
          <w:p>
            <w:pPr>
              <w:jc w:val="right"/>
              <w:ind w:right="277"/>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1,300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Pr>
          <w:p>
            <w:pPr>
              <w:jc w:val="right"/>
              <w:spacing w:after="0"/>
              <w:rPr>
                <w:sz w:val="20"/>
                <w:szCs w:val="20"/>
                <w:color w:val="auto"/>
              </w:rPr>
            </w:pPr>
            <w:r>
              <w:rPr>
                <w:rFonts w:ascii="Arial" w:cs="Arial" w:eastAsia="Arial" w:hAnsi="Arial"/>
                <w:sz w:val="9"/>
                <w:szCs w:val="9"/>
                <w:color w:val="auto"/>
              </w:rPr>
              <w:t>814,785</w:t>
            </w:r>
          </w:p>
        </w:tc>
      </w:tr>
      <w:tr>
        <w:trPr>
          <w:trHeight w:val="20"/>
        </w:trPr>
        <w:tc>
          <w:tcPr>
            <w:tcW w:w="3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9"/>
          <w:szCs w:val="9"/>
          <w:color w:val="auto"/>
        </w:rPr>
        <w:t>The accompanying notes are an integral part of these condensed consolidated financial statements.</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0" w:name="page11"/>
    <w:bookmarkEnd w:id="10"/>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CrowdStrike Holdings, Inc.</w:t>
      </w:r>
    </w:p>
    <w:p>
      <w:pPr>
        <w:jc w:val="center"/>
        <w:ind w:right="20"/>
        <w:spacing w:after="0" w:line="187" w:lineRule="auto"/>
        <w:rPr>
          <w:sz w:val="20"/>
          <w:szCs w:val="20"/>
          <w:color w:val="auto"/>
        </w:rPr>
      </w:pPr>
      <w:r>
        <w:rPr>
          <w:rFonts w:ascii="Arial" w:cs="Arial" w:eastAsia="Arial" w:hAnsi="Arial"/>
          <w:sz w:val="10"/>
          <w:szCs w:val="10"/>
          <w:b w:val="1"/>
          <w:bCs w:val="1"/>
          <w:color w:val="auto"/>
        </w:rPr>
        <w:t>Condensed Consolidated Statements of Cash Flows</w:t>
      </w:r>
    </w:p>
    <w:p>
      <w:pPr>
        <w:jc w:val="center"/>
        <w:ind w:right="20"/>
        <w:spacing w:after="0" w:line="188" w:lineRule="auto"/>
        <w:rPr>
          <w:sz w:val="20"/>
          <w:szCs w:val="20"/>
          <w:color w:val="auto"/>
        </w:rPr>
      </w:pPr>
      <w:r>
        <w:rPr>
          <w:rFonts w:ascii="Arial" w:cs="Arial" w:eastAsia="Arial" w:hAnsi="Arial"/>
          <w:sz w:val="10"/>
          <w:szCs w:val="10"/>
          <w:i w:val="1"/>
          <w:iCs w:val="1"/>
          <w:color w:val="auto"/>
        </w:rPr>
        <w:t>(in thousands)</w:t>
      </w:r>
    </w:p>
    <w:p>
      <w:pPr>
        <w:jc w:val="center"/>
        <w:ind w:right="20"/>
        <w:spacing w:after="0" w:line="237" w:lineRule="auto"/>
        <w:rPr>
          <w:sz w:val="20"/>
          <w:szCs w:val="20"/>
          <w:color w:val="auto"/>
        </w:rPr>
      </w:pPr>
      <w:r>
        <w:rPr>
          <w:rFonts w:ascii="Arial" w:cs="Arial" w:eastAsia="Arial" w:hAnsi="Arial"/>
          <w:sz w:val="10"/>
          <w:szCs w:val="10"/>
          <w:i w:val="1"/>
          <w:i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8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8"/>
                <w:szCs w:val="8"/>
                <w:b w:val="1"/>
                <w:bCs w:val="1"/>
                <w:color w:val="auto"/>
                <w:w w:val="99"/>
              </w:rPr>
              <w:t>Nine Months Ended October 31,</w:t>
            </w:r>
          </w:p>
        </w:tc>
        <w:tc>
          <w:tcPr>
            <w:tcW w:w="920" w:type="dxa"/>
            <w:vAlign w:val="bottom"/>
            <w:tcBorders>
              <w:bottom w:val="single" w:sz="8" w:color="auto"/>
            </w:tcBorders>
          </w:tcPr>
          <w:p>
            <w:pPr>
              <w:spacing w:after="0"/>
              <w:rPr>
                <w:sz w:val="9"/>
                <w:szCs w:val="9"/>
                <w:color w:val="auto"/>
              </w:rPr>
            </w:pPr>
          </w:p>
        </w:tc>
      </w:tr>
      <w:tr>
        <w:trPr>
          <w:trHeight w:val="107"/>
        </w:trPr>
        <w:tc>
          <w:tcPr>
            <w:tcW w:w="818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2021</w:t>
            </w: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638"/>
              <w:spacing w:after="0"/>
              <w:rPr>
                <w:sz w:val="20"/>
                <w:szCs w:val="20"/>
                <w:color w:val="auto"/>
              </w:rPr>
            </w:pPr>
            <w:r>
              <w:rPr>
                <w:rFonts w:ascii="Arial" w:cs="Arial" w:eastAsia="Arial" w:hAnsi="Arial"/>
                <w:sz w:val="8"/>
                <w:szCs w:val="8"/>
                <w:b w:val="1"/>
                <w:bCs w:val="1"/>
                <w:color w:val="auto"/>
              </w:rPr>
              <w:t>2020</w:t>
            </w:r>
          </w:p>
        </w:tc>
      </w:tr>
      <w:tr>
        <w:trPr>
          <w:trHeight w:val="102"/>
        </w:trPr>
        <w:tc>
          <w:tcPr>
            <w:tcW w:w="81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Operating activities</w:t>
            </w:r>
          </w:p>
        </w:tc>
        <w:tc>
          <w:tcPr>
            <w:tcW w:w="9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Net loss</w:t>
            </w:r>
          </w:p>
        </w:tc>
        <w:tc>
          <w:tcPr>
            <w:tcW w:w="920" w:type="dxa"/>
            <w:vAlign w:val="bottom"/>
          </w:tcPr>
          <w:p>
            <w:pPr>
              <w:jc w:val="right"/>
              <w:ind w:right="818"/>
              <w:spacing w:after="0"/>
              <w:rPr>
                <w:sz w:val="20"/>
                <w:szCs w:val="20"/>
                <w:color w:val="auto"/>
              </w:rPr>
            </w:pPr>
            <w:r>
              <w:rPr>
                <w:rFonts w:ascii="Arial" w:cs="Arial" w:eastAsia="Arial" w:hAnsi="Arial"/>
                <w:sz w:val="8"/>
                <w:szCs w:val="8"/>
                <w:color w:val="auto"/>
                <w:w w:val="88"/>
              </w:rPr>
              <w:t>$</w:t>
            </w:r>
          </w:p>
        </w:tc>
        <w:tc>
          <w:tcPr>
            <w:tcW w:w="600" w:type="dxa"/>
            <w:vAlign w:val="bottom"/>
          </w:tcPr>
          <w:p>
            <w:pPr>
              <w:jc w:val="right"/>
              <w:spacing w:after="0"/>
              <w:rPr>
                <w:sz w:val="20"/>
                <w:szCs w:val="20"/>
                <w:color w:val="auto"/>
              </w:rPr>
            </w:pPr>
            <w:r>
              <w:rPr>
                <w:rFonts w:ascii="Arial" w:cs="Arial" w:eastAsia="Arial" w:hAnsi="Arial"/>
                <w:sz w:val="8"/>
                <w:szCs w:val="8"/>
                <w:color w:val="auto"/>
              </w:rPr>
              <w:t>(190,639)</w:t>
            </w:r>
          </w:p>
        </w:tc>
        <w:tc>
          <w:tcPr>
            <w:tcW w:w="80" w:type="dxa"/>
            <w:vAlign w:val="bottom"/>
          </w:tcPr>
          <w:p>
            <w:pPr>
              <w:spacing w:after="0"/>
              <w:rPr>
                <w:sz w:val="9"/>
                <w:szCs w:val="9"/>
                <w:color w:val="auto"/>
              </w:rPr>
            </w:pPr>
          </w:p>
        </w:tc>
        <w:tc>
          <w:tcPr>
            <w:tcW w:w="600" w:type="dxa"/>
            <w:vAlign w:val="bottom"/>
          </w:tcPr>
          <w:p>
            <w:pPr>
              <w:jc w:val="right"/>
              <w:ind w:right="498"/>
              <w:spacing w:after="0"/>
              <w:rPr>
                <w:sz w:val="20"/>
                <w:szCs w:val="20"/>
                <w:color w:val="auto"/>
              </w:rPr>
            </w:pPr>
            <w:r>
              <w:rPr>
                <w:rFonts w:ascii="Arial" w:cs="Arial" w:eastAsia="Arial" w:hAnsi="Arial"/>
                <w:sz w:val="8"/>
                <w:szCs w:val="8"/>
                <w:color w:val="auto"/>
                <w:w w:val="88"/>
              </w:rPr>
              <w:t>$</w:t>
            </w:r>
          </w:p>
        </w:tc>
        <w:tc>
          <w:tcPr>
            <w:tcW w:w="920" w:type="dxa"/>
            <w:vAlign w:val="bottom"/>
          </w:tcPr>
          <w:p>
            <w:pPr>
              <w:jc w:val="right"/>
              <w:spacing w:after="0"/>
              <w:rPr>
                <w:sz w:val="20"/>
                <w:szCs w:val="20"/>
                <w:color w:val="auto"/>
              </w:rPr>
            </w:pPr>
            <w:r>
              <w:rPr>
                <w:rFonts w:ascii="Arial" w:cs="Arial" w:eastAsia="Arial" w:hAnsi="Arial"/>
                <w:sz w:val="8"/>
                <w:szCs w:val="8"/>
                <w:color w:val="auto"/>
              </w:rPr>
              <w:t>(73,627)</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Adjustments to reconcile net loss to net cash provided by operating activities: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11"/>
        </w:trPr>
        <w:tc>
          <w:tcPr>
            <w:tcW w:w="8180" w:type="dxa"/>
            <w:vAlign w:val="bottom"/>
          </w:tcPr>
          <w:p>
            <w:pPr>
              <w:ind w:left="80"/>
              <w:spacing w:after="0"/>
              <w:rPr>
                <w:sz w:val="20"/>
                <w:szCs w:val="20"/>
                <w:color w:val="auto"/>
              </w:rPr>
            </w:pPr>
            <w:r>
              <w:rPr>
                <w:rFonts w:ascii="Arial" w:cs="Arial" w:eastAsia="Arial" w:hAnsi="Arial"/>
                <w:sz w:val="8"/>
                <w:szCs w:val="8"/>
                <w:color w:val="auto"/>
              </w:rPr>
              <w:t>Depreciation and amortization</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39,247</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27,728</w:t>
            </w:r>
          </w:p>
        </w:tc>
      </w:tr>
      <w:tr>
        <w:trPr>
          <w:trHeight w:val="123"/>
        </w:trPr>
        <w:tc>
          <w:tcPr>
            <w:tcW w:w="8180" w:type="dxa"/>
            <w:vAlign w:val="bottom"/>
            <w:shd w:val="clear" w:color="auto" w:fill="CCEEFF"/>
          </w:tcPr>
          <w:p>
            <w:pPr>
              <w:ind w:left="80"/>
              <w:spacing w:after="0"/>
              <w:rPr>
                <w:sz w:val="20"/>
                <w:szCs w:val="20"/>
                <w:color w:val="auto"/>
              </w:rPr>
            </w:pPr>
            <w:r>
              <w:rPr>
                <w:rFonts w:ascii="Arial" w:cs="Arial" w:eastAsia="Arial" w:hAnsi="Arial"/>
                <w:sz w:val="8"/>
                <w:szCs w:val="8"/>
                <w:color w:val="auto"/>
              </w:rPr>
              <w:t>Loss on disposal of property and equipment</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259</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r>
      <w:tr>
        <w:trPr>
          <w:trHeight w:val="111"/>
        </w:trPr>
        <w:tc>
          <w:tcPr>
            <w:tcW w:w="8180" w:type="dxa"/>
            <w:vAlign w:val="bottom"/>
          </w:tcPr>
          <w:p>
            <w:pPr>
              <w:ind w:left="80"/>
              <w:spacing w:after="0"/>
              <w:rPr>
                <w:sz w:val="20"/>
                <w:szCs w:val="20"/>
                <w:color w:val="auto"/>
              </w:rPr>
            </w:pPr>
            <w:r>
              <w:rPr>
                <w:rFonts w:ascii="Arial" w:cs="Arial" w:eastAsia="Arial" w:hAnsi="Arial"/>
                <w:sz w:val="8"/>
                <w:szCs w:val="8"/>
                <w:color w:val="auto"/>
              </w:rPr>
              <w:t>Amortization of intangible assets</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9,072</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579</w:t>
            </w:r>
          </w:p>
        </w:tc>
      </w:tr>
      <w:tr>
        <w:trPr>
          <w:trHeight w:val="123"/>
        </w:trPr>
        <w:tc>
          <w:tcPr>
            <w:tcW w:w="8180" w:type="dxa"/>
            <w:vAlign w:val="bottom"/>
            <w:shd w:val="clear" w:color="auto" w:fill="CCEEFF"/>
          </w:tcPr>
          <w:p>
            <w:pPr>
              <w:ind w:left="80"/>
              <w:spacing w:after="0"/>
              <w:rPr>
                <w:sz w:val="20"/>
                <w:szCs w:val="20"/>
                <w:color w:val="auto"/>
              </w:rPr>
            </w:pPr>
            <w:r>
              <w:rPr>
                <w:rFonts w:ascii="Arial" w:cs="Arial" w:eastAsia="Arial" w:hAnsi="Arial"/>
                <w:sz w:val="8"/>
                <w:szCs w:val="8"/>
                <w:color w:val="auto"/>
              </w:rPr>
              <w:t>Amortization of deferred contract acquisition costs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79,712</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44,940</w:t>
            </w:r>
          </w:p>
        </w:tc>
      </w:tr>
      <w:tr>
        <w:trPr>
          <w:trHeight w:val="111"/>
        </w:trPr>
        <w:tc>
          <w:tcPr>
            <w:tcW w:w="8180" w:type="dxa"/>
            <w:vAlign w:val="bottom"/>
          </w:tcPr>
          <w:p>
            <w:pPr>
              <w:ind w:left="80"/>
              <w:spacing w:after="0"/>
              <w:rPr>
                <w:sz w:val="20"/>
                <w:szCs w:val="20"/>
                <w:color w:val="auto"/>
              </w:rPr>
            </w:pPr>
            <w:r>
              <w:rPr>
                <w:rFonts w:ascii="Arial" w:cs="Arial" w:eastAsia="Arial" w:hAnsi="Arial"/>
                <w:sz w:val="8"/>
                <w:szCs w:val="8"/>
                <w:color w:val="auto"/>
              </w:rPr>
              <w:t>Non-cash operating lease cost</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6,727</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7,666</w:t>
            </w:r>
          </w:p>
        </w:tc>
      </w:tr>
      <w:tr>
        <w:trPr>
          <w:trHeight w:val="123"/>
        </w:trPr>
        <w:tc>
          <w:tcPr>
            <w:tcW w:w="8180" w:type="dxa"/>
            <w:vAlign w:val="bottom"/>
            <w:shd w:val="clear" w:color="auto" w:fill="CCEEFF"/>
          </w:tcPr>
          <w:p>
            <w:pPr>
              <w:ind w:left="80"/>
              <w:spacing w:after="0"/>
              <w:rPr>
                <w:sz w:val="20"/>
                <w:szCs w:val="20"/>
                <w:color w:val="auto"/>
              </w:rPr>
            </w:pPr>
            <w:r>
              <w:rPr>
                <w:rFonts w:ascii="Arial" w:cs="Arial" w:eastAsia="Arial" w:hAnsi="Arial"/>
                <w:sz w:val="8"/>
                <w:szCs w:val="8"/>
                <w:color w:val="auto"/>
              </w:rPr>
              <w:t>Stock-based compensation expense</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217,315</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101,961</w:t>
            </w:r>
          </w:p>
        </w:tc>
      </w:tr>
      <w:tr>
        <w:trPr>
          <w:trHeight w:val="111"/>
        </w:trPr>
        <w:tc>
          <w:tcPr>
            <w:tcW w:w="8180" w:type="dxa"/>
            <w:vAlign w:val="bottom"/>
          </w:tcPr>
          <w:p>
            <w:pPr>
              <w:ind w:left="80"/>
              <w:spacing w:after="0"/>
              <w:rPr>
                <w:sz w:val="20"/>
                <w:szCs w:val="20"/>
                <w:color w:val="auto"/>
              </w:rPr>
            </w:pPr>
            <w:r>
              <w:rPr>
                <w:rFonts w:ascii="Arial" w:cs="Arial" w:eastAsia="Arial" w:hAnsi="Arial"/>
                <w:sz w:val="8"/>
                <w:szCs w:val="8"/>
                <w:color w:val="auto"/>
              </w:rPr>
              <w:t>Gain on sale of debt securities, net</w:t>
            </w:r>
          </w:p>
        </w:tc>
        <w:tc>
          <w:tcPr>
            <w:tcW w:w="920" w:type="dxa"/>
            <w:vAlign w:val="bottom"/>
          </w:tcPr>
          <w:p>
            <w:pPr>
              <w:spacing w:after="0"/>
              <w:rPr>
                <w:sz w:val="9"/>
                <w:szCs w:val="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(1,347)</w:t>
            </w:r>
          </w:p>
        </w:tc>
      </w:tr>
      <w:tr>
        <w:trPr>
          <w:trHeight w:val="123"/>
        </w:trPr>
        <w:tc>
          <w:tcPr>
            <w:tcW w:w="8180" w:type="dxa"/>
            <w:vAlign w:val="bottom"/>
            <w:shd w:val="clear" w:color="auto" w:fill="CCEEFF"/>
          </w:tcPr>
          <w:p>
            <w:pPr>
              <w:ind w:left="80"/>
              <w:spacing w:after="0"/>
              <w:rPr>
                <w:sz w:val="20"/>
                <w:szCs w:val="20"/>
                <w:color w:val="auto"/>
              </w:rPr>
            </w:pPr>
            <w:r>
              <w:rPr>
                <w:rFonts w:ascii="Arial" w:cs="Arial" w:eastAsia="Arial" w:hAnsi="Arial"/>
                <w:sz w:val="8"/>
                <w:szCs w:val="8"/>
                <w:color w:val="auto"/>
              </w:rPr>
              <w:t>Amortization of marketable securities purchased at a premium</w:t>
            </w:r>
          </w:p>
        </w:tc>
        <w:tc>
          <w:tcPr>
            <w:tcW w:w="9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578</w:t>
            </w:r>
          </w:p>
        </w:tc>
      </w:tr>
      <w:tr>
        <w:trPr>
          <w:trHeight w:val="111"/>
        </w:trPr>
        <w:tc>
          <w:tcPr>
            <w:tcW w:w="8180" w:type="dxa"/>
            <w:vAlign w:val="bottom"/>
          </w:tcPr>
          <w:p>
            <w:pPr>
              <w:ind w:left="80"/>
              <w:spacing w:after="0"/>
              <w:rPr>
                <w:sz w:val="20"/>
                <w:szCs w:val="20"/>
                <w:color w:val="auto"/>
              </w:rPr>
            </w:pPr>
            <w:r>
              <w:rPr>
                <w:rFonts w:ascii="Arial" w:cs="Arial" w:eastAsia="Arial" w:hAnsi="Arial"/>
                <w:sz w:val="8"/>
                <w:szCs w:val="8"/>
                <w:color w:val="auto"/>
              </w:rPr>
              <w:t>Non-cash interest expense</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1,824</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506</w:t>
            </w:r>
          </w:p>
        </w:tc>
      </w:tr>
      <w:tr>
        <w:trPr>
          <w:trHeight w:val="123"/>
        </w:trPr>
        <w:tc>
          <w:tcPr>
            <w:tcW w:w="8180" w:type="dxa"/>
            <w:vAlign w:val="bottom"/>
            <w:shd w:val="clear" w:color="auto" w:fill="CCEEFF"/>
          </w:tcPr>
          <w:p>
            <w:pPr>
              <w:ind w:left="80"/>
              <w:spacing w:after="0"/>
              <w:rPr>
                <w:sz w:val="20"/>
                <w:szCs w:val="20"/>
                <w:color w:val="auto"/>
              </w:rPr>
            </w:pPr>
            <w:r>
              <w:rPr>
                <w:rFonts w:ascii="Arial" w:cs="Arial" w:eastAsia="Arial" w:hAnsi="Arial"/>
                <w:sz w:val="8"/>
                <w:szCs w:val="8"/>
                <w:color w:val="auto"/>
              </w:rPr>
              <w:t>Change in fair value of strategic investments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(4,356)</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r>
      <w:tr>
        <w:trPr>
          <w:trHeight w:val="111"/>
        </w:trPr>
        <w:tc>
          <w:tcPr>
            <w:tcW w:w="8180" w:type="dxa"/>
            <w:vAlign w:val="bottom"/>
          </w:tcPr>
          <w:p>
            <w:pPr>
              <w:ind w:left="80"/>
              <w:spacing w:after="0"/>
              <w:rPr>
                <w:sz w:val="20"/>
                <w:szCs w:val="20"/>
                <w:color w:val="auto"/>
              </w:rPr>
            </w:pPr>
            <w:r>
              <w:rPr>
                <w:rFonts w:ascii="Arial" w:cs="Arial" w:eastAsia="Arial" w:hAnsi="Arial"/>
                <w:sz w:val="8"/>
                <w:szCs w:val="8"/>
                <w:color w:val="auto"/>
              </w:rPr>
              <w:t>Changes in operating assets and liabilities, net of impact of acquisitions</w:t>
            </w: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23"/>
        </w:trPr>
        <w:tc>
          <w:tcPr>
            <w:tcW w:w="8180" w:type="dxa"/>
            <w:vAlign w:val="bottom"/>
            <w:shd w:val="clear" w:color="auto" w:fill="CCEEFF"/>
          </w:tcPr>
          <w:p>
            <w:pPr>
              <w:ind w:left="140"/>
              <w:spacing w:after="0"/>
              <w:rPr>
                <w:sz w:val="20"/>
                <w:szCs w:val="20"/>
                <w:color w:val="auto"/>
              </w:rPr>
            </w:pPr>
            <w:r>
              <w:rPr>
                <w:rFonts w:ascii="Arial" w:cs="Arial" w:eastAsia="Arial" w:hAnsi="Arial"/>
                <w:sz w:val="8"/>
                <w:szCs w:val="8"/>
                <w:color w:val="auto"/>
              </w:rPr>
              <w:t>Accounts receivable, net</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(40,644)</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(6,603)</w:t>
            </w:r>
          </w:p>
        </w:tc>
      </w:tr>
      <w:tr>
        <w:trPr>
          <w:trHeight w:val="111"/>
        </w:trPr>
        <w:tc>
          <w:tcPr>
            <w:tcW w:w="8180" w:type="dxa"/>
            <w:vAlign w:val="bottom"/>
          </w:tcPr>
          <w:p>
            <w:pPr>
              <w:ind w:left="140"/>
              <w:spacing w:after="0"/>
              <w:rPr>
                <w:sz w:val="20"/>
                <w:szCs w:val="20"/>
                <w:color w:val="auto"/>
              </w:rPr>
            </w:pPr>
            <w:r>
              <w:rPr>
                <w:rFonts w:ascii="Arial" w:cs="Arial" w:eastAsia="Arial" w:hAnsi="Arial"/>
                <w:sz w:val="8"/>
                <w:szCs w:val="8"/>
                <w:color w:val="auto"/>
              </w:rPr>
              <w:t>Deferred contract acquisition costs</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(151,901)</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(84,741)</w:t>
            </w:r>
          </w:p>
        </w:tc>
      </w:tr>
      <w:tr>
        <w:trPr>
          <w:trHeight w:val="123"/>
        </w:trPr>
        <w:tc>
          <w:tcPr>
            <w:tcW w:w="8180" w:type="dxa"/>
            <w:vAlign w:val="bottom"/>
            <w:shd w:val="clear" w:color="auto" w:fill="CCEEFF"/>
          </w:tcPr>
          <w:p>
            <w:pPr>
              <w:ind w:left="140"/>
              <w:spacing w:after="0"/>
              <w:rPr>
                <w:sz w:val="20"/>
                <w:szCs w:val="20"/>
                <w:color w:val="auto"/>
              </w:rPr>
            </w:pPr>
            <w:r>
              <w:rPr>
                <w:rFonts w:ascii="Arial" w:cs="Arial" w:eastAsia="Arial" w:hAnsi="Arial"/>
                <w:sz w:val="8"/>
                <w:szCs w:val="8"/>
                <w:color w:val="auto"/>
              </w:rPr>
              <w:t>Prepaid expenses and other assets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(9,788)</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1,487</w:t>
            </w:r>
          </w:p>
        </w:tc>
      </w:tr>
      <w:tr>
        <w:trPr>
          <w:trHeight w:val="111"/>
        </w:trPr>
        <w:tc>
          <w:tcPr>
            <w:tcW w:w="8180" w:type="dxa"/>
            <w:vAlign w:val="bottom"/>
          </w:tcPr>
          <w:p>
            <w:pPr>
              <w:ind w:left="140"/>
              <w:spacing w:after="0"/>
              <w:rPr>
                <w:sz w:val="20"/>
                <w:szCs w:val="20"/>
                <w:color w:val="auto"/>
              </w:rPr>
            </w:pPr>
            <w:r>
              <w:rPr>
                <w:rFonts w:ascii="Arial" w:cs="Arial" w:eastAsia="Arial" w:hAnsi="Arial"/>
                <w:sz w:val="8"/>
                <w:szCs w:val="8"/>
                <w:color w:val="auto"/>
              </w:rPr>
              <w:t>Accounts payable</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(7,033)</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6,556</w:t>
            </w:r>
          </w:p>
        </w:tc>
      </w:tr>
      <w:tr>
        <w:trPr>
          <w:trHeight w:val="123"/>
        </w:trPr>
        <w:tc>
          <w:tcPr>
            <w:tcW w:w="8180" w:type="dxa"/>
            <w:vAlign w:val="bottom"/>
            <w:shd w:val="clear" w:color="auto" w:fill="CCEEFF"/>
          </w:tcPr>
          <w:p>
            <w:pPr>
              <w:ind w:left="140"/>
              <w:spacing w:after="0"/>
              <w:rPr>
                <w:sz w:val="20"/>
                <w:szCs w:val="20"/>
                <w:color w:val="auto"/>
              </w:rPr>
            </w:pPr>
            <w:r>
              <w:rPr>
                <w:rFonts w:ascii="Arial" w:cs="Arial" w:eastAsia="Arial" w:hAnsi="Arial"/>
                <w:sz w:val="8"/>
                <w:szCs w:val="8"/>
                <w:color w:val="auto"/>
              </w:rPr>
              <w:t>Accrued expenses and other current liabilities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81,826</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1,643</w:t>
            </w:r>
          </w:p>
        </w:tc>
      </w:tr>
      <w:tr>
        <w:trPr>
          <w:trHeight w:val="111"/>
        </w:trPr>
        <w:tc>
          <w:tcPr>
            <w:tcW w:w="8180" w:type="dxa"/>
            <w:vAlign w:val="bottom"/>
          </w:tcPr>
          <w:p>
            <w:pPr>
              <w:ind w:left="140"/>
              <w:spacing w:after="0"/>
              <w:rPr>
                <w:sz w:val="20"/>
                <w:szCs w:val="20"/>
                <w:color w:val="auto"/>
              </w:rPr>
            </w:pPr>
            <w:r>
              <w:rPr>
                <w:rFonts w:ascii="Arial" w:cs="Arial" w:eastAsia="Arial" w:hAnsi="Arial"/>
                <w:sz w:val="8"/>
                <w:szCs w:val="8"/>
                <w:color w:val="auto"/>
              </w:rPr>
              <w:t>Accrued payroll and benefits</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22,258</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18,712</w:t>
            </w:r>
          </w:p>
        </w:tc>
      </w:tr>
      <w:tr>
        <w:trPr>
          <w:trHeight w:val="123"/>
        </w:trPr>
        <w:tc>
          <w:tcPr>
            <w:tcW w:w="8180" w:type="dxa"/>
            <w:vAlign w:val="bottom"/>
            <w:shd w:val="clear" w:color="auto" w:fill="CCEEFF"/>
          </w:tcPr>
          <w:p>
            <w:pPr>
              <w:ind w:left="140"/>
              <w:spacing w:after="0"/>
              <w:rPr>
                <w:sz w:val="20"/>
                <w:szCs w:val="20"/>
                <w:color w:val="auto"/>
              </w:rPr>
            </w:pPr>
            <w:r>
              <w:rPr>
                <w:rFonts w:ascii="Arial" w:cs="Arial" w:eastAsia="Arial" w:hAnsi="Arial"/>
                <w:sz w:val="8"/>
                <w:szCs w:val="8"/>
                <w:color w:val="auto"/>
              </w:rPr>
              <w:t>Operating lease liabilities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(7,394)</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(1,434)</w:t>
            </w:r>
          </w:p>
        </w:tc>
      </w:tr>
      <w:tr>
        <w:trPr>
          <w:trHeight w:val="111"/>
        </w:trPr>
        <w:tc>
          <w:tcPr>
            <w:tcW w:w="8180" w:type="dxa"/>
            <w:vAlign w:val="bottom"/>
          </w:tcPr>
          <w:p>
            <w:pPr>
              <w:ind w:left="140"/>
              <w:spacing w:after="0"/>
              <w:rPr>
                <w:sz w:val="20"/>
                <w:szCs w:val="20"/>
                <w:color w:val="auto"/>
              </w:rPr>
            </w:pPr>
            <w:r>
              <w:rPr>
                <w:rFonts w:ascii="Arial" w:cs="Arial" w:eastAsia="Arial" w:hAnsi="Arial"/>
                <w:sz w:val="8"/>
                <w:szCs w:val="8"/>
                <w:color w:val="auto"/>
              </w:rPr>
              <w:t>Deferred revenue</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375,582</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189,582</w:t>
            </w:r>
          </w:p>
        </w:tc>
      </w:tr>
      <w:tr>
        <w:trPr>
          <w:trHeight w:val="123"/>
        </w:trPr>
        <w:tc>
          <w:tcPr>
            <w:tcW w:w="8180" w:type="dxa"/>
            <w:vAlign w:val="bottom"/>
            <w:shd w:val="clear" w:color="auto" w:fill="CCEEFF"/>
          </w:tcPr>
          <w:p>
            <w:pPr>
              <w:ind w:left="140"/>
              <w:spacing w:after="0"/>
              <w:rPr>
                <w:sz w:val="20"/>
                <w:szCs w:val="20"/>
                <w:color w:val="auto"/>
              </w:rPr>
            </w:pPr>
            <w:r>
              <w:rPr>
                <w:rFonts w:ascii="Arial" w:cs="Arial" w:eastAsia="Arial" w:hAnsi="Arial"/>
                <w:sz w:val="8"/>
                <w:szCs w:val="8"/>
                <w:color w:val="auto"/>
              </w:rPr>
              <w:t>Other liabilities, noncurrent</w:t>
            </w:r>
          </w:p>
        </w:tc>
        <w:tc>
          <w:tcPr>
            <w:tcW w:w="9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(7,001)</w:t>
            </w:r>
          </w:p>
        </w:tc>
        <w:tc>
          <w:tcPr>
            <w:tcW w:w="8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7,917</w:t>
            </w:r>
          </w:p>
        </w:tc>
      </w:tr>
      <w:tr>
        <w:trPr>
          <w:trHeight w:val="100"/>
        </w:trPr>
        <w:tc>
          <w:tcPr>
            <w:tcW w:w="8180" w:type="dxa"/>
            <w:vAlign w:val="bottom"/>
          </w:tcPr>
          <w:p>
            <w:pPr>
              <w:ind w:left="220"/>
              <w:spacing w:after="0" w:line="85" w:lineRule="exact"/>
              <w:rPr>
                <w:sz w:val="20"/>
                <w:szCs w:val="20"/>
                <w:color w:val="auto"/>
              </w:rPr>
            </w:pPr>
            <w:r>
              <w:rPr>
                <w:rFonts w:ascii="Arial" w:cs="Arial" w:eastAsia="Arial" w:hAnsi="Arial"/>
                <w:sz w:val="8"/>
                <w:szCs w:val="8"/>
                <w:color w:val="auto"/>
              </w:rPr>
              <w:t>Net cash provided by operating activities</w:t>
            </w:r>
          </w:p>
        </w:tc>
        <w:tc>
          <w:tcPr>
            <w:tcW w:w="9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415,066</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242,103</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Investing activities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Purchases of property and equipment</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(85,420)</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(40,245)</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Capitalized internal-use software and website development</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(15,201)</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(6,345)</w:t>
            </w: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Purchase of strategic investments</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(15,809)</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(1,500)</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Business acquisitions, net of cash acquired</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(353,746)</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(85,469)</w:t>
            </w: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Purchase of intangible assets</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(680)</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Purchases of marketable securities</w:t>
            </w:r>
          </w:p>
        </w:tc>
        <w:tc>
          <w:tcPr>
            <w:tcW w:w="9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(84,904)</w:t>
            </w: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Proceeds from sales of marketable securities</w:t>
            </w:r>
          </w:p>
        </w:tc>
        <w:tc>
          <w:tcPr>
            <w:tcW w:w="920" w:type="dxa"/>
            <w:vAlign w:val="bottom"/>
          </w:tcPr>
          <w:p>
            <w:pPr>
              <w:spacing w:after="0"/>
              <w:rPr>
                <w:sz w:val="9"/>
                <w:szCs w:val="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639,586</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Maturities of marketable securities</w:t>
            </w:r>
          </w:p>
        </w:tc>
        <w:tc>
          <w:tcPr>
            <w:tcW w:w="92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91,605</w:t>
            </w:r>
          </w:p>
        </w:tc>
      </w:tr>
      <w:tr>
        <w:trPr>
          <w:trHeight w:val="100"/>
        </w:trPr>
        <w:tc>
          <w:tcPr>
            <w:tcW w:w="8180" w:type="dxa"/>
            <w:vAlign w:val="bottom"/>
          </w:tcPr>
          <w:p>
            <w:pPr>
              <w:ind w:left="220"/>
              <w:spacing w:after="0" w:line="85" w:lineRule="exact"/>
              <w:rPr>
                <w:sz w:val="20"/>
                <w:szCs w:val="20"/>
                <w:color w:val="auto"/>
              </w:rPr>
            </w:pPr>
            <w:r>
              <w:rPr>
                <w:rFonts w:ascii="Arial" w:cs="Arial" w:eastAsia="Arial" w:hAnsi="Arial"/>
                <w:sz w:val="8"/>
                <w:szCs w:val="8"/>
                <w:color w:val="auto"/>
              </w:rPr>
              <w:t>Net cash (used in) provided by investing activities</w:t>
            </w:r>
          </w:p>
        </w:tc>
        <w:tc>
          <w:tcPr>
            <w:tcW w:w="9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(470,856)</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512,728</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Financing activities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Payment of debt issuance costs related to revolving line of credit</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(219)</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Payment of debt issuance costs related to Senior Notes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(1,581)</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Proceeds from issuance of common stock upon exercise of stock options</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12,796</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21,522</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Proceeds from issuance of common stock under the employee stock purchase plan</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27,452</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17,284</w:t>
            </w:r>
          </w:p>
        </w:tc>
      </w:tr>
      <w:tr>
        <w:trPr>
          <w:trHeight w:val="111"/>
        </w:trPr>
        <w:tc>
          <w:tcPr>
            <w:tcW w:w="818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Capital contributions from non-controlling interest holders</w:t>
            </w:r>
          </w:p>
        </w:tc>
        <w:tc>
          <w:tcPr>
            <w:tcW w:w="9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7,905</w:t>
            </w:r>
          </w:p>
        </w:tc>
        <w:tc>
          <w:tcPr>
            <w:tcW w:w="8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800</w:t>
            </w:r>
          </w:p>
        </w:tc>
      </w:tr>
      <w:tr>
        <w:trPr>
          <w:trHeight w:val="112"/>
        </w:trPr>
        <w:tc>
          <w:tcPr>
            <w:tcW w:w="8180" w:type="dxa"/>
            <w:vAlign w:val="bottom"/>
            <w:shd w:val="clear" w:color="auto" w:fill="CCEEFF"/>
          </w:tcPr>
          <w:p>
            <w:pPr>
              <w:ind w:left="220"/>
              <w:spacing w:after="0"/>
              <w:rPr>
                <w:sz w:val="20"/>
                <w:szCs w:val="20"/>
                <w:color w:val="auto"/>
              </w:rPr>
            </w:pPr>
            <w:r>
              <w:rPr>
                <w:rFonts w:ascii="Arial" w:cs="Arial" w:eastAsia="Arial" w:hAnsi="Arial"/>
                <w:sz w:val="8"/>
                <w:szCs w:val="8"/>
                <w:color w:val="auto"/>
              </w:rPr>
              <w:t>Net cash provided by financing activities</w:t>
            </w:r>
          </w:p>
        </w:tc>
        <w:tc>
          <w:tcPr>
            <w:tcW w:w="9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46,353</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39,606</w:t>
            </w:r>
          </w:p>
        </w:tc>
      </w:tr>
      <w:tr>
        <w:trPr>
          <w:trHeight w:val="111"/>
        </w:trPr>
        <w:tc>
          <w:tcPr>
            <w:tcW w:w="818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Effect of foreign exchange rates on cash and cash equivalents</w:t>
            </w:r>
          </w:p>
        </w:tc>
        <w:tc>
          <w:tcPr>
            <w:tcW w:w="9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(1,663)</w:t>
            </w:r>
          </w:p>
        </w:tc>
        <w:tc>
          <w:tcPr>
            <w:tcW w:w="8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691</w:t>
            </w:r>
          </w:p>
        </w:tc>
      </w:tr>
      <w:tr>
        <w:trPr>
          <w:trHeight w:val="112"/>
        </w:trPr>
        <w:tc>
          <w:tcPr>
            <w:tcW w:w="8180" w:type="dxa"/>
            <w:vAlign w:val="bottom"/>
            <w:shd w:val="clear" w:color="auto" w:fill="CCEEFF"/>
          </w:tcPr>
          <w:p>
            <w:pPr>
              <w:ind w:left="220"/>
              <w:spacing w:after="0"/>
              <w:rPr>
                <w:sz w:val="20"/>
                <w:szCs w:val="20"/>
                <w:color w:val="auto"/>
              </w:rPr>
            </w:pPr>
            <w:r>
              <w:rPr>
                <w:rFonts w:ascii="Arial" w:cs="Arial" w:eastAsia="Arial" w:hAnsi="Arial"/>
                <w:sz w:val="8"/>
                <w:szCs w:val="8"/>
                <w:color w:val="auto"/>
              </w:rPr>
              <w:t>Net (decrease) increase in cash and cash equivalents</w:t>
            </w:r>
          </w:p>
        </w:tc>
        <w:tc>
          <w:tcPr>
            <w:tcW w:w="9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(11,100)</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795,128</w:t>
            </w:r>
          </w:p>
        </w:tc>
      </w:tr>
      <w:tr>
        <w:trPr>
          <w:trHeight w:val="111"/>
        </w:trPr>
        <w:tc>
          <w:tcPr>
            <w:tcW w:w="818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Cash and cash equivalents, beginning of period</w:t>
            </w:r>
          </w:p>
        </w:tc>
        <w:tc>
          <w:tcPr>
            <w:tcW w:w="9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1,918,608</w:t>
            </w:r>
          </w:p>
        </w:tc>
        <w:tc>
          <w:tcPr>
            <w:tcW w:w="8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264,798</w:t>
            </w:r>
          </w:p>
        </w:tc>
      </w:tr>
      <w:tr>
        <w:trPr>
          <w:trHeight w:val="130"/>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8"/>
                <w:szCs w:val="8"/>
                <w:color w:val="auto"/>
              </w:rPr>
              <w:t>Cash and cash equivalents, end of period</w:t>
            </w:r>
          </w:p>
        </w:tc>
        <w:tc>
          <w:tcPr>
            <w:tcW w:w="92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8"/>
                <w:szCs w:val="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1,907,508</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498"/>
              <w:spacing w:after="0"/>
              <w:rPr>
                <w:sz w:val="20"/>
                <w:szCs w:val="20"/>
                <w:color w:val="auto"/>
              </w:rPr>
            </w:pPr>
            <w:r>
              <w:rPr>
                <w:rFonts w:ascii="Arial" w:cs="Arial" w:eastAsia="Arial" w:hAnsi="Arial"/>
                <w:sz w:val="8"/>
                <w:szCs w:val="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1,059,926</w:t>
            </w:r>
          </w:p>
        </w:tc>
      </w:tr>
      <w:tr>
        <w:trPr>
          <w:trHeight w:val="92"/>
        </w:trPr>
        <w:tc>
          <w:tcPr>
            <w:tcW w:w="8180" w:type="dxa"/>
            <w:vAlign w:val="bottom"/>
          </w:tcPr>
          <w:p>
            <w:pPr>
              <w:spacing w:after="0" w:line="87" w:lineRule="exact"/>
              <w:rPr>
                <w:sz w:val="20"/>
                <w:szCs w:val="20"/>
                <w:color w:val="auto"/>
              </w:rPr>
            </w:pPr>
            <w:r>
              <w:rPr>
                <w:rFonts w:ascii="Arial" w:cs="Arial" w:eastAsia="Arial" w:hAnsi="Arial"/>
                <w:sz w:val="8"/>
                <w:szCs w:val="8"/>
                <w:b w:val="1"/>
                <w:bCs w:val="1"/>
                <w:color w:val="auto"/>
              </w:rPr>
              <w:t>Supplemental disclosure of cash flow information:</w:t>
            </w:r>
          </w:p>
        </w:tc>
        <w:tc>
          <w:tcPr>
            <w:tcW w:w="9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22"/>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Interest paid</w:t>
            </w:r>
          </w:p>
        </w:tc>
        <w:tc>
          <w:tcPr>
            <w:tcW w:w="920" w:type="dxa"/>
            <w:vAlign w:val="bottom"/>
            <w:shd w:val="clear" w:color="auto" w:fill="CCEEFF"/>
          </w:tcPr>
          <w:p>
            <w:pPr>
              <w:jc w:val="right"/>
              <w:ind w:right="818"/>
              <w:spacing w:after="0"/>
              <w:rPr>
                <w:sz w:val="20"/>
                <w:szCs w:val="20"/>
                <w:color w:val="auto"/>
              </w:rPr>
            </w:pPr>
            <w:r>
              <w:rPr>
                <w:rFonts w:ascii="Arial" w:cs="Arial" w:eastAsia="Arial" w:hAnsi="Arial"/>
                <w:sz w:val="8"/>
                <w:szCs w:val="8"/>
                <w:color w:val="auto"/>
                <w:w w:val="8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235</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498"/>
              <w:spacing w:after="0"/>
              <w:rPr>
                <w:sz w:val="20"/>
                <w:szCs w:val="20"/>
                <w:color w:val="auto"/>
              </w:rPr>
            </w:pPr>
            <w:r>
              <w:rPr>
                <w:rFonts w:ascii="Arial" w:cs="Arial" w:eastAsia="Arial" w:hAnsi="Arial"/>
                <w:sz w:val="8"/>
                <w:szCs w:val="8"/>
                <w:color w:val="auto"/>
                <w:w w:val="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4</w:t>
            </w: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Income taxes paid, net of refunds received</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3,854</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1,536</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Supplemental disclosure of non-cash investing and financing activities: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Net increase in property and equipment included in accounts payable and accrued expenses</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7,066</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4,755</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Vesting of early exercised stock options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2,389</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2,521</w:t>
            </w:r>
          </w:p>
        </w:tc>
      </w:tr>
      <w:tr>
        <w:trPr>
          <w:trHeight w:val="111"/>
        </w:trPr>
        <w:tc>
          <w:tcPr>
            <w:tcW w:w="8180" w:type="dxa"/>
            <w:vAlign w:val="bottom"/>
          </w:tcPr>
          <w:p>
            <w:pPr>
              <w:spacing w:after="0"/>
              <w:rPr>
                <w:sz w:val="20"/>
                <w:szCs w:val="20"/>
                <w:color w:val="auto"/>
              </w:rPr>
            </w:pPr>
            <w:r>
              <w:rPr>
                <w:rFonts w:ascii="Arial" w:cs="Arial" w:eastAsia="Arial" w:hAnsi="Arial"/>
                <w:sz w:val="8"/>
                <w:szCs w:val="8"/>
                <w:color w:val="auto"/>
              </w:rPr>
              <w:t>Equity consideration for acquisitions</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4,011</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3,842</w:t>
            </w:r>
          </w:p>
        </w:tc>
      </w:tr>
      <w:tr>
        <w:trPr>
          <w:trHeight w:val="123"/>
        </w:trPr>
        <w:tc>
          <w:tcPr>
            <w:tcW w:w="8180" w:type="dxa"/>
            <w:vAlign w:val="bottom"/>
            <w:shd w:val="clear" w:color="auto" w:fill="CCEEFF"/>
          </w:tcPr>
          <w:p>
            <w:pPr>
              <w:spacing w:after="0"/>
              <w:rPr>
                <w:sz w:val="20"/>
                <w:szCs w:val="20"/>
                <w:color w:val="auto"/>
              </w:rPr>
            </w:pPr>
            <w:r>
              <w:rPr>
                <w:rFonts w:ascii="Arial" w:cs="Arial" w:eastAsia="Arial" w:hAnsi="Arial"/>
                <w:sz w:val="8"/>
                <w:szCs w:val="8"/>
                <w:color w:val="auto"/>
              </w:rPr>
              <w:t>Operating lease liabilities arising from obtaining operating right of-use assets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4,591</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6,181</w:t>
            </w: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The accompanying notes are an integral part of these condensed consolidated financial statements</w:t>
      </w:r>
      <w:r>
        <w:rPr>
          <w:rFonts w:ascii="Arial" w:cs="Arial" w:eastAsia="Arial" w:hAnsi="Arial"/>
          <w:sz w:val="11"/>
          <w:szCs w:val="11"/>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1" w:name="page12"/>
    <w:bookmarkEnd w:id="11"/>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CrowdStrike Holdings, Inc.</w:t>
      </w:r>
    </w:p>
    <w:p>
      <w:pPr>
        <w:spacing w:after="0" w:line="19"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141" w:lineRule="exact"/>
        <w:rPr>
          <w:sz w:val="20"/>
          <w:szCs w:val="20"/>
          <w:color w:val="auto"/>
        </w:rPr>
      </w:pPr>
    </w:p>
    <w:p>
      <w:pPr>
        <w:ind w:left="428" w:right="8540" w:hanging="428"/>
        <w:spacing w:after="0" w:line="500" w:lineRule="auto"/>
        <w:tabs>
          <w:tab w:leader="none" w:pos="206" w:val="left"/>
        </w:tabs>
        <w:numPr>
          <w:ilvl w:val="0"/>
          <w:numId w:val="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Description of Business and Basis of Presentation Business</w:t>
      </w:r>
    </w:p>
    <w:p>
      <w:pPr>
        <w:spacing w:after="0" w:line="1" w:lineRule="exact"/>
        <w:rPr>
          <w:sz w:val="20"/>
          <w:szCs w:val="20"/>
          <w:color w:val="auto"/>
        </w:rPr>
      </w:pPr>
    </w:p>
    <w:p>
      <w:pPr>
        <w:ind w:left="8" w:firstLine="432"/>
        <w:spacing w:after="0" w:line="259" w:lineRule="auto"/>
        <w:rPr>
          <w:sz w:val="20"/>
          <w:szCs w:val="20"/>
          <w:color w:val="auto"/>
        </w:rPr>
      </w:pPr>
      <w:r>
        <w:rPr>
          <w:rFonts w:ascii="Arial" w:cs="Arial" w:eastAsia="Arial" w:hAnsi="Arial"/>
          <w:sz w:val="12"/>
          <w:szCs w:val="12"/>
          <w:color w:val="auto"/>
        </w:rPr>
        <w:t>CrowdStrike Holdings, Inc. (the “Company”) was formed on November 7, 2011. The Company provides a leading cloud-delivered solution for next-generation endpoint and cloud workload protection via a software as a service (“SaaS”) subscription-based model that spans multiple security markets, including corporate workload security, security and vulnerability management, managed security services, IT operations management, threat intelligence services, identity protection and log management. The Company is headquartered in Sunnyvale, California. The Company conducts its business in the United States, as well as locations internationally, including in Australia, Germany, India, Israel, Romania, and the United Kingdom.</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50" w:lineRule="exact"/>
        <w:rPr>
          <w:sz w:val="20"/>
          <w:szCs w:val="20"/>
          <w:color w:val="auto"/>
        </w:rPr>
      </w:pPr>
    </w:p>
    <w:p>
      <w:pPr>
        <w:ind w:left="8" w:right="40" w:firstLine="432"/>
        <w:spacing w:after="0" w:line="283" w:lineRule="auto"/>
        <w:rPr>
          <w:sz w:val="20"/>
          <w:szCs w:val="20"/>
          <w:color w:val="auto"/>
        </w:rPr>
      </w:pPr>
      <w:r>
        <w:rPr>
          <w:rFonts w:ascii="Arial" w:cs="Arial" w:eastAsia="Arial" w:hAnsi="Arial"/>
          <w:sz w:val="11"/>
          <w:szCs w:val="11"/>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2021,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and nine months ended October 31, 2021 are not necessarily indicative of the results to be expected for the year ending January 31, 2022 or for any other interim period or for any other future year.</w:t>
      </w:r>
    </w:p>
    <w:p>
      <w:pPr>
        <w:spacing w:after="0" w:line="113" w:lineRule="exact"/>
        <w:rPr>
          <w:sz w:val="20"/>
          <w:szCs w:val="20"/>
          <w:color w:val="auto"/>
        </w:rPr>
      </w:pPr>
    </w:p>
    <w:p>
      <w:pPr>
        <w:ind w:left="8" w:right="80" w:firstLine="432"/>
        <w:spacing w:after="0" w:line="276" w:lineRule="auto"/>
        <w:rPr>
          <w:sz w:val="20"/>
          <w:szCs w:val="20"/>
          <w:color w:val="auto"/>
        </w:rPr>
      </w:pPr>
      <w:r>
        <w:rPr>
          <w:rFonts w:ascii="Arial" w:cs="Arial" w:eastAsia="Arial" w:hAnsi="Arial"/>
          <w:sz w:val="12"/>
          <w:szCs w:val="12"/>
          <w:color w:val="auto"/>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2021, filed with the SEC on March 18, 2021.</w:t>
      </w:r>
    </w:p>
    <w:p>
      <w:pPr>
        <w:spacing w:after="0" w:line="115" w:lineRule="exact"/>
        <w:rPr>
          <w:sz w:val="20"/>
          <w:szCs w:val="20"/>
          <w:color w:val="auto"/>
        </w:rPr>
      </w:pPr>
    </w:p>
    <w:p>
      <w:pPr>
        <w:ind w:left="428" w:right="8820" w:hanging="428"/>
        <w:spacing w:after="0" w:line="546" w:lineRule="auto"/>
        <w:tabs>
          <w:tab w:leader="none" w:pos="206" w:val="left"/>
        </w:tabs>
        <w:numPr>
          <w:ilvl w:val="0"/>
          <w:numId w:val="7"/>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Summary of Significant Accounting Policies Principles of Consolidation</w:t>
      </w:r>
    </w:p>
    <w:p>
      <w:pPr>
        <w:ind w:left="428"/>
        <w:spacing w:after="0"/>
        <w:rPr>
          <w:rFonts w:ascii="Arial" w:cs="Arial" w:eastAsia="Arial" w:hAnsi="Arial"/>
          <w:sz w:val="11"/>
          <w:szCs w:val="11"/>
          <w:b w:val="1"/>
          <w:bCs w:val="1"/>
          <w:i w:val="1"/>
          <w:iCs w:val="1"/>
          <w:color w:val="auto"/>
        </w:rPr>
      </w:pPr>
      <w:r>
        <w:rPr>
          <w:rFonts w:ascii="Arial" w:cs="Arial" w:eastAsia="Arial" w:hAnsi="Arial"/>
          <w:sz w:val="11"/>
          <w:szCs w:val="11"/>
          <w:color w:val="auto"/>
        </w:rPr>
        <w:t>The condensed consolidated financial statements include the accounts of the Company and its wholly owned subsidiaries. All intercompany balances and transactions have been eliminated in consolidation.</w:t>
      </w:r>
    </w:p>
    <w:p>
      <w:pPr>
        <w:spacing w:after="0" w:line="16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50" w:lineRule="exact"/>
        <w:rPr>
          <w:sz w:val="20"/>
          <w:szCs w:val="20"/>
          <w:color w:val="auto"/>
        </w:rPr>
      </w:pPr>
    </w:p>
    <w:p>
      <w:pPr>
        <w:jc w:val="both"/>
        <w:ind w:left="8" w:right="340" w:firstLine="432"/>
        <w:spacing w:after="0" w:line="298" w:lineRule="auto"/>
        <w:rPr>
          <w:sz w:val="20"/>
          <w:szCs w:val="20"/>
          <w:color w:val="auto"/>
        </w:rPr>
      </w:pPr>
      <w:r>
        <w:rPr>
          <w:rFonts w:ascii="Arial" w:cs="Arial" w:eastAsia="Arial" w:hAnsi="Arial"/>
          <w:sz w:val="11"/>
          <w:szCs w:val="11"/>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Company’s condensed consolidated financial statements.</w:t>
      </w:r>
    </w:p>
    <w:p>
      <w:pPr>
        <w:spacing w:after="0" w:line="123" w:lineRule="exact"/>
        <w:rPr>
          <w:sz w:val="20"/>
          <w:szCs w:val="20"/>
          <w:color w:val="auto"/>
        </w:rPr>
      </w:pPr>
    </w:p>
    <w:p>
      <w:pPr>
        <w:ind w:left="8" w:right="60" w:firstLine="432"/>
        <w:spacing w:after="0" w:line="247" w:lineRule="auto"/>
        <w:rPr>
          <w:sz w:val="20"/>
          <w:szCs w:val="20"/>
          <w:color w:val="auto"/>
        </w:rPr>
      </w:pPr>
      <w:r>
        <w:rPr>
          <w:rFonts w:ascii="Arial" w:cs="Arial" w:eastAsia="Arial" w:hAnsi="Arial"/>
          <w:sz w:val="12"/>
          <w:szCs w:val="12"/>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the fair value of assets acquired and liabilities assumed for business combinations, and the fair value and effective interest rate for the Senior Notes.</w:t>
      </w:r>
    </w:p>
    <w:p>
      <w:pPr>
        <w:spacing w:after="0" w:line="123" w:lineRule="exact"/>
        <w:rPr>
          <w:sz w:val="20"/>
          <w:szCs w:val="20"/>
          <w:color w:val="auto"/>
        </w:rPr>
      </w:pPr>
    </w:p>
    <w:p>
      <w:pPr>
        <w:ind w:left="8" w:firstLine="432"/>
        <w:spacing w:after="0" w:line="298" w:lineRule="auto"/>
        <w:rPr>
          <w:sz w:val="20"/>
          <w:szCs w:val="20"/>
          <w:color w:val="auto"/>
        </w:rPr>
      </w:pPr>
      <w:r>
        <w:rPr>
          <w:rFonts w:ascii="Arial" w:cs="Arial" w:eastAsia="Arial" w:hAnsi="Arial"/>
          <w:sz w:val="11"/>
          <w:szCs w:val="11"/>
          <w:color w:val="auto"/>
        </w:rPr>
        <w:t>Due to the Coronavirus (“COVID-19”) pandemic, there has been uncertainty and disruption in the global economy and financial markets. The Company is not aware of any specific event or circumstance that would require a material update to its estimates or judgments or an adjustment of the carrying value of its assets or liabilities as of October 31, 2021. While there was not a material impact to the Company’s condensed consolidated financial statements as of and for the three and nine months ended October 31, 2021, these estimates may change, as new events occur and additional information is obtained, as well as other</w:t>
      </w:r>
    </w:p>
    <w:p>
      <w:pPr>
        <w:spacing w:after="0" w:line="357"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275" w:right="379" w:bottom="1440" w:gutter="0" w:footer="0" w:header="0"/>
        </w:sectPr>
      </w:pPr>
    </w:p>
    <w:bookmarkStart w:id="12" w:name="page13"/>
    <w:bookmarkEnd w:id="12"/>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spacing w:after="0"/>
        <w:rPr>
          <w:sz w:val="20"/>
          <w:szCs w:val="20"/>
          <w:color w:val="auto"/>
        </w:rPr>
      </w:pPr>
      <w:r>
        <w:rPr>
          <w:rFonts w:ascii="Arial" w:cs="Arial" w:eastAsia="Arial" w:hAnsi="Arial"/>
          <w:sz w:val="12"/>
          <w:szCs w:val="12"/>
          <w:color w:val="auto"/>
        </w:rPr>
        <w:t>factors related to COVID-19 that could result in material impacts to the Company’s condensed consolidated financial statements in future reporting periods.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Concentration of Credit Risk and Geographic Information</w:t>
      </w:r>
    </w:p>
    <w:p>
      <w:pPr>
        <w:spacing w:after="0" w:line="150" w:lineRule="exact"/>
        <w:rPr>
          <w:sz w:val="20"/>
          <w:szCs w:val="20"/>
          <w:color w:val="auto"/>
        </w:rPr>
      </w:pPr>
    </w:p>
    <w:p>
      <w:pPr>
        <w:ind w:left="8" w:right="160" w:firstLine="432"/>
        <w:spacing w:after="0" w:line="276" w:lineRule="auto"/>
        <w:rPr>
          <w:sz w:val="20"/>
          <w:szCs w:val="20"/>
          <w:color w:val="auto"/>
        </w:rPr>
      </w:pPr>
      <w:r>
        <w:rPr>
          <w:rFonts w:ascii="Arial" w:cs="Arial" w:eastAsia="Arial" w:hAnsi="Arial"/>
          <w:sz w:val="12"/>
          <w:szCs w:val="12"/>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15" w:lineRule="exact"/>
        <w:rPr>
          <w:sz w:val="20"/>
          <w:szCs w:val="20"/>
          <w:color w:val="auto"/>
        </w:rPr>
      </w:pPr>
    </w:p>
    <w:p>
      <w:pPr>
        <w:ind w:left="8" w:right="160" w:firstLine="432"/>
        <w:spacing w:after="0" w:line="263"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of cash, cash equivalents, accounts receivable, and strategic investments. The Company’s cash is placed with high-credit-quality financial institutions and issuers, and at times exceed federally insured limits. The Company has not experienced any credit loss relating to its cash equivalents and strategic investments. The Company performs periodic credit evaluations of its customers and generally does not require collateral.</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Channel partners or direct customers who represented 10% or more of the Company’s accounts receivable were as follows: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7300" w:type="dxa"/>
            <w:vAlign w:val="bottom"/>
          </w:tcPr>
          <w:p>
            <w:pPr>
              <w:spacing w:after="0"/>
              <w:rPr>
                <w:sz w:val="10"/>
                <w:szCs w:val="10"/>
                <w:color w:val="auto"/>
              </w:rPr>
            </w:pPr>
          </w:p>
        </w:tc>
        <w:tc>
          <w:tcPr>
            <w:tcW w:w="1640" w:type="dxa"/>
            <w:vAlign w:val="bottom"/>
          </w:tcPr>
          <w:p>
            <w:pPr>
              <w:jc w:val="right"/>
              <w:ind w:right="145"/>
              <w:spacing w:after="0"/>
              <w:rPr>
                <w:sz w:val="20"/>
                <w:szCs w:val="20"/>
                <w:color w:val="auto"/>
              </w:rPr>
            </w:pPr>
            <w:r>
              <w:rPr>
                <w:rFonts w:ascii="Arial" w:cs="Arial" w:eastAsia="Arial" w:hAnsi="Arial"/>
                <w:sz w:val="10"/>
                <w:szCs w:val="10"/>
                <w:b w:val="1"/>
                <w:bCs w:val="1"/>
                <w:color w:val="auto"/>
              </w:rPr>
              <w:t>October 31,</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jc w:val="right"/>
              <w:ind w:right="145"/>
              <w:spacing w:after="0"/>
              <w:rPr>
                <w:sz w:val="20"/>
                <w:szCs w:val="20"/>
                <w:color w:val="auto"/>
              </w:rPr>
            </w:pPr>
            <w:r>
              <w:rPr>
                <w:rFonts w:ascii="Arial" w:cs="Arial" w:eastAsia="Arial" w:hAnsi="Arial"/>
                <w:sz w:val="10"/>
                <w:szCs w:val="10"/>
                <w:b w:val="1"/>
                <w:bCs w:val="1"/>
                <w:color w:val="auto"/>
              </w:rPr>
              <w:t>January 31,</w:t>
            </w:r>
          </w:p>
        </w:tc>
        <w:tc>
          <w:tcPr>
            <w:tcW w:w="320" w:type="dxa"/>
            <w:vAlign w:val="bottom"/>
          </w:tcPr>
          <w:p>
            <w:pPr>
              <w:spacing w:after="0"/>
              <w:rPr>
                <w:sz w:val="10"/>
                <w:szCs w:val="10"/>
                <w:color w:val="auto"/>
              </w:rPr>
            </w:pPr>
          </w:p>
        </w:tc>
      </w:tr>
      <w:tr>
        <w:trPr>
          <w:trHeight w:val="130"/>
        </w:trPr>
        <w:tc>
          <w:tcPr>
            <w:tcW w:w="730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rPr>
              <w:t>2021</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rPr>
              <w:t>2021</w:t>
            </w:r>
          </w:p>
        </w:tc>
        <w:tc>
          <w:tcPr>
            <w:tcW w:w="320" w:type="dxa"/>
            <w:vAlign w:val="bottom"/>
            <w:tcBorders>
              <w:bottom w:val="single" w:sz="8" w:color="auto"/>
            </w:tcBorders>
          </w:tcPr>
          <w:p>
            <w:pPr>
              <w:spacing w:after="0"/>
              <w:rPr>
                <w:sz w:val="11"/>
                <w:szCs w:val="11"/>
                <w:color w:val="auto"/>
              </w:rPr>
            </w:pPr>
          </w:p>
        </w:tc>
      </w:tr>
      <w:tr>
        <w:trPr>
          <w:trHeight w:val="146"/>
        </w:trPr>
        <w:tc>
          <w:tcPr>
            <w:tcW w:w="7300" w:type="dxa"/>
            <w:vAlign w:val="bottom"/>
            <w:shd w:val="clear" w:color="auto" w:fill="CCEEFF"/>
          </w:tcPr>
          <w:p>
            <w:pPr>
              <w:ind w:left="440"/>
              <w:spacing w:after="0" w:line="146" w:lineRule="exact"/>
              <w:rPr>
                <w:sz w:val="20"/>
                <w:szCs w:val="20"/>
                <w:color w:val="auto"/>
              </w:rPr>
            </w:pPr>
            <w:r>
              <w:rPr>
                <w:rFonts w:ascii="Arial" w:cs="Arial" w:eastAsia="Arial" w:hAnsi="Arial"/>
                <w:sz w:val="12"/>
                <w:szCs w:val="12"/>
                <w:color w:val="auto"/>
              </w:rPr>
              <w:t>Channel partner A</w:t>
            </w:r>
            <w:r>
              <w:rPr>
                <w:rFonts w:ascii="Arial" w:cs="Arial" w:eastAsia="Arial" w:hAnsi="Arial"/>
                <w:sz w:val="15"/>
                <w:szCs w:val="15"/>
                <w:color w:val="auto"/>
                <w:vertAlign w:val="superscript"/>
              </w:rPr>
              <w:t>(1)</w:t>
            </w:r>
          </w:p>
        </w:tc>
        <w:tc>
          <w:tcPr>
            <w:tcW w:w="164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rPr>
              <w:t>11</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rPr>
              <w:t>10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300" w:type="dxa"/>
            <w:vAlign w:val="bottom"/>
          </w:tcPr>
          <w:p>
            <w:pPr>
              <w:ind w:left="440"/>
              <w:spacing w:after="0"/>
              <w:rPr>
                <w:sz w:val="20"/>
                <w:szCs w:val="20"/>
                <w:color w:val="auto"/>
              </w:rPr>
            </w:pPr>
            <w:r>
              <w:rPr>
                <w:rFonts w:ascii="Arial" w:cs="Arial" w:eastAsia="Arial" w:hAnsi="Arial"/>
                <w:sz w:val="12"/>
                <w:szCs w:val="12"/>
                <w:color w:val="auto"/>
              </w:rPr>
              <w:t>Channel partner B</w:t>
            </w:r>
          </w:p>
        </w:tc>
        <w:tc>
          <w:tcPr>
            <w:tcW w:w="1640" w:type="dxa"/>
            <w:vAlign w:val="bottom"/>
          </w:tcPr>
          <w:p>
            <w:pPr>
              <w:jc w:val="right"/>
              <w:ind w:right="205"/>
              <w:spacing w:after="0"/>
              <w:rPr>
                <w:sz w:val="20"/>
                <w:szCs w:val="20"/>
                <w:color w:val="auto"/>
              </w:rPr>
            </w:pPr>
            <w:r>
              <w:rPr>
                <w:rFonts w:ascii="Arial" w:cs="Arial" w:eastAsia="Arial" w:hAnsi="Arial"/>
                <w:sz w:val="12"/>
                <w:szCs w:val="12"/>
                <w:color w:val="auto"/>
              </w:rPr>
              <w:t>10</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40" w:type="dxa"/>
            <w:vAlign w:val="bottom"/>
          </w:tcPr>
          <w:p>
            <w:pPr>
              <w:jc w:val="right"/>
              <w:ind w:right="205"/>
              <w:spacing w:after="0"/>
              <w:rPr>
                <w:sz w:val="20"/>
                <w:szCs w:val="20"/>
                <w:color w:val="auto"/>
              </w:rPr>
            </w:pPr>
            <w:r>
              <w:rPr>
                <w:rFonts w:ascii="Arial" w:cs="Arial" w:eastAsia="Arial" w:hAnsi="Arial"/>
                <w:sz w:val="12"/>
                <w:szCs w:val="12"/>
                <w:color w:val="auto"/>
              </w:rPr>
              <w:t>5</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300" w:type="dxa"/>
            <w:vAlign w:val="bottom"/>
            <w:shd w:val="clear" w:color="auto" w:fill="CCEEFF"/>
          </w:tcPr>
          <w:p>
            <w:pPr>
              <w:ind w:left="440"/>
              <w:spacing w:after="0" w:line="153" w:lineRule="exact"/>
              <w:rPr>
                <w:sz w:val="20"/>
                <w:szCs w:val="20"/>
                <w:color w:val="auto"/>
              </w:rPr>
            </w:pPr>
            <w:r>
              <w:rPr>
                <w:rFonts w:ascii="Arial" w:cs="Arial" w:eastAsia="Arial" w:hAnsi="Arial"/>
                <w:sz w:val="12"/>
                <w:szCs w:val="12"/>
                <w:color w:val="auto"/>
              </w:rPr>
              <w:t>Customer A</w:t>
            </w:r>
            <w:r>
              <w:rPr>
                <w:rFonts w:ascii="Arial" w:cs="Arial" w:eastAsia="Arial" w:hAnsi="Arial"/>
                <w:sz w:val="15"/>
                <w:szCs w:val="15"/>
                <w:color w:val="auto"/>
                <w:vertAlign w:val="superscript"/>
              </w:rPr>
              <w:t>(1)</w:t>
            </w:r>
          </w:p>
        </w:tc>
        <w:tc>
          <w:tcPr>
            <w:tcW w:w="164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rPr>
              <w:t>17</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_______________________________</w:t>
      </w:r>
    </w:p>
    <w:p>
      <w:pPr>
        <w:spacing w:after="0" w:line="154" w:lineRule="exact"/>
        <w:rPr>
          <w:sz w:val="20"/>
          <w:szCs w:val="20"/>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Channel Partner A and Customer A are controlled by the same company.</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There were no direct customers or channel partners who represented 10% or more of the Company’s total revenue during the three and nine months ended October 31, 2021 and October 31, 2020.</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b w:val="1"/>
          <w:bCs w:val="1"/>
          <w:i w:val="1"/>
          <w:iCs w:val="1"/>
          <w:color w:val="auto"/>
        </w:rPr>
        <w:t>Significant Accounting Policies</w:t>
      </w:r>
    </w:p>
    <w:p>
      <w:pPr>
        <w:spacing w:after="0" w:line="150" w:lineRule="exact"/>
        <w:rPr>
          <w:sz w:val="20"/>
          <w:szCs w:val="20"/>
          <w:color w:val="auto"/>
        </w:rPr>
      </w:pPr>
    </w:p>
    <w:p>
      <w:pPr>
        <w:ind w:left="8" w:right="360" w:firstLine="432"/>
        <w:spacing w:after="0" w:line="276" w:lineRule="auto"/>
        <w:rPr>
          <w:sz w:val="20"/>
          <w:szCs w:val="20"/>
          <w:color w:val="auto"/>
        </w:rPr>
      </w:pPr>
      <w:r>
        <w:rPr>
          <w:rFonts w:ascii="Arial" w:cs="Arial" w:eastAsia="Arial" w:hAnsi="Arial"/>
          <w:sz w:val="12"/>
          <w:szCs w:val="12"/>
          <w:color w:val="auto"/>
        </w:rPr>
        <w:t>The Company’s significant accounting policies are described in the Company’s Annual Report on Form 10-K for the year ended January 31, 2021. There have been no significant changes to these policies that have had a material impact on the Company’s condensed consolidated financial statements and related notes for the three and nine months ended October 31, 2021.</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141" w:lineRule="exact"/>
        <w:rPr>
          <w:sz w:val="20"/>
          <w:szCs w:val="20"/>
          <w:color w:val="auto"/>
        </w:rPr>
      </w:pPr>
    </w:p>
    <w:p>
      <w:pPr>
        <w:ind w:left="8" w:right="160" w:firstLine="432"/>
        <w:spacing w:after="0" w:line="298" w:lineRule="auto"/>
        <w:rPr>
          <w:sz w:val="20"/>
          <w:szCs w:val="20"/>
          <w:color w:val="auto"/>
        </w:rPr>
      </w:pPr>
      <w:r>
        <w:rPr>
          <w:rFonts w:ascii="Arial" w:cs="Arial" w:eastAsia="Arial" w:hAnsi="Arial"/>
          <w:sz w:val="11"/>
          <w:szCs w:val="11"/>
          <w:color w:val="auto"/>
        </w:rPr>
        <w:t>In December 2019, the Financial Accounting Standards Board (the “FASB”) issued ASU 2019-12, Income Taxes (Topic 740): Simplifying the Accounting for Income Taxes,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The Company adopted this guidance on February 1, 2021, which did not have a material effect on its condensed consolidated financial statements.</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150" w:lineRule="exact"/>
        <w:rPr>
          <w:sz w:val="20"/>
          <w:szCs w:val="20"/>
          <w:color w:val="auto"/>
        </w:rPr>
      </w:pPr>
    </w:p>
    <w:p>
      <w:pPr>
        <w:jc w:val="both"/>
        <w:ind w:left="8" w:right="300" w:firstLine="432"/>
        <w:spacing w:after="0" w:line="298" w:lineRule="auto"/>
        <w:rPr>
          <w:sz w:val="20"/>
          <w:szCs w:val="20"/>
          <w:color w:val="auto"/>
        </w:rPr>
      </w:pPr>
      <w:r>
        <w:rPr>
          <w:rFonts w:ascii="Arial" w:cs="Arial" w:eastAsia="Arial" w:hAnsi="Arial"/>
          <w:sz w:val="11"/>
          <w:szCs w:val="11"/>
          <w:color w:val="auto"/>
        </w:rPr>
        <w:t>In October 2021, the FASB issued ASU 2021-08, Business Combinations (Topic 805):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For public business entities, this ASU is effective for fiscal years beginning after December 15, 2022, and interim periods within those fiscal years. The Company is currently evaluating the impact of this ASU on the Company’s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13" w:name="page14"/>
    <w:bookmarkEnd w:id="13"/>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Investments and Fair Value Measurements</w:t>
      </w:r>
    </w:p>
    <w:p>
      <w:pPr>
        <w:spacing w:after="0" w:line="150" w:lineRule="exact"/>
        <w:rPr>
          <w:sz w:val="20"/>
          <w:szCs w:val="20"/>
          <w:color w:val="auto"/>
        </w:rPr>
      </w:pPr>
    </w:p>
    <w:p>
      <w:pPr>
        <w:ind w:left="8" w:firstLine="432"/>
        <w:spacing w:after="0" w:line="256" w:lineRule="auto"/>
        <w:rPr>
          <w:sz w:val="20"/>
          <w:szCs w:val="20"/>
          <w:color w:val="auto"/>
        </w:rPr>
      </w:pPr>
      <w:r>
        <w:rPr>
          <w:rFonts w:ascii="Arial" w:cs="Arial" w:eastAsia="Arial" w:hAnsi="Arial"/>
          <w:sz w:val="12"/>
          <w:szCs w:val="12"/>
          <w:color w:val="auto"/>
        </w:rPr>
        <w:t>The Company follows ASC 820</w:t>
      </w:r>
      <w:r>
        <w:rPr>
          <w:rFonts w:ascii="Arial" w:cs="Arial" w:eastAsia="Arial" w:hAnsi="Arial"/>
          <w:sz w:val="12"/>
          <w:szCs w:val="12"/>
          <w:i w:val="1"/>
          <w:iCs w:val="1"/>
          <w:color w:val="auto"/>
        </w:rPr>
        <w:t>, Fair Value Measurements</w:t>
      </w:r>
      <w:r>
        <w:rPr>
          <w:rFonts w:ascii="Arial" w:cs="Arial" w:eastAsia="Arial" w:hAnsi="Arial"/>
          <w:sz w:val="12"/>
          <w:szCs w:val="12"/>
          <w:color w:val="auto"/>
        </w:rPr>
        <w:t>, with respect to marketable securities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12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hierarchy is broken down into three levels as follows:</w:t>
      </w:r>
    </w:p>
    <w:p>
      <w:pPr>
        <w:spacing w:after="0" w:line="150" w:lineRule="exact"/>
        <w:rPr>
          <w:sz w:val="20"/>
          <w:szCs w:val="20"/>
          <w:color w:val="auto"/>
        </w:rPr>
      </w:pPr>
    </w:p>
    <w:p>
      <w:pPr>
        <w:ind w:left="428"/>
        <w:spacing w:after="0"/>
        <w:tabs>
          <w:tab w:leader="none" w:pos="888" w:val="left"/>
        </w:tabs>
        <w:rPr>
          <w:sz w:val="20"/>
          <w:szCs w:val="20"/>
          <w:color w:val="auto"/>
        </w:rPr>
      </w:pPr>
      <w:r>
        <w:rPr>
          <w:rFonts w:ascii="Arial" w:cs="Arial" w:eastAsia="Arial" w:hAnsi="Arial"/>
          <w:sz w:val="12"/>
          <w:szCs w:val="12"/>
          <w:color w:val="auto"/>
        </w:rPr>
        <w:t>Level 1</w:t>
      </w:r>
      <w:r>
        <w:rPr>
          <w:sz w:val="20"/>
          <w:szCs w:val="20"/>
          <w:color w:val="auto"/>
        </w:rPr>
        <w:tab/>
      </w:r>
      <w:r>
        <w:rPr>
          <w:rFonts w:ascii="Arial" w:cs="Arial" w:eastAsia="Arial" w:hAnsi="Arial"/>
          <w:sz w:val="10"/>
          <w:szCs w:val="10"/>
          <w:color w:val="auto"/>
        </w:rPr>
        <w:t>Assets and liabilities whose values are based on unadjusted quoted market prices for identical assets and liabilities in active markets</w:t>
      </w:r>
    </w:p>
    <w:p>
      <w:pPr>
        <w:spacing w:after="0" w:line="15" w:lineRule="exact"/>
        <w:rPr>
          <w:sz w:val="20"/>
          <w:szCs w:val="20"/>
          <w:color w:val="auto"/>
        </w:rPr>
      </w:pPr>
    </w:p>
    <w:p>
      <w:pPr>
        <w:ind w:left="428" w:right="1880"/>
        <w:spacing w:after="0" w:line="361" w:lineRule="auto"/>
        <w:rPr>
          <w:sz w:val="20"/>
          <w:szCs w:val="20"/>
          <w:color w:val="auto"/>
        </w:rPr>
      </w:pPr>
      <w:r>
        <w:rPr>
          <w:rFonts w:ascii="Arial" w:cs="Arial" w:eastAsia="Arial" w:hAnsi="Arial"/>
          <w:sz w:val="10"/>
          <w:szCs w:val="10"/>
          <w:color w:val="auto"/>
        </w:rPr>
        <w:t>Level 2 Assets and liabilities whose values are based on quoted prices in markets that are not active or inputs that are observable for substantially the full term of the asset or liability Level 3 Assets and liabilities whose values are based on prices or valuation techniques that require inputs that are both unobservable and significant to the overall fair value measurement</w:t>
      </w:r>
    </w:p>
    <w:p>
      <w:pPr>
        <w:spacing w:after="0" w:line="7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Categorization within the valuation hierarchy is based upon the lowest level of input that is significant to the fair value measurement.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Company’s fair value hierarchy for its financial assets and liabilities that are measured at fair value on a recurring basis are as follows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1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w w:val="89"/>
              </w:rPr>
              <w:t>October 31, 2021</w:t>
            </w: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ind w:left="480"/>
              <w:spacing w:after="0"/>
              <w:rPr>
                <w:sz w:val="20"/>
                <w:szCs w:val="20"/>
                <w:color w:val="auto"/>
              </w:rPr>
            </w:pPr>
            <w:r>
              <w:rPr>
                <w:rFonts w:ascii="Arial" w:cs="Arial" w:eastAsia="Arial" w:hAnsi="Arial"/>
                <w:sz w:val="10"/>
                <w:szCs w:val="10"/>
                <w:b w:val="1"/>
                <w:bCs w:val="1"/>
                <w:color w:val="auto"/>
                <w:w w:val="89"/>
              </w:rPr>
              <w:t>January 31, 2021</w:t>
            </w: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1</w:t>
            </w: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Level 2</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Level 3</w:t>
            </w:r>
          </w:p>
        </w:tc>
        <w:tc>
          <w:tcPr>
            <w:tcW w:w="640" w:type="dxa"/>
            <w:vAlign w:val="bottom"/>
          </w:tcPr>
          <w:p>
            <w:pPr>
              <w:spacing w:after="0"/>
              <w:rPr>
                <w:sz w:val="10"/>
                <w:szCs w:val="10"/>
                <w:color w:val="auto"/>
              </w:rPr>
            </w:pPr>
          </w:p>
        </w:tc>
        <w:tc>
          <w:tcPr>
            <w:tcW w:w="720" w:type="dxa"/>
            <w:vAlign w:val="bottom"/>
          </w:tcPr>
          <w:p>
            <w:pPr>
              <w:jc w:val="right"/>
              <w:ind w:right="308"/>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1</w:t>
            </w: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2</w:t>
            </w:r>
          </w:p>
        </w:tc>
        <w:tc>
          <w:tcPr>
            <w:tcW w:w="580" w:type="dxa"/>
            <w:vAlign w:val="bottom"/>
          </w:tcPr>
          <w:p>
            <w:pPr>
              <w:spacing w:after="0"/>
              <w:rPr>
                <w:sz w:val="10"/>
                <w:szCs w:val="10"/>
                <w:color w:val="auto"/>
              </w:rPr>
            </w:pPr>
          </w:p>
        </w:tc>
        <w:tc>
          <w:tcPr>
            <w:tcW w:w="600" w:type="dxa"/>
            <w:vAlign w:val="bottom"/>
            <w:gridSpan w:val="2"/>
          </w:tcPr>
          <w:p>
            <w:pPr>
              <w:ind w:left="40"/>
              <w:spacing w:after="0"/>
              <w:rPr>
                <w:sz w:val="20"/>
                <w:szCs w:val="20"/>
                <w:color w:val="auto"/>
              </w:rPr>
            </w:pPr>
            <w:r>
              <w:rPr>
                <w:rFonts w:ascii="Arial" w:cs="Arial" w:eastAsia="Arial" w:hAnsi="Arial"/>
                <w:sz w:val="10"/>
                <w:szCs w:val="10"/>
                <w:b w:val="1"/>
                <w:bCs w:val="1"/>
                <w:color w:val="auto"/>
              </w:rPr>
              <w:t>Level 3</w:t>
            </w:r>
          </w:p>
        </w:tc>
        <w:tc>
          <w:tcPr>
            <w:tcW w:w="600" w:type="dxa"/>
            <w:vAlign w:val="bottom"/>
          </w:tcPr>
          <w:p>
            <w:pPr>
              <w:spacing w:after="0"/>
              <w:rPr>
                <w:sz w:val="10"/>
                <w:szCs w:val="10"/>
                <w:color w:val="auto"/>
              </w:rPr>
            </w:pPr>
          </w:p>
        </w:tc>
        <w:tc>
          <w:tcPr>
            <w:tcW w:w="560" w:type="dxa"/>
            <w:vAlign w:val="bottom"/>
          </w:tcPr>
          <w:p>
            <w:pPr>
              <w:ind w:left="1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ind w:left="440"/>
              <w:spacing w:after="0"/>
              <w:rPr>
                <w:sz w:val="20"/>
                <w:szCs w:val="20"/>
                <w:color w:val="auto"/>
              </w:rPr>
            </w:pPr>
            <w:r>
              <w:rPr>
                <w:rFonts w:ascii="Arial" w:cs="Arial" w:eastAsia="Arial" w:hAnsi="Arial"/>
                <w:sz w:val="11"/>
                <w:szCs w:val="11"/>
                <w:b w:val="1"/>
                <w:bCs w:val="1"/>
                <w:color w:val="auto"/>
              </w:rPr>
              <w:t>Assets</w:t>
            </w:r>
          </w:p>
        </w:tc>
        <w:tc>
          <w:tcPr>
            <w:tcW w:w="6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260" w:type="dxa"/>
            <w:vAlign w:val="bottom"/>
          </w:tcPr>
          <w:p>
            <w:pPr>
              <w:ind w:left="440"/>
              <w:spacing w:after="0" w:line="112" w:lineRule="exact"/>
              <w:rPr>
                <w:sz w:val="20"/>
                <w:szCs w:val="20"/>
                <w:color w:val="auto"/>
              </w:rPr>
            </w:pPr>
            <w:r>
              <w:rPr>
                <w:rFonts w:ascii="Arial" w:cs="Arial" w:eastAsia="Arial" w:hAnsi="Arial"/>
                <w:sz w:val="11"/>
                <w:szCs w:val="11"/>
                <w:color w:val="auto"/>
              </w:rPr>
              <w:t>Cash</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line="141" w:lineRule="exact"/>
              <w:rPr>
                <w:sz w:val="20"/>
                <w:szCs w:val="20"/>
                <w:color w:val="auto"/>
              </w:rPr>
            </w:pPr>
            <w:r>
              <w:rPr>
                <w:rFonts w:ascii="Arial" w:cs="Arial" w:eastAsia="Arial" w:hAnsi="Arial"/>
                <w:sz w:val="11"/>
                <w:szCs w:val="11"/>
                <w:color w:val="auto"/>
              </w:rPr>
              <w:t xml:space="preserve">equivalents </w:t>
            </w:r>
            <w:r>
              <w:rPr>
                <w:rFonts w:ascii="Arial" w:cs="Arial" w:eastAsia="Arial" w:hAnsi="Arial"/>
                <w:sz w:val="14"/>
                <w:szCs w:val="14"/>
                <w:color w:val="auto"/>
                <w:vertAlign w:val="superscript"/>
              </w:rPr>
              <w:t>(1)</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260" w:type="dxa"/>
            <w:vAlign w:val="bottom"/>
            <w:shd w:val="clear" w:color="auto" w:fill="CCEEFF"/>
          </w:tcPr>
          <w:p>
            <w:pPr>
              <w:ind w:left="520"/>
              <w:spacing w:after="0" w:line="112" w:lineRule="exact"/>
              <w:rPr>
                <w:sz w:val="20"/>
                <w:szCs w:val="20"/>
                <w:color w:val="auto"/>
              </w:rPr>
            </w:pPr>
            <w:r>
              <w:rPr>
                <w:rFonts w:ascii="Arial" w:cs="Arial" w:eastAsia="Arial" w:hAnsi="Arial"/>
                <w:sz w:val="11"/>
                <w:szCs w:val="11"/>
                <w:color w:val="auto"/>
              </w:rPr>
              <w:t>Money market</w:t>
            </w:r>
          </w:p>
        </w:tc>
        <w:tc>
          <w:tcPr>
            <w:tcW w:w="6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300,020</w:t>
            </w:r>
          </w:p>
        </w:tc>
        <w:tc>
          <w:tcPr>
            <w:tcW w:w="6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408"/>
              <w:spacing w:after="0"/>
              <w:rPr>
                <w:sz w:val="20"/>
                <w:szCs w:val="20"/>
                <w:color w:val="auto"/>
              </w:rPr>
            </w:pPr>
            <w:r>
              <w:rPr>
                <w:rFonts w:ascii="Arial" w:cs="Arial" w:eastAsia="Arial" w:hAnsi="Arial"/>
                <w:sz w:val="11"/>
                <w:szCs w:val="11"/>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6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300,020</w:t>
            </w: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1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funds</w:t>
            </w: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bottom w:val="single" w:sz="8" w:color="auto"/>
            </w:tcBorders>
            <w:vMerge w:val="continue"/>
            <w:shd w:val="clear" w:color="auto" w:fill="CCEEFF"/>
          </w:tcPr>
          <w:p>
            <w:pPr>
              <w:spacing w:after="0"/>
              <w:rPr>
                <w:sz w:val="12"/>
                <w:szCs w:val="12"/>
                <w:color w:val="auto"/>
              </w:rPr>
            </w:pPr>
          </w:p>
        </w:tc>
        <w:tc>
          <w:tcPr>
            <w:tcW w:w="1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440"/>
              <w:spacing w:after="0"/>
              <w:rPr>
                <w:sz w:val="20"/>
                <w:szCs w:val="20"/>
                <w:color w:val="auto"/>
              </w:rPr>
            </w:pPr>
            <w:r>
              <w:rPr>
                <w:rFonts w:ascii="Arial" w:cs="Arial" w:eastAsia="Arial" w:hAnsi="Arial"/>
                <w:sz w:val="11"/>
                <w:szCs w:val="11"/>
                <w:color w:val="auto"/>
              </w:rPr>
              <w:t>Total assets</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300,020</w:t>
            </w:r>
          </w:p>
        </w:tc>
        <w:tc>
          <w:tcPr>
            <w:tcW w:w="60" w:type="dxa"/>
            <w:vAlign w:val="bottom"/>
          </w:tcPr>
          <w:p>
            <w:pPr>
              <w:spacing w:after="0"/>
              <w:rPr>
                <w:sz w:val="11"/>
                <w:szCs w:val="11"/>
                <w:color w:val="auto"/>
              </w:rPr>
            </w:pPr>
          </w:p>
        </w:tc>
        <w:tc>
          <w:tcPr>
            <w:tcW w:w="960" w:type="dxa"/>
            <w:vAlign w:val="bottom"/>
          </w:tcPr>
          <w:p>
            <w:pPr>
              <w:jc w:val="right"/>
              <w:ind w:right="408"/>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300,020</w:t>
            </w:r>
          </w:p>
        </w:tc>
        <w:tc>
          <w:tcPr>
            <w:tcW w:w="6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0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__________________________________</w:t>
      </w:r>
    </w:p>
    <w:p>
      <w:pPr>
        <w:spacing w:after="0" w:line="154" w:lineRule="exact"/>
        <w:rPr>
          <w:sz w:val="20"/>
          <w:szCs w:val="20"/>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Included in “Cash and cash equivalents” on the condensed consolidated balance sheets.</w:t>
      </w:r>
    </w:p>
    <w:p>
      <w:pPr>
        <w:spacing w:after="0" w:line="150" w:lineRule="exact"/>
        <w:rPr>
          <w:rFonts w:ascii="Arial" w:cs="Arial" w:eastAsia="Arial" w:hAnsi="Arial"/>
          <w:sz w:val="12"/>
          <w:szCs w:val="12"/>
          <w:color w:val="auto"/>
        </w:rPr>
      </w:pPr>
    </w:p>
    <w:p>
      <w:pPr>
        <w:ind w:left="428" w:right="6120"/>
        <w:spacing w:after="0" w:line="430" w:lineRule="auto"/>
        <w:rPr>
          <w:rFonts w:ascii="Arial" w:cs="Arial" w:eastAsia="Arial" w:hAnsi="Arial"/>
          <w:sz w:val="12"/>
          <w:szCs w:val="12"/>
          <w:color w:val="auto"/>
        </w:rPr>
      </w:pPr>
      <w:r>
        <w:rPr>
          <w:rFonts w:ascii="Arial" w:cs="Arial" w:eastAsia="Arial" w:hAnsi="Arial"/>
          <w:sz w:val="11"/>
          <w:szCs w:val="11"/>
          <w:color w:val="auto"/>
        </w:rPr>
        <w:t>There were no transfers between the levels of the fair value hierarchy during the periods presented. The following summarizes the changes in strategic investments (in thousands):</w:t>
      </w:r>
    </w:p>
    <w:tbl>
      <w:tblPr>
        <w:tblLayout w:type="fixed"/>
        <w:tblInd w:w="8" w:type="dxa"/>
        <w:tblCellMar>
          <w:top w:w="0" w:type="dxa"/>
          <w:left w:w="0" w:type="dxa"/>
          <w:bottom w:w="0" w:type="dxa"/>
          <w:right w:w="0" w:type="dxa"/>
        </w:tblCellMar>
      </w:tblPr>
      <w:tr>
        <w:trPr>
          <w:trHeight w:val="123"/>
        </w:trPr>
        <w:tc>
          <w:tcPr>
            <w:tcW w:w="41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20" w:type="dxa"/>
            <w:vAlign w:val="bottom"/>
          </w:tcPr>
          <w:p>
            <w:pPr>
              <w:jc w:val="right"/>
              <w:spacing w:after="0"/>
              <w:rPr>
                <w:sz w:val="20"/>
                <w:szCs w:val="20"/>
                <w:color w:val="auto"/>
              </w:rPr>
            </w:pPr>
            <w:r>
              <w:rPr>
                <w:rFonts w:ascii="Arial" w:cs="Arial" w:eastAsia="Arial" w:hAnsi="Arial"/>
                <w:sz w:val="10"/>
                <w:szCs w:val="10"/>
                <w:b w:val="1"/>
                <w:bCs w:val="1"/>
                <w:color w:val="auto"/>
              </w:rPr>
              <w:t>October 31,</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tcPr>
          <w:p>
            <w:pPr>
              <w:jc w:val="right"/>
              <w:ind w:right="425"/>
              <w:spacing w:after="0"/>
              <w:rPr>
                <w:sz w:val="20"/>
                <w:szCs w:val="20"/>
                <w:color w:val="auto"/>
              </w:rPr>
            </w:pPr>
            <w:r>
              <w:rPr>
                <w:rFonts w:ascii="Arial" w:cs="Arial" w:eastAsia="Arial" w:hAnsi="Arial"/>
                <w:sz w:val="10"/>
                <w:szCs w:val="10"/>
                <w:b w:val="1"/>
                <w:bCs w:val="1"/>
                <w:color w:val="auto"/>
              </w:rPr>
              <w:t>January 31,</w:t>
            </w:r>
          </w:p>
        </w:tc>
      </w:tr>
      <w:tr>
        <w:trPr>
          <w:trHeight w:val="140"/>
        </w:trPr>
        <w:tc>
          <w:tcPr>
            <w:tcW w:w="4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65"/>
              <w:spacing w:after="0"/>
              <w:rPr>
                <w:sz w:val="20"/>
                <w:szCs w:val="20"/>
                <w:color w:val="auto"/>
              </w:rPr>
            </w:pPr>
            <w:r>
              <w:rPr>
                <w:rFonts w:ascii="Arial" w:cs="Arial" w:eastAsia="Arial" w:hAnsi="Arial"/>
                <w:sz w:val="10"/>
                <w:szCs w:val="10"/>
                <w:b w:val="1"/>
                <w:bCs w:val="1"/>
                <w:color w:val="auto"/>
              </w:rPr>
              <w:t>2021</w:t>
            </w:r>
          </w:p>
        </w:tc>
      </w:tr>
      <w:tr>
        <w:trPr>
          <w:trHeight w:val="163"/>
        </w:trPr>
        <w:tc>
          <w:tcPr>
            <w:tcW w:w="41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Total initial cost</w:t>
            </w:r>
          </w:p>
        </w:tc>
        <w:tc>
          <w:tcPr>
            <w:tcW w:w="4820" w:type="dxa"/>
            <w:vAlign w:val="bottom"/>
            <w:gridSpan w:val="2"/>
            <w:shd w:val="clear" w:color="auto" w:fill="CCEEFF"/>
          </w:tcPr>
          <w:p>
            <w:pPr>
              <w:jc w:val="right"/>
              <w:ind w:right="872"/>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18,309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2,500</w:t>
            </w:r>
          </w:p>
        </w:tc>
      </w:tr>
      <w:tr>
        <w:trPr>
          <w:trHeight w:val="153"/>
        </w:trPr>
        <w:tc>
          <w:tcPr>
            <w:tcW w:w="41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Unrealized gains due to changes in fair value</w:t>
            </w:r>
          </w:p>
        </w:tc>
        <w:tc>
          <w:tcPr>
            <w:tcW w:w="34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4,356</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w:t>
            </w:r>
          </w:p>
        </w:tc>
      </w:tr>
      <w:tr>
        <w:trPr>
          <w:trHeight w:val="162"/>
        </w:trPr>
        <w:tc>
          <w:tcPr>
            <w:tcW w:w="41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Carrying value</w:t>
            </w:r>
          </w:p>
        </w:tc>
        <w:tc>
          <w:tcPr>
            <w:tcW w:w="4820" w:type="dxa"/>
            <w:vAlign w:val="bottom"/>
            <w:gridSpan w:val="2"/>
            <w:shd w:val="clear" w:color="auto" w:fill="CCEEFF"/>
          </w:tcPr>
          <w:p>
            <w:pPr>
              <w:jc w:val="right"/>
              <w:ind w:right="872"/>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22,665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2,500</w:t>
            </w:r>
          </w:p>
        </w:tc>
      </w:tr>
      <w:tr>
        <w:trPr>
          <w:trHeight w:val="896"/>
        </w:trPr>
        <w:tc>
          <w:tcPr>
            <w:tcW w:w="4100" w:type="dxa"/>
            <w:vAlign w:val="bottom"/>
            <w:tcBorders>
              <w:top w:val="single" w:sz="8" w:color="CCEEFF"/>
            </w:tcBorders>
          </w:tcPr>
          <w:p>
            <w:pPr>
              <w:spacing w:after="0"/>
              <w:rPr>
                <w:sz w:val="24"/>
                <w:szCs w:val="24"/>
                <w:color w:val="auto"/>
              </w:rPr>
            </w:pPr>
          </w:p>
        </w:tc>
        <w:tc>
          <w:tcPr>
            <w:tcW w:w="3400" w:type="dxa"/>
            <w:vAlign w:val="bottom"/>
            <w:tcBorders>
              <w:top w:val="single" w:sz="8" w:color="CCEEFF"/>
            </w:tcBorders>
          </w:tcPr>
          <w:p>
            <w:pPr>
              <w:jc w:val="right"/>
              <w:ind w:right="1740"/>
              <w:spacing w:after="0"/>
              <w:rPr>
                <w:sz w:val="20"/>
                <w:szCs w:val="20"/>
                <w:color w:val="auto"/>
              </w:rPr>
            </w:pPr>
            <w:r>
              <w:rPr>
                <w:rFonts w:ascii="Arial" w:cs="Arial" w:eastAsia="Arial" w:hAnsi="Arial"/>
                <w:sz w:val="12"/>
                <w:szCs w:val="12"/>
                <w:color w:val="auto"/>
              </w:rPr>
              <w:t>14</w:t>
            </w:r>
          </w:p>
        </w:tc>
        <w:tc>
          <w:tcPr>
            <w:tcW w:w="14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72"/>
        </w:trPr>
        <w:tc>
          <w:tcPr>
            <w:tcW w:w="4100" w:type="dxa"/>
            <w:vAlign w:val="bottom"/>
            <w:tcBorders>
              <w:bottom w:val="single" w:sz="8" w:color="9A9A9A"/>
            </w:tcBorders>
          </w:tcPr>
          <w:p>
            <w:pPr>
              <w:spacing w:after="0"/>
              <w:rPr>
                <w:sz w:val="6"/>
                <w:szCs w:val="6"/>
                <w:color w:val="auto"/>
              </w:rPr>
            </w:pPr>
          </w:p>
        </w:tc>
        <w:tc>
          <w:tcPr>
            <w:tcW w:w="340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14" w:name="page15"/>
    <w:bookmarkEnd w:id="14"/>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i w:val="1"/>
          <w:iCs w:val="1"/>
          <w:color w:val="auto"/>
        </w:rPr>
        <w:t>4.</w:t>
      </w:r>
      <w:r>
        <w:rPr>
          <w:sz w:val="20"/>
          <w:szCs w:val="20"/>
          <w:color w:val="auto"/>
        </w:rPr>
        <w:tab/>
      </w:r>
      <w:r>
        <w:rPr>
          <w:rFonts w:ascii="Arial" w:cs="Arial" w:eastAsia="Arial" w:hAnsi="Arial"/>
          <w:sz w:val="10"/>
          <w:szCs w:val="10"/>
          <w:b w:val="1"/>
          <w:bCs w:val="1"/>
          <w:i w:val="1"/>
          <w:iCs w:val="1"/>
          <w:color w:val="auto"/>
        </w:rPr>
        <w:t>Balance Sheet Components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Prepaid Expenses and Other Current Assets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Prepaid expenses and other current assets consisted of the following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220"/>
              <w:spacing w:after="0"/>
              <w:rPr>
                <w:sz w:val="20"/>
                <w:szCs w:val="20"/>
                <w:color w:val="auto"/>
              </w:rPr>
            </w:pPr>
            <w:r>
              <w:rPr>
                <w:rFonts w:ascii="Arial" w:cs="Arial" w:eastAsia="Arial" w:hAnsi="Arial"/>
                <w:sz w:val="10"/>
                <w:szCs w:val="10"/>
                <w:b w:val="1"/>
                <w:bCs w:val="1"/>
                <w:color w:val="auto"/>
              </w:rPr>
              <w:t>October 31,</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gridSpan w:val="2"/>
          </w:tcPr>
          <w:p>
            <w:pPr>
              <w:ind w:left="220"/>
              <w:spacing w:after="0"/>
              <w:rPr>
                <w:sz w:val="20"/>
                <w:szCs w:val="20"/>
                <w:color w:val="auto"/>
              </w:rPr>
            </w:pPr>
            <w:r>
              <w:rPr>
                <w:rFonts w:ascii="Arial" w:cs="Arial" w:eastAsia="Arial" w:hAnsi="Arial"/>
                <w:sz w:val="10"/>
                <w:szCs w:val="10"/>
                <w:b w:val="1"/>
                <w:bCs w:val="1"/>
                <w:color w:val="auto"/>
              </w:rPr>
              <w:t>January 31,</w:t>
            </w:r>
          </w:p>
        </w:tc>
        <w:tc>
          <w:tcPr>
            <w:tcW w:w="0" w:type="dxa"/>
            <w:vAlign w:val="bottom"/>
          </w:tcPr>
          <w:p>
            <w:pPr>
              <w:spacing w:after="0"/>
              <w:rPr>
                <w:sz w:val="1"/>
                <w:szCs w:val="1"/>
                <w:color w:val="auto"/>
              </w:rPr>
            </w:pPr>
          </w:p>
        </w:tc>
      </w:tr>
      <w:tr>
        <w:trPr>
          <w:trHeight w:val="133"/>
        </w:trPr>
        <w:tc>
          <w:tcPr>
            <w:tcW w:w="7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83"/>
              <w:spacing w:after="0"/>
              <w:rPr>
                <w:sz w:val="20"/>
                <w:szCs w:val="20"/>
                <w:color w:val="auto"/>
              </w:rPr>
            </w:pPr>
            <w:r>
              <w:rPr>
                <w:rFonts w:ascii="Arial" w:cs="Arial" w:eastAsia="Arial" w:hAnsi="Arial"/>
                <w:sz w:val="10"/>
                <w:szCs w:val="10"/>
                <w:b w:val="1"/>
                <w:bCs w:val="1"/>
                <w:color w:val="auto"/>
              </w:rPr>
              <w:t>2021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83"/>
              <w:spacing w:after="0"/>
              <w:rPr>
                <w:sz w:val="20"/>
                <w:szCs w:val="20"/>
                <w:color w:val="auto"/>
              </w:rPr>
            </w:pPr>
            <w:r>
              <w:rPr>
                <w:rFonts w:ascii="Arial" w:cs="Arial" w:eastAsia="Arial" w:hAnsi="Arial"/>
                <w:sz w:val="10"/>
                <w:szCs w:val="10"/>
                <w:b w:val="1"/>
                <w:bCs w:val="1"/>
                <w:color w:val="auto"/>
              </w:rPr>
              <w:t>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Prepaid software licenses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21,262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440"/>
              <w:spacing w:after="0"/>
              <w:rPr>
                <w:sz w:val="20"/>
                <w:szCs w:val="20"/>
                <w:color w:val="auto"/>
              </w:rPr>
            </w:pPr>
            <w:r>
              <w:rPr>
                <w:rFonts w:ascii="Arial" w:cs="Arial" w:eastAsia="Arial" w:hAnsi="Arial"/>
                <w:sz w:val="12"/>
                <w:szCs w:val="12"/>
                <w:color w:val="auto"/>
              </w:rPr>
              <w:t>Prepaid expenses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2"/>
                <w:szCs w:val="12"/>
                <w:color w:val="auto"/>
              </w:rPr>
              <w:t>17,068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12,220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Prepaid marketing</w:t>
            </w: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9,889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440"/>
              <w:spacing w:after="0"/>
              <w:rPr>
                <w:sz w:val="20"/>
                <w:szCs w:val="20"/>
                <w:color w:val="auto"/>
              </w:rPr>
            </w:pPr>
            <w:r>
              <w:rPr>
                <w:rFonts w:ascii="Arial" w:cs="Arial" w:eastAsia="Arial" w:hAnsi="Arial"/>
                <w:sz w:val="12"/>
                <w:szCs w:val="12"/>
                <w:color w:val="auto"/>
              </w:rPr>
              <w:t>Other current assets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2"/>
                <w:szCs w:val="12"/>
                <w:color w:val="auto"/>
              </w:rPr>
              <w:t>7,975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4,566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Prepaid hosting services</w:t>
            </w:r>
          </w:p>
        </w:tc>
        <w:tc>
          <w:tcPr>
            <w:tcW w:w="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4,476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80" w:type="dxa"/>
            <w:vAlign w:val="bottom"/>
          </w:tcPr>
          <w:p>
            <w:pPr>
              <w:ind w:left="580"/>
              <w:spacing w:after="0"/>
              <w:rPr>
                <w:sz w:val="20"/>
                <w:szCs w:val="20"/>
                <w:color w:val="auto"/>
              </w:rPr>
            </w:pPr>
            <w:r>
              <w:rPr>
                <w:rFonts w:ascii="Arial" w:cs="Arial" w:eastAsia="Arial" w:hAnsi="Arial"/>
                <w:sz w:val="12"/>
                <w:szCs w:val="12"/>
                <w:color w:val="auto"/>
              </w:rPr>
              <w:t>Prepaid expenses and other current assets</w:t>
            </w: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60,670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420"/>
              <w:spacing w:after="0"/>
              <w:rPr>
                <w:sz w:val="20"/>
                <w:szCs w:val="20"/>
                <w:color w:val="auto"/>
              </w:rPr>
            </w:pPr>
            <w:r>
              <w:rPr>
                <w:rFonts w:ascii="Arial" w:cs="Arial" w:eastAsia="Arial" w:hAnsi="Arial"/>
                <w:sz w:val="12"/>
                <w:szCs w:val="12"/>
                <w:b w:val="1"/>
                <w:bCs w:val="1"/>
                <w:i w:val="1"/>
                <w:iCs w:val="1"/>
                <w:color w:val="auto"/>
              </w:rPr>
              <w:t>Property and Equipment, Net</w:t>
            </w: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480" w:type="dxa"/>
            <w:vAlign w:val="bottom"/>
          </w:tcPr>
          <w:p>
            <w:pPr>
              <w:ind w:left="420"/>
              <w:spacing w:after="0"/>
              <w:rPr>
                <w:sz w:val="20"/>
                <w:szCs w:val="20"/>
                <w:color w:val="auto"/>
              </w:rPr>
            </w:pPr>
            <w:r>
              <w:rPr>
                <w:rFonts w:ascii="Arial" w:cs="Arial" w:eastAsia="Arial" w:hAnsi="Arial"/>
                <w:sz w:val="12"/>
                <w:szCs w:val="12"/>
                <w:color w:val="auto"/>
              </w:rPr>
              <w:t>Property and equipment, net consisted of the following (in thousands):</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gridSpan w:val="3"/>
          </w:tcPr>
          <w:p>
            <w:pPr>
              <w:ind w:left="240"/>
              <w:spacing w:after="0" w:line="108" w:lineRule="exact"/>
              <w:rPr>
                <w:sz w:val="20"/>
                <w:szCs w:val="20"/>
                <w:color w:val="auto"/>
              </w:rPr>
            </w:pPr>
            <w:r>
              <w:rPr>
                <w:rFonts w:ascii="Arial" w:cs="Arial" w:eastAsia="Arial" w:hAnsi="Arial"/>
                <w:sz w:val="10"/>
                <w:szCs w:val="10"/>
                <w:b w:val="1"/>
                <w:bCs w:val="1"/>
                <w:color w:val="auto"/>
              </w:rPr>
              <w:t>October 31,</w:t>
            </w: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0" w:type="dxa"/>
            <w:vAlign w:val="bottom"/>
            <w:gridSpan w:val="2"/>
          </w:tcPr>
          <w:p>
            <w:pPr>
              <w:ind w:left="240"/>
              <w:spacing w:after="0" w:line="108" w:lineRule="exact"/>
              <w:rPr>
                <w:sz w:val="20"/>
                <w:szCs w:val="20"/>
                <w:color w:val="auto"/>
              </w:rPr>
            </w:pPr>
            <w:r>
              <w:rPr>
                <w:rFonts w:ascii="Arial" w:cs="Arial" w:eastAsia="Arial" w:hAnsi="Arial"/>
                <w:sz w:val="10"/>
                <w:szCs w:val="10"/>
                <w:b w:val="1"/>
                <w:bCs w:val="1"/>
                <w:color w:val="auto"/>
              </w:rPr>
              <w:t>January 31,</w:t>
            </w:r>
          </w:p>
        </w:tc>
        <w:tc>
          <w:tcPr>
            <w:tcW w:w="0" w:type="dxa"/>
            <w:vAlign w:val="bottom"/>
          </w:tcPr>
          <w:p>
            <w:pPr>
              <w:spacing w:after="0"/>
              <w:rPr>
                <w:sz w:val="1"/>
                <w:szCs w:val="1"/>
                <w:color w:val="auto"/>
              </w:rPr>
            </w:pPr>
          </w:p>
        </w:tc>
      </w:tr>
      <w:tr>
        <w:trPr>
          <w:trHeight w:val="133"/>
        </w:trPr>
        <w:tc>
          <w:tcPr>
            <w:tcW w:w="7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2021</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2021</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Data center and other computer equipment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187,777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146,220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440"/>
              <w:spacing w:after="0"/>
              <w:rPr>
                <w:sz w:val="20"/>
                <w:szCs w:val="20"/>
                <w:color w:val="auto"/>
              </w:rPr>
            </w:pPr>
            <w:r>
              <w:rPr>
                <w:rFonts w:ascii="Arial" w:cs="Arial" w:eastAsia="Arial" w:hAnsi="Arial"/>
                <w:sz w:val="12"/>
                <w:szCs w:val="12"/>
                <w:color w:val="auto"/>
              </w:rPr>
              <w:t>Capitalized internal-use software and website development</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60,053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44,358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Leasehold improvements</w:t>
            </w: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22,302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19,733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440"/>
              <w:spacing w:after="0"/>
              <w:rPr>
                <w:sz w:val="20"/>
                <w:szCs w:val="20"/>
                <w:color w:val="auto"/>
              </w:rPr>
            </w:pPr>
            <w:r>
              <w:rPr>
                <w:rFonts w:ascii="Arial" w:cs="Arial" w:eastAsia="Arial" w:hAnsi="Arial"/>
                <w:sz w:val="12"/>
                <w:szCs w:val="12"/>
                <w:color w:val="auto"/>
              </w:rPr>
              <w:t>Purchased software</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5,266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3,211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Furniture and equipment</w:t>
            </w: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7,050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Construction in process</w:t>
            </w: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86,832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35,528</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369,280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255,548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4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Less: Accumulated depreciation and amortization</w:t>
            </w: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(127,056)</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(88,534)</w:t>
            </w:r>
          </w:p>
        </w:tc>
        <w:tc>
          <w:tcPr>
            <w:tcW w:w="0" w:type="dxa"/>
            <w:vAlign w:val="bottom"/>
          </w:tcPr>
          <w:p>
            <w:pPr>
              <w:spacing w:after="0"/>
              <w:rPr>
                <w:sz w:val="1"/>
                <w:szCs w:val="1"/>
                <w:color w:val="auto"/>
              </w:rPr>
            </w:pPr>
          </w:p>
        </w:tc>
      </w:tr>
      <w:tr>
        <w:trPr>
          <w:trHeight w:val="158"/>
        </w:trPr>
        <w:tc>
          <w:tcPr>
            <w:tcW w:w="74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2"/>
                <w:szCs w:val="12"/>
                <w:color w:val="auto"/>
              </w:rPr>
              <w:t>Property and equipment, net</w:t>
            </w: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242,224</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167,014</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Construction in process primarily includes data center equipment purchased that has not yet been placed in service. As of October 31, 2021, $75.8 million of data center equipment was purchased but not yet been placed into</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service.</w:t>
      </w:r>
    </w:p>
    <w:p>
      <w:pPr>
        <w:spacing w:after="0" w:line="141"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Depreciation and amortization expense of property and equipment was $14.5 million and $10.1 million during the three months ended October 31, 2021 and October 31, 2020, respectively, and $39.2 million and $27.7 million during the nine months ended October 31, 2021 and October 31, 2020, respectively.</w:t>
      </w:r>
    </w:p>
    <w:p>
      <w:pPr>
        <w:spacing w:after="0" w:line="115" w:lineRule="exact"/>
        <w:rPr>
          <w:sz w:val="20"/>
          <w:szCs w:val="20"/>
          <w:color w:val="auto"/>
        </w:rPr>
      </w:pPr>
    </w:p>
    <w:p>
      <w:pPr>
        <w:ind w:right="120" w:firstLine="432"/>
        <w:spacing w:after="0" w:line="326" w:lineRule="auto"/>
        <w:rPr>
          <w:sz w:val="20"/>
          <w:szCs w:val="20"/>
          <w:color w:val="auto"/>
        </w:rPr>
      </w:pPr>
      <w:r>
        <w:rPr>
          <w:rFonts w:ascii="Arial" w:cs="Arial" w:eastAsia="Arial" w:hAnsi="Arial"/>
          <w:sz w:val="10"/>
          <w:szCs w:val="10"/>
          <w:color w:val="auto"/>
        </w:rPr>
        <w:t>There was no impairment of website and internal-use software during the three and nine months ended October 31, 2021 and October 31, 2020. The Company capitalized $9.0 million and $3.5 million in website and internal-use software during the three months ended October 31, 2021 and October 31, 2020, and $22.8 million and $8.2 million during the nine months ended October 31, 2021 and October 31, 2020, respectively. Amortization expense associated with website and internal-use software totaled $3.3 million and $1.9 million during the three months ended October 31, 2021 and October 31, 2020, respectively, and $8.6 million and $5.6 million during the nine months ended October 31, 2021 and October 31, 2020, respectively. The net book value of capitalized website and internal-use software was $34.5 million and $20.1 million as of October 31, 2021 and January 31, 2021,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5" w:name="page16"/>
    <w:bookmarkEnd w:id="15"/>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Intangible Assets, Net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Total intangible assets, net consisted of the following (dollar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vMerge w:val="restart"/>
          </w:tcPr>
          <w:p>
            <w:pPr>
              <w:jc w:val="center"/>
              <w:ind w:right="360"/>
              <w:spacing w:after="0"/>
              <w:rPr>
                <w:sz w:val="20"/>
                <w:szCs w:val="20"/>
                <w:color w:val="auto"/>
              </w:rPr>
            </w:pPr>
            <w:r>
              <w:rPr>
                <w:rFonts w:ascii="Arial" w:cs="Arial" w:eastAsia="Arial" w:hAnsi="Arial"/>
                <w:sz w:val="10"/>
                <w:szCs w:val="10"/>
                <w:b w:val="1"/>
                <w:bCs w:val="1"/>
                <w:color w:val="auto"/>
                <w:w w:val="87"/>
              </w:rPr>
              <w:t>October 31, 2021</w:t>
            </w: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Weighted-Average</w:t>
            </w:r>
          </w:p>
        </w:tc>
        <w:tc>
          <w:tcPr>
            <w:tcW w:w="0" w:type="dxa"/>
            <w:vAlign w:val="bottom"/>
          </w:tcPr>
          <w:p>
            <w:pPr>
              <w:spacing w:after="0"/>
              <w:rPr>
                <w:sz w:val="1"/>
                <w:szCs w:val="1"/>
                <w:color w:val="auto"/>
              </w:rPr>
            </w:pPr>
          </w:p>
        </w:tc>
      </w:tr>
      <w:tr>
        <w:trPr>
          <w:trHeight w:val="90"/>
        </w:trPr>
        <w:tc>
          <w:tcPr>
            <w:tcW w:w="42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gridSpan w:val="4"/>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2"/>
          </w:tcPr>
          <w:p>
            <w:pPr>
              <w:jc w:val="center"/>
              <w:ind w:right="40"/>
              <w:spacing w:after="0" w:line="70" w:lineRule="exact"/>
              <w:rPr>
                <w:sz w:val="20"/>
                <w:szCs w:val="20"/>
                <w:color w:val="auto"/>
              </w:rPr>
            </w:pPr>
            <w:r>
              <w:rPr>
                <w:rFonts w:ascii="Arial" w:cs="Arial" w:eastAsia="Arial" w:hAnsi="Arial"/>
                <w:sz w:val="8"/>
                <w:szCs w:val="8"/>
                <w:b w:val="1"/>
                <w:bCs w:val="1"/>
                <w:color w:val="auto"/>
              </w:rPr>
              <w:t>Remaining</w:t>
            </w: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2260" w:type="dxa"/>
            <w:vAlign w:val="bottom"/>
            <w:gridSpan w:val="5"/>
            <w:vMerge w:val="restart"/>
          </w:tcPr>
          <w:p>
            <w:pPr>
              <w:jc w:val="right"/>
              <w:ind w:right="640"/>
              <w:spacing w:after="0"/>
              <w:rPr>
                <w:sz w:val="20"/>
                <w:szCs w:val="20"/>
                <w:color w:val="auto"/>
              </w:rPr>
            </w:pPr>
            <w:r>
              <w:rPr>
                <w:rFonts w:ascii="Arial" w:cs="Arial" w:eastAsia="Arial" w:hAnsi="Arial"/>
                <w:sz w:val="10"/>
                <w:szCs w:val="10"/>
                <w:b w:val="1"/>
                <w:bCs w:val="1"/>
                <w:color w:val="auto"/>
              </w:rPr>
              <w:t>Gross Carrying Amount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4"/>
            <w:vMerge w:val="restart"/>
          </w:tcPr>
          <w:p>
            <w:pPr>
              <w:jc w:val="center"/>
              <w:ind w:right="360"/>
              <w:spacing w:after="0"/>
              <w:rPr>
                <w:sz w:val="20"/>
                <w:szCs w:val="20"/>
                <w:color w:val="auto"/>
              </w:rPr>
            </w:pPr>
            <w:r>
              <w:rPr>
                <w:rFonts w:ascii="Arial" w:cs="Arial" w:eastAsia="Arial" w:hAnsi="Arial"/>
                <w:sz w:val="10"/>
                <w:szCs w:val="10"/>
                <w:b w:val="1"/>
                <w:bCs w:val="1"/>
                <w:color w:val="auto"/>
                <w:w w:val="86"/>
              </w:rPr>
              <w:t>Accumulated Amortization</w:t>
            </w:r>
          </w:p>
        </w:tc>
        <w:tc>
          <w:tcPr>
            <w:tcW w:w="420" w:type="dxa"/>
            <w:vAlign w:val="bottom"/>
          </w:tcPr>
          <w:p>
            <w:pPr>
              <w:spacing w:after="0"/>
              <w:rPr>
                <w:sz w:val="6"/>
                <w:szCs w:val="6"/>
                <w:color w:val="auto"/>
              </w:rPr>
            </w:pPr>
          </w:p>
        </w:tc>
        <w:tc>
          <w:tcPr>
            <w:tcW w:w="1220" w:type="dxa"/>
            <w:vAlign w:val="bottom"/>
            <w:gridSpan w:val="3"/>
            <w:vMerge w:val="restart"/>
          </w:tcPr>
          <w:p>
            <w:pPr>
              <w:ind w:left="280"/>
              <w:spacing w:after="0"/>
              <w:rPr>
                <w:sz w:val="20"/>
                <w:szCs w:val="20"/>
                <w:color w:val="auto"/>
              </w:rPr>
            </w:pPr>
            <w:r>
              <w:rPr>
                <w:rFonts w:ascii="Arial" w:cs="Arial" w:eastAsia="Arial" w:hAnsi="Arial"/>
                <w:sz w:val="10"/>
                <w:szCs w:val="10"/>
                <w:b w:val="1"/>
                <w:bCs w:val="1"/>
                <w:color w:val="auto"/>
              </w:rPr>
              <w:t>Net Amount</w:t>
            </w:r>
          </w:p>
        </w:tc>
        <w:tc>
          <w:tcPr>
            <w:tcW w:w="100" w:type="dxa"/>
            <w:vAlign w:val="bottom"/>
          </w:tcPr>
          <w:p>
            <w:pPr>
              <w:spacing w:after="0"/>
              <w:rPr>
                <w:sz w:val="6"/>
                <w:szCs w:val="6"/>
                <w:color w:val="auto"/>
              </w:rPr>
            </w:pPr>
          </w:p>
        </w:tc>
        <w:tc>
          <w:tcPr>
            <w:tcW w:w="1400" w:type="dxa"/>
            <w:vAlign w:val="bottom"/>
            <w:gridSpan w:val="2"/>
          </w:tcPr>
          <w:p>
            <w:pPr>
              <w:jc w:val="center"/>
              <w:ind w:right="20"/>
              <w:spacing w:after="0" w:line="70" w:lineRule="exact"/>
              <w:rPr>
                <w:sz w:val="20"/>
                <w:szCs w:val="20"/>
                <w:color w:val="auto"/>
              </w:rPr>
            </w:pPr>
            <w:r>
              <w:rPr>
                <w:rFonts w:ascii="Arial" w:cs="Arial" w:eastAsia="Arial" w:hAnsi="Arial"/>
                <w:sz w:val="8"/>
                <w:szCs w:val="8"/>
                <w:b w:val="1"/>
                <w:bCs w:val="1"/>
                <w:color w:val="auto"/>
              </w:rPr>
              <w:t>Useful</w:t>
            </w: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2260" w:type="dxa"/>
            <w:vAlign w:val="bottom"/>
            <w:tcBorders>
              <w:bottom w:val="single" w:sz="8" w:color="auto"/>
            </w:tcBorders>
            <w:gridSpan w:val="5"/>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4"/>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9"/>
              </w:rPr>
              <w:t>Life</w:t>
            </w:r>
          </w:p>
        </w:tc>
        <w:tc>
          <w:tcPr>
            <w:tcW w:w="0" w:type="dxa"/>
            <w:vAlign w:val="bottom"/>
          </w:tcPr>
          <w:p>
            <w:pPr>
              <w:spacing w:after="0"/>
              <w:rPr>
                <w:sz w:val="1"/>
                <w:szCs w:val="1"/>
                <w:color w:val="auto"/>
              </w:rPr>
            </w:pPr>
          </w:p>
        </w:tc>
      </w:tr>
      <w:tr>
        <w:trPr>
          <w:trHeight w:val="115"/>
        </w:trPr>
        <w:tc>
          <w:tcPr>
            <w:tcW w:w="4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(in months)</w:t>
            </w:r>
          </w:p>
        </w:tc>
        <w:tc>
          <w:tcPr>
            <w:tcW w:w="0" w:type="dxa"/>
            <w:vAlign w:val="bottom"/>
          </w:tcPr>
          <w:p>
            <w:pPr>
              <w:spacing w:after="0"/>
              <w:rPr>
                <w:sz w:val="1"/>
                <w:szCs w:val="1"/>
                <w:color w:val="auto"/>
              </w:rPr>
            </w:pPr>
          </w:p>
        </w:tc>
      </w:tr>
      <w:tr>
        <w:trPr>
          <w:trHeight w:val="154"/>
        </w:trPr>
        <w:tc>
          <w:tcPr>
            <w:tcW w:w="42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Developed technology</w:t>
            </w: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82,396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8,822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73,574</w:t>
            </w:r>
          </w:p>
        </w:tc>
        <w:tc>
          <w:tcPr>
            <w:tcW w:w="40" w:type="dxa"/>
            <w:vAlign w:val="bottom"/>
            <w:shd w:val="clear" w:color="auto" w:fill="CCEEFF"/>
          </w:tcPr>
          <w:p>
            <w:pPr>
              <w:spacing w:after="0"/>
              <w:rPr>
                <w:sz w:val="13"/>
                <w:szCs w:val="13"/>
                <w:color w:val="auto"/>
              </w:rPr>
            </w:pP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53"/>
        </w:trPr>
        <w:tc>
          <w:tcPr>
            <w:tcW w:w="4220" w:type="dxa"/>
            <w:vAlign w:val="bottom"/>
          </w:tcPr>
          <w:p>
            <w:pPr>
              <w:ind w:left="440"/>
              <w:spacing w:after="0"/>
              <w:rPr>
                <w:sz w:val="20"/>
                <w:szCs w:val="20"/>
                <w:color w:val="auto"/>
              </w:rPr>
            </w:pPr>
            <w:r>
              <w:rPr>
                <w:rFonts w:ascii="Arial" w:cs="Arial" w:eastAsia="Arial" w:hAnsi="Arial"/>
                <w:sz w:val="12"/>
                <w:szCs w:val="12"/>
                <w:color w:val="auto"/>
              </w:rPr>
              <w:t>Customer relationships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9,068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4"/>
              <w:spacing w:after="0"/>
              <w:rPr>
                <w:sz w:val="20"/>
                <w:szCs w:val="20"/>
                <w:color w:val="auto"/>
              </w:rPr>
            </w:pPr>
            <w:r>
              <w:rPr>
                <w:rFonts w:ascii="Arial" w:cs="Arial" w:eastAsia="Arial" w:hAnsi="Arial"/>
                <w:sz w:val="12"/>
                <w:szCs w:val="12"/>
                <w:color w:val="auto"/>
              </w:rPr>
              <w:t>1,556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7,512</w:t>
            </w:r>
          </w:p>
        </w:tc>
        <w:tc>
          <w:tcPr>
            <w:tcW w:w="40" w:type="dxa"/>
            <w:vAlign w:val="bottom"/>
          </w:tcPr>
          <w:p>
            <w:pPr>
              <w:spacing w:after="0"/>
              <w:rPr>
                <w:sz w:val="13"/>
                <w:szCs w:val="13"/>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Other acquired intangible assets</w:t>
            </w:r>
          </w:p>
        </w:tc>
        <w:tc>
          <w:tcPr>
            <w:tcW w:w="7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2,401</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617</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1,784</w:t>
            </w:r>
          </w:p>
        </w:tc>
        <w:tc>
          <w:tcPr>
            <w:tcW w:w="40" w:type="dxa"/>
            <w:vAlign w:val="bottom"/>
            <w:tcBorders>
              <w:bottom w:val="single" w:sz="8" w:color="auto"/>
            </w:tcBorders>
            <w:shd w:val="clear" w:color="auto" w:fill="CCEEFF"/>
          </w:tcPr>
          <w:p>
            <w:pPr>
              <w:spacing w:after="0"/>
              <w:rPr>
                <w:sz w:val="13"/>
                <w:szCs w:val="13"/>
                <w:color w:val="auto"/>
              </w:rPr>
            </w:pP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42"/>
        </w:trPr>
        <w:tc>
          <w:tcPr>
            <w:tcW w:w="4220" w:type="dxa"/>
            <w:vAlign w:val="bottom"/>
          </w:tcPr>
          <w:p>
            <w:pPr>
              <w:ind w:left="580"/>
              <w:spacing w:after="0"/>
              <w:rPr>
                <w:sz w:val="20"/>
                <w:szCs w:val="20"/>
                <w:color w:val="auto"/>
              </w:rPr>
            </w:pPr>
            <w:r>
              <w:rPr>
                <w:rFonts w:ascii="Arial" w:cs="Arial" w:eastAsia="Arial" w:hAnsi="Arial"/>
                <w:sz w:val="12"/>
                <w:szCs w:val="12"/>
                <w:color w:val="auto"/>
              </w:rPr>
              <w:t>Total</w:t>
            </w:r>
          </w:p>
        </w:tc>
        <w:tc>
          <w:tcPr>
            <w:tcW w:w="74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93,865</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10,995</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82,870</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86"/>
              </w:rPr>
              <w:t>Weighted-Average</w:t>
            </w:r>
          </w:p>
        </w:tc>
        <w:tc>
          <w:tcPr>
            <w:tcW w:w="0" w:type="dxa"/>
            <w:vAlign w:val="bottom"/>
          </w:tcPr>
          <w:p>
            <w:pPr>
              <w:spacing w:after="0" w:line="20" w:lineRule="exact"/>
              <w:rPr>
                <w:sz w:val="1"/>
                <w:szCs w:val="1"/>
                <w:color w:val="auto"/>
              </w:rPr>
            </w:pPr>
          </w:p>
        </w:tc>
      </w:tr>
      <w:tr>
        <w:trPr>
          <w:trHeight w:val="318"/>
        </w:trPr>
        <w:tc>
          <w:tcPr>
            <w:tcW w:w="4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vMerge w:val="restart"/>
          </w:tcPr>
          <w:p>
            <w:pPr>
              <w:ind w:left="300"/>
              <w:spacing w:after="0"/>
              <w:rPr>
                <w:sz w:val="20"/>
                <w:szCs w:val="20"/>
                <w:color w:val="auto"/>
              </w:rPr>
            </w:pPr>
            <w:r>
              <w:rPr>
                <w:rFonts w:ascii="Arial" w:cs="Arial" w:eastAsia="Arial" w:hAnsi="Arial"/>
                <w:sz w:val="10"/>
                <w:szCs w:val="10"/>
                <w:b w:val="1"/>
                <w:bCs w:val="1"/>
                <w:color w:val="auto"/>
              </w:rPr>
              <w:t>January 31, 2021</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gridSpan w:val="4"/>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2"/>
          </w:tcPr>
          <w:p>
            <w:pPr>
              <w:jc w:val="center"/>
              <w:ind w:right="180"/>
              <w:spacing w:after="0" w:line="70" w:lineRule="exact"/>
              <w:rPr>
                <w:sz w:val="20"/>
                <w:szCs w:val="20"/>
                <w:color w:val="auto"/>
              </w:rPr>
            </w:pPr>
            <w:r>
              <w:rPr>
                <w:rFonts w:ascii="Arial" w:cs="Arial" w:eastAsia="Arial" w:hAnsi="Arial"/>
                <w:sz w:val="8"/>
                <w:szCs w:val="8"/>
                <w:b w:val="1"/>
                <w:bCs w:val="1"/>
                <w:color w:val="auto"/>
              </w:rPr>
              <w:t>Remaining</w:t>
            </w: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gridSpan w:val="3"/>
            <w:vMerge w:val="restart"/>
          </w:tcPr>
          <w:p>
            <w:pPr>
              <w:jc w:val="right"/>
              <w:ind w:right="260"/>
              <w:spacing w:after="0"/>
              <w:rPr>
                <w:sz w:val="20"/>
                <w:szCs w:val="20"/>
                <w:color w:val="auto"/>
              </w:rPr>
            </w:pPr>
            <w:r>
              <w:rPr>
                <w:rFonts w:ascii="Arial" w:cs="Arial" w:eastAsia="Arial" w:hAnsi="Arial"/>
                <w:sz w:val="10"/>
                <w:szCs w:val="10"/>
                <w:b w:val="1"/>
                <w:bCs w:val="1"/>
                <w:color w:val="auto"/>
                <w:w w:val="95"/>
              </w:rPr>
              <w:t>Gross Carrying Amount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gridSpan w:val="3"/>
            <w:vMerge w:val="restart"/>
          </w:tcPr>
          <w:p>
            <w:pPr>
              <w:jc w:val="right"/>
              <w:ind w:right="200"/>
              <w:spacing w:after="0"/>
              <w:rPr>
                <w:sz w:val="20"/>
                <w:szCs w:val="20"/>
                <w:color w:val="auto"/>
              </w:rPr>
            </w:pPr>
            <w:r>
              <w:rPr>
                <w:rFonts w:ascii="Arial" w:cs="Arial" w:eastAsia="Arial" w:hAnsi="Arial"/>
                <w:sz w:val="10"/>
                <w:szCs w:val="10"/>
                <w:b w:val="1"/>
                <w:bCs w:val="1"/>
                <w:color w:val="auto"/>
                <w:w w:val="94"/>
              </w:rPr>
              <w:t>Accumulated Amortization</w:t>
            </w:r>
          </w:p>
        </w:tc>
        <w:tc>
          <w:tcPr>
            <w:tcW w:w="80" w:type="dxa"/>
            <w:vAlign w:val="bottom"/>
            <w:vMerge w:val="restart"/>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vMerge w:val="restart"/>
          </w:tcPr>
          <w:p>
            <w:pPr>
              <w:jc w:val="right"/>
              <w:ind w:right="442"/>
              <w:spacing w:after="0"/>
              <w:rPr>
                <w:sz w:val="20"/>
                <w:szCs w:val="20"/>
                <w:color w:val="auto"/>
              </w:rPr>
            </w:pPr>
            <w:r>
              <w:rPr>
                <w:rFonts w:ascii="Arial" w:cs="Arial" w:eastAsia="Arial" w:hAnsi="Arial"/>
                <w:sz w:val="10"/>
                <w:szCs w:val="10"/>
                <w:b w:val="1"/>
                <w:bCs w:val="1"/>
                <w:color w:val="auto"/>
              </w:rPr>
              <w:t>Net Amount</w:t>
            </w: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gridSpan w:val="2"/>
          </w:tcPr>
          <w:p>
            <w:pPr>
              <w:jc w:val="center"/>
              <w:ind w:right="140"/>
              <w:spacing w:after="0" w:line="70" w:lineRule="exact"/>
              <w:rPr>
                <w:sz w:val="20"/>
                <w:szCs w:val="20"/>
                <w:color w:val="auto"/>
              </w:rPr>
            </w:pPr>
            <w:r>
              <w:rPr>
                <w:rFonts w:ascii="Arial" w:cs="Arial" w:eastAsia="Arial" w:hAnsi="Arial"/>
                <w:sz w:val="8"/>
                <w:szCs w:val="8"/>
                <w:b w:val="1"/>
                <w:bCs w:val="1"/>
                <w:color w:val="auto"/>
              </w:rPr>
              <w:t>Useful</w:t>
            </w: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center"/>
              <w:ind w:right="94"/>
              <w:spacing w:after="0"/>
              <w:rPr>
                <w:sz w:val="20"/>
                <w:szCs w:val="20"/>
                <w:color w:val="auto"/>
              </w:rPr>
            </w:pPr>
            <w:r>
              <w:rPr>
                <w:rFonts w:ascii="Arial" w:cs="Arial" w:eastAsia="Arial" w:hAnsi="Arial"/>
                <w:sz w:val="10"/>
                <w:szCs w:val="10"/>
                <w:b w:val="1"/>
                <w:bCs w:val="1"/>
                <w:color w:val="auto"/>
                <w:w w:val="89"/>
              </w:rPr>
              <w:t>Life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(in months)</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Developed technology</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14,513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2,193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12,320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Customer relationships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2"/>
                <w:szCs w:val="12"/>
                <w:color w:val="auto"/>
              </w:rPr>
              <w:t>3,769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2"/>
                <w:szCs w:val="12"/>
                <w:color w:val="auto"/>
              </w:rPr>
              <w:t>649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3,120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2"/>
                <w:szCs w:val="12"/>
                <w:color w:val="auto"/>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Other acquired intangible assets</w:t>
            </w:r>
          </w:p>
        </w:tc>
        <w:tc>
          <w:tcPr>
            <w:tcW w:w="7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399</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162</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237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20" w:type="dxa"/>
            <w:vAlign w:val="bottom"/>
          </w:tcPr>
          <w:p>
            <w:pPr>
              <w:ind w:left="160"/>
              <w:spacing w:after="0"/>
              <w:rPr>
                <w:sz w:val="20"/>
                <w:szCs w:val="20"/>
                <w:color w:val="auto"/>
              </w:rPr>
            </w:pPr>
            <w:r>
              <w:rPr>
                <w:rFonts w:ascii="Arial" w:cs="Arial" w:eastAsia="Arial" w:hAnsi="Arial"/>
                <w:sz w:val="12"/>
                <w:szCs w:val="12"/>
                <w:color w:val="auto"/>
              </w:rPr>
              <w:t>Total</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2"/>
                <w:szCs w:val="12"/>
                <w:color w:val="auto"/>
              </w:rPr>
              <w:t>18,681</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20" w:type="dxa"/>
            <w:vAlign w:val="bottom"/>
            <w:gridSpan w:val="3"/>
          </w:tcPr>
          <w:p>
            <w:pPr>
              <w:jc w:val="right"/>
              <w:ind w:right="60"/>
              <w:spacing w:after="0"/>
              <w:rPr>
                <w:sz w:val="20"/>
                <w:szCs w:val="20"/>
                <w:color w:val="auto"/>
              </w:rPr>
            </w:pPr>
            <w:r>
              <w:rPr>
                <w:rFonts w:ascii="Arial" w:cs="Arial" w:eastAsia="Arial" w:hAnsi="Arial"/>
                <w:sz w:val="12"/>
                <w:szCs w:val="12"/>
                <w:color w:val="auto"/>
              </w:rPr>
              <w:t>3,004</w:t>
            </w:r>
          </w:p>
        </w:tc>
        <w:tc>
          <w:tcPr>
            <w:tcW w:w="80" w:type="dxa"/>
            <w:vAlign w:val="bottom"/>
          </w:tcPr>
          <w:p>
            <w:pPr>
              <w:spacing w:after="0"/>
              <w:rPr>
                <w:sz w:val="12"/>
                <w:szCs w:val="12"/>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15,677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right="220" w:firstLine="432"/>
        <w:spacing w:after="0" w:line="340" w:lineRule="auto"/>
        <w:rPr>
          <w:sz w:val="20"/>
          <w:szCs w:val="20"/>
          <w:color w:val="auto"/>
        </w:rPr>
      </w:pPr>
      <w:r>
        <w:rPr>
          <w:rFonts w:ascii="Arial" w:cs="Arial" w:eastAsia="Arial" w:hAnsi="Arial"/>
          <w:sz w:val="10"/>
          <w:szCs w:val="10"/>
          <w:color w:val="auto"/>
        </w:rPr>
        <w:t>Amortization of developed technology and customer relationships are recorded within cost of revenue and sales and marketing expense, respectively, in the condensed consolidated statements of operations. Other acquired intangibles are recorded within cost of revenue, research and development expense and general and administrative expense in the condensed consolidated statements of operations. Amortization expense of intangible assets was $3.4 million and $0.4 million during the three months ended October 31, 2021 and October 31, 2020, and $9.1 million and $0.6 million during the nine months ended October 31, 2021 and October 31, 2020, respectively.</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estimated aggregate future amortization expense of intangible assets as of October 31, 2021 is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94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Total</w:t>
            </w:r>
          </w:p>
        </w:tc>
      </w:tr>
      <w:tr>
        <w:trPr>
          <w:trHeight w:val="16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2022 (remaining three months)</w:t>
            </w:r>
          </w:p>
        </w:tc>
        <w:tc>
          <w:tcPr>
            <w:tcW w:w="7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3,323</w:t>
            </w:r>
          </w:p>
        </w:tc>
      </w:tr>
      <w:tr>
        <w:trPr>
          <w:trHeight w:val="153"/>
        </w:trPr>
        <w:tc>
          <w:tcPr>
            <w:tcW w:w="9400" w:type="dxa"/>
            <w:vAlign w:val="bottom"/>
          </w:tcPr>
          <w:p>
            <w:pPr>
              <w:ind w:left="440"/>
              <w:spacing w:after="0"/>
              <w:rPr>
                <w:sz w:val="20"/>
                <w:szCs w:val="20"/>
                <w:color w:val="auto"/>
              </w:rPr>
            </w:pPr>
            <w:r>
              <w:rPr>
                <w:rFonts w:ascii="Arial" w:cs="Arial" w:eastAsia="Arial" w:hAnsi="Arial"/>
                <w:sz w:val="12"/>
                <w:szCs w:val="12"/>
                <w:color w:val="auto"/>
              </w:rPr>
              <w:t>Fiscal 2023</w:t>
            </w:r>
          </w:p>
        </w:tc>
        <w:tc>
          <w:tcPr>
            <w:tcW w:w="78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13,253</w:t>
            </w: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2024</w:t>
            </w:r>
          </w:p>
        </w:tc>
        <w:tc>
          <w:tcPr>
            <w:tcW w:w="7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12,558</w:t>
            </w:r>
          </w:p>
        </w:tc>
      </w:tr>
      <w:tr>
        <w:trPr>
          <w:trHeight w:val="153"/>
        </w:trPr>
        <w:tc>
          <w:tcPr>
            <w:tcW w:w="9400" w:type="dxa"/>
            <w:vAlign w:val="bottom"/>
          </w:tcPr>
          <w:p>
            <w:pPr>
              <w:ind w:left="440"/>
              <w:spacing w:after="0"/>
              <w:rPr>
                <w:sz w:val="20"/>
                <w:szCs w:val="20"/>
                <w:color w:val="auto"/>
              </w:rPr>
            </w:pPr>
            <w:r>
              <w:rPr>
                <w:rFonts w:ascii="Arial" w:cs="Arial" w:eastAsia="Arial" w:hAnsi="Arial"/>
                <w:sz w:val="12"/>
                <w:szCs w:val="12"/>
                <w:color w:val="auto"/>
              </w:rPr>
              <w:t>Fiscal 2025</w:t>
            </w:r>
          </w:p>
        </w:tc>
        <w:tc>
          <w:tcPr>
            <w:tcW w:w="78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12,474</w:t>
            </w: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2026</w:t>
            </w:r>
          </w:p>
        </w:tc>
        <w:tc>
          <w:tcPr>
            <w:tcW w:w="7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11,387</w:t>
            </w:r>
          </w:p>
        </w:tc>
      </w:tr>
      <w:tr>
        <w:trPr>
          <w:trHeight w:val="153"/>
        </w:trPr>
        <w:tc>
          <w:tcPr>
            <w:tcW w:w="94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Thereafter</w:t>
            </w: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29,875</w:t>
            </w:r>
          </w:p>
        </w:tc>
      </w:tr>
      <w:tr>
        <w:trPr>
          <w:trHeight w:val="158"/>
        </w:trPr>
        <w:tc>
          <w:tcPr>
            <w:tcW w:w="94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2"/>
                <w:szCs w:val="12"/>
                <w:color w:val="auto"/>
              </w:rPr>
              <w:t>Total amortization expense</w:t>
            </w:r>
          </w:p>
        </w:tc>
        <w:tc>
          <w:tcPr>
            <w:tcW w:w="7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82,870</w:t>
            </w:r>
          </w:p>
        </w:tc>
      </w:tr>
    </w:tbl>
    <w:p>
      <w:pPr>
        <w:spacing w:after="0" w:line="18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developed technology, customer relationships, and other acquired intangible assets are amortized over their estimated useful lives, generally on a straight-line basis for periods ranging from 2 to 20 years.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Goodwill</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changes in goodwill during the nine months ended October 31, 2021 consisted of the following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4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Amounts</w:t>
            </w:r>
          </w:p>
        </w:tc>
      </w:tr>
      <w:tr>
        <w:trPr>
          <w:trHeight w:val="20"/>
        </w:trPr>
        <w:tc>
          <w:tcPr>
            <w:tcW w:w="9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Goodwill as of January 31, 2021</w:t>
            </w:r>
          </w:p>
        </w:tc>
        <w:tc>
          <w:tcPr>
            <w:tcW w:w="7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83,566</w:t>
            </w:r>
          </w:p>
        </w:tc>
      </w:tr>
      <w:tr>
        <w:trPr>
          <w:trHeight w:val="153"/>
        </w:trPr>
        <w:tc>
          <w:tcPr>
            <w:tcW w:w="9400" w:type="dxa"/>
            <w:vAlign w:val="bottom"/>
          </w:tcPr>
          <w:p>
            <w:pPr>
              <w:ind w:left="500"/>
              <w:spacing w:after="0" w:line="153" w:lineRule="exact"/>
              <w:rPr>
                <w:sz w:val="20"/>
                <w:szCs w:val="20"/>
                <w:color w:val="auto"/>
              </w:rPr>
            </w:pPr>
            <w:r>
              <w:rPr>
                <w:rFonts w:ascii="Arial" w:cs="Arial" w:eastAsia="Arial" w:hAnsi="Arial"/>
                <w:sz w:val="12"/>
                <w:szCs w:val="12"/>
                <w:color w:val="auto"/>
              </w:rPr>
              <w:t>Goodwill acquired</w:t>
            </w:r>
            <w:r>
              <w:rPr>
                <w:rFonts w:ascii="Arial" w:cs="Arial" w:eastAsia="Arial" w:hAnsi="Arial"/>
                <w:sz w:val="15"/>
                <w:szCs w:val="15"/>
                <w:color w:val="auto"/>
                <w:vertAlign w:val="superscript"/>
              </w:rPr>
              <w:t>(1)</w:t>
            </w:r>
          </w:p>
        </w:tc>
        <w:tc>
          <w:tcPr>
            <w:tcW w:w="740" w:type="dxa"/>
            <w:vAlign w:val="bottom"/>
          </w:tcPr>
          <w:p>
            <w:pPr>
              <w:spacing w:after="0"/>
              <w:rPr>
                <w:sz w:val="13"/>
                <w:szCs w:val="13"/>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291,273</w:t>
            </w:r>
          </w:p>
        </w:tc>
      </w:tr>
      <w:tr>
        <w:trPr>
          <w:trHeight w:val="153"/>
        </w:trPr>
        <w:tc>
          <w:tcPr>
            <w:tcW w:w="94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Foreign currency translation</w:t>
            </w:r>
          </w:p>
        </w:tc>
        <w:tc>
          <w:tcPr>
            <w:tcW w:w="7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(950)</w:t>
            </w:r>
          </w:p>
        </w:tc>
      </w:tr>
      <w:tr>
        <w:trPr>
          <w:trHeight w:val="142"/>
        </w:trPr>
        <w:tc>
          <w:tcPr>
            <w:tcW w:w="9400" w:type="dxa"/>
            <w:vAlign w:val="bottom"/>
          </w:tcPr>
          <w:p>
            <w:pPr>
              <w:ind w:left="440"/>
              <w:spacing w:after="0"/>
              <w:rPr>
                <w:sz w:val="20"/>
                <w:szCs w:val="20"/>
                <w:color w:val="auto"/>
              </w:rPr>
            </w:pPr>
            <w:r>
              <w:rPr>
                <w:rFonts w:ascii="Arial" w:cs="Arial" w:eastAsia="Arial" w:hAnsi="Arial"/>
                <w:sz w:val="12"/>
                <w:szCs w:val="12"/>
                <w:color w:val="auto"/>
              </w:rPr>
              <w:t>Goodwill as of October 31, 2021</w:t>
            </w: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373,889</w:t>
            </w:r>
          </w:p>
        </w:tc>
      </w:tr>
      <w:tr>
        <w:trPr>
          <w:trHeight w:val="20"/>
        </w:trPr>
        <w:tc>
          <w:tcPr>
            <w:tcW w:w="9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__________________________________</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6" w:name="page17"/>
    <w:bookmarkEnd w:id="16"/>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860" w:hanging="436"/>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Goodwill acquired resulted from the acquisition of Humio. Refer to Note 12 for additional information.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Other Assets, Noncurrent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assets, noncurrent consisted of the following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jc w:val="right"/>
              <w:ind w:right="84"/>
              <w:spacing w:after="0"/>
              <w:rPr>
                <w:sz w:val="20"/>
                <w:szCs w:val="20"/>
                <w:color w:val="auto"/>
              </w:rPr>
            </w:pPr>
            <w:r>
              <w:rPr>
                <w:rFonts w:ascii="Arial" w:cs="Arial" w:eastAsia="Arial" w:hAnsi="Arial"/>
                <w:sz w:val="10"/>
                <w:szCs w:val="10"/>
                <w:b w:val="1"/>
                <w:bCs w:val="1"/>
                <w:color w:val="auto"/>
              </w:rPr>
              <w:t>October 31,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jc w:val="right"/>
              <w:ind w:right="463"/>
              <w:spacing w:after="0"/>
              <w:rPr>
                <w:sz w:val="20"/>
                <w:szCs w:val="20"/>
                <w:color w:val="auto"/>
              </w:rPr>
            </w:pPr>
            <w:r>
              <w:rPr>
                <w:rFonts w:ascii="Arial" w:cs="Arial" w:eastAsia="Arial" w:hAnsi="Arial"/>
                <w:sz w:val="10"/>
                <w:szCs w:val="10"/>
                <w:b w:val="1"/>
                <w:bCs w:val="1"/>
                <w:color w:val="auto"/>
              </w:rPr>
              <w:t>January 31,</w:t>
            </w:r>
          </w:p>
        </w:tc>
      </w:tr>
      <w:tr>
        <w:trPr>
          <w:trHeight w:val="133"/>
        </w:trPr>
        <w:tc>
          <w:tcPr>
            <w:tcW w:w="7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Borders>
              <w:bottom w:val="single" w:sz="8" w:color="auto"/>
            </w:tcBorders>
          </w:tcPr>
          <w:p>
            <w:pPr>
              <w:jc w:val="right"/>
              <w:ind w:right="224"/>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2021</w:t>
            </w:r>
          </w:p>
        </w:tc>
      </w:tr>
      <w:tr>
        <w:trPr>
          <w:trHeight w:val="162"/>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Other assets, noncurrent</w:t>
            </w:r>
          </w:p>
        </w:tc>
        <w:tc>
          <w:tcPr>
            <w:tcW w:w="6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04"/>
              <w:spacing w:after="0"/>
              <w:rPr>
                <w:sz w:val="20"/>
                <w:szCs w:val="20"/>
                <w:color w:val="auto"/>
              </w:rPr>
            </w:pPr>
            <w:r>
              <w:rPr>
                <w:rFonts w:ascii="Arial" w:cs="Arial" w:eastAsia="Arial" w:hAnsi="Arial"/>
                <w:sz w:val="12"/>
                <w:szCs w:val="12"/>
                <w:color w:val="auto"/>
                <w:w w:val="89"/>
              </w:rPr>
              <w:t>$</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w w:val="81"/>
              </w:rPr>
              <w:t>11,441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8,627</w:t>
            </w:r>
          </w:p>
        </w:tc>
      </w:tr>
      <w:tr>
        <w:trPr>
          <w:trHeight w:val="153"/>
        </w:trPr>
        <w:tc>
          <w:tcPr>
            <w:tcW w:w="7500" w:type="dxa"/>
            <w:vAlign w:val="bottom"/>
          </w:tcPr>
          <w:p>
            <w:pPr>
              <w:spacing w:after="0"/>
              <w:rPr>
                <w:sz w:val="20"/>
                <w:szCs w:val="20"/>
                <w:color w:val="auto"/>
              </w:rPr>
            </w:pPr>
            <w:r>
              <w:rPr>
                <w:rFonts w:ascii="Arial" w:cs="Arial" w:eastAsia="Arial" w:hAnsi="Arial"/>
                <w:sz w:val="12"/>
                <w:szCs w:val="12"/>
                <w:color w:val="auto"/>
              </w:rPr>
              <w:t>Deferred finance cost, noncurrent</w:t>
            </w: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2"/>
                <w:szCs w:val="12"/>
                <w:color w:val="auto"/>
                <w:w w:val="99"/>
              </w:rPr>
              <w:t>4,499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4,355</w:t>
            </w:r>
          </w:p>
        </w:tc>
      </w:tr>
      <w:tr>
        <w:trPr>
          <w:trHeight w:val="153"/>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 asset, noncurrent</w:t>
            </w:r>
          </w:p>
        </w:tc>
        <w:tc>
          <w:tcPr>
            <w:tcW w:w="6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w w:val="99"/>
              </w:rPr>
              <w:t>3,065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1,328</w:t>
            </w:r>
          </w:p>
        </w:tc>
      </w:tr>
      <w:tr>
        <w:trPr>
          <w:trHeight w:val="153"/>
        </w:trPr>
        <w:tc>
          <w:tcPr>
            <w:tcW w:w="75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Deposits, noncurrent</w:t>
            </w:r>
          </w:p>
        </w:tc>
        <w:tc>
          <w:tcPr>
            <w:tcW w:w="6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w w:val="99"/>
              </w:rPr>
              <w:t>2,676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2,802</w:t>
            </w:r>
          </w:p>
        </w:tc>
      </w:tr>
      <w:tr>
        <w:trPr>
          <w:trHeight w:val="162"/>
        </w:trPr>
        <w:tc>
          <w:tcPr>
            <w:tcW w:w="7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Other assets, noncurrent</w:t>
            </w:r>
          </w:p>
        </w:tc>
        <w:tc>
          <w:tcPr>
            <w:tcW w:w="6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004"/>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w w:val="81"/>
              </w:rPr>
              <w:t>21,681</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17,112</w:t>
            </w:r>
          </w:p>
        </w:tc>
      </w:tr>
      <w:tr>
        <w:trPr>
          <w:trHeight w:val="347"/>
        </w:trPr>
        <w:tc>
          <w:tcPr>
            <w:tcW w:w="7500" w:type="dxa"/>
            <w:vAlign w:val="bottom"/>
          </w:tcPr>
          <w:p>
            <w:pPr>
              <w:ind w:left="420"/>
              <w:spacing w:after="0"/>
              <w:rPr>
                <w:sz w:val="20"/>
                <w:szCs w:val="20"/>
                <w:color w:val="auto"/>
              </w:rPr>
            </w:pPr>
            <w:r>
              <w:rPr>
                <w:rFonts w:ascii="Arial" w:cs="Arial" w:eastAsia="Arial" w:hAnsi="Arial"/>
                <w:sz w:val="12"/>
                <w:szCs w:val="12"/>
                <w:b w:val="1"/>
                <w:bCs w:val="1"/>
                <w:i w:val="1"/>
                <w:iCs w:val="1"/>
                <w:color w:val="auto"/>
              </w:rPr>
              <w:t>Accrued Expenses</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7500" w:type="dxa"/>
            <w:vAlign w:val="bottom"/>
          </w:tcPr>
          <w:p>
            <w:pPr>
              <w:ind w:left="420"/>
              <w:spacing w:after="0"/>
              <w:rPr>
                <w:sz w:val="20"/>
                <w:szCs w:val="20"/>
                <w:color w:val="auto"/>
              </w:rPr>
            </w:pPr>
            <w:r>
              <w:rPr>
                <w:rFonts w:ascii="Arial" w:cs="Arial" w:eastAsia="Arial" w:hAnsi="Arial"/>
                <w:sz w:val="12"/>
                <w:szCs w:val="12"/>
                <w:color w:val="auto"/>
              </w:rPr>
              <w:t>Accrued expenses consisted of the following (in thousands):</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7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jc w:val="right"/>
              <w:ind w:right="384"/>
              <w:spacing w:after="0" w:line="108" w:lineRule="exact"/>
              <w:rPr>
                <w:sz w:val="20"/>
                <w:szCs w:val="20"/>
                <w:color w:val="auto"/>
              </w:rPr>
            </w:pPr>
            <w:r>
              <w:rPr>
                <w:rFonts w:ascii="Arial" w:cs="Arial" w:eastAsia="Arial" w:hAnsi="Arial"/>
                <w:sz w:val="10"/>
                <w:szCs w:val="10"/>
                <w:b w:val="1"/>
                <w:bCs w:val="1"/>
                <w:color w:val="auto"/>
              </w:rPr>
              <w:t>October 31,</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jc w:val="right"/>
              <w:ind w:right="423"/>
              <w:spacing w:after="0" w:line="108" w:lineRule="exact"/>
              <w:rPr>
                <w:sz w:val="20"/>
                <w:szCs w:val="20"/>
                <w:color w:val="auto"/>
              </w:rPr>
            </w:pPr>
            <w:r>
              <w:rPr>
                <w:rFonts w:ascii="Arial" w:cs="Arial" w:eastAsia="Arial" w:hAnsi="Arial"/>
                <w:sz w:val="10"/>
                <w:szCs w:val="10"/>
                <w:b w:val="1"/>
                <w:bCs w:val="1"/>
                <w:color w:val="auto"/>
              </w:rPr>
              <w:t>January 31,</w:t>
            </w:r>
          </w:p>
        </w:tc>
      </w:tr>
      <w:tr>
        <w:trPr>
          <w:trHeight w:val="133"/>
        </w:trPr>
        <w:tc>
          <w:tcPr>
            <w:tcW w:w="75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44"/>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83"/>
              <w:spacing w:after="0"/>
              <w:rPr>
                <w:sz w:val="20"/>
                <w:szCs w:val="20"/>
                <w:color w:val="auto"/>
              </w:rPr>
            </w:pPr>
            <w:r>
              <w:rPr>
                <w:rFonts w:ascii="Arial" w:cs="Arial" w:eastAsia="Arial" w:hAnsi="Arial"/>
                <w:sz w:val="10"/>
                <w:szCs w:val="10"/>
                <w:b w:val="1"/>
                <w:bCs w:val="1"/>
                <w:color w:val="auto"/>
              </w:rPr>
              <w:t>2021</w:t>
            </w:r>
          </w:p>
        </w:tc>
      </w:tr>
      <w:tr>
        <w:trPr>
          <w:trHeight w:val="162"/>
        </w:trPr>
        <w:tc>
          <w:tcPr>
            <w:tcW w:w="7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Web hosting services</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29,881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14,187</w:t>
            </w:r>
          </w:p>
        </w:tc>
      </w:tr>
      <w:tr>
        <w:trPr>
          <w:trHeight w:val="153"/>
        </w:trPr>
        <w:tc>
          <w:tcPr>
            <w:tcW w:w="7500" w:type="dxa"/>
            <w:vAlign w:val="bottom"/>
          </w:tcPr>
          <w:p>
            <w:pPr>
              <w:ind w:left="440"/>
              <w:spacing w:after="0"/>
              <w:rPr>
                <w:sz w:val="20"/>
                <w:szCs w:val="20"/>
                <w:color w:val="auto"/>
              </w:rPr>
            </w:pPr>
            <w:r>
              <w:rPr>
                <w:rFonts w:ascii="Arial" w:cs="Arial" w:eastAsia="Arial" w:hAnsi="Arial"/>
                <w:sz w:val="12"/>
                <w:szCs w:val="12"/>
                <w:color w:val="auto"/>
              </w:rPr>
              <w:t>Other accrued expenses</w:t>
            </w:r>
          </w:p>
        </w:tc>
        <w:tc>
          <w:tcPr>
            <w:tcW w:w="6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15,138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11,372</w:t>
            </w:r>
          </w:p>
        </w:tc>
      </w:tr>
      <w:tr>
        <w:trPr>
          <w:trHeight w:val="153"/>
        </w:trPr>
        <w:tc>
          <w:tcPr>
            <w:tcW w:w="7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Accrued purchases of property and equipment</w:t>
            </w:r>
          </w:p>
        </w:tc>
        <w:tc>
          <w:tcPr>
            <w:tcW w:w="6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687</w:t>
            </w:r>
          </w:p>
        </w:tc>
      </w:tr>
      <w:tr>
        <w:trPr>
          <w:trHeight w:val="153"/>
        </w:trPr>
        <w:tc>
          <w:tcPr>
            <w:tcW w:w="7500" w:type="dxa"/>
            <w:vAlign w:val="bottom"/>
          </w:tcPr>
          <w:p>
            <w:pPr>
              <w:ind w:left="440"/>
              <w:spacing w:after="0"/>
              <w:rPr>
                <w:sz w:val="20"/>
                <w:szCs w:val="20"/>
                <w:color w:val="auto"/>
              </w:rPr>
            </w:pPr>
            <w:r>
              <w:rPr>
                <w:rFonts w:ascii="Arial" w:cs="Arial" w:eastAsia="Arial" w:hAnsi="Arial"/>
                <w:sz w:val="12"/>
                <w:szCs w:val="12"/>
                <w:color w:val="auto"/>
              </w:rPr>
              <w:t>Accrued marketing</w:t>
            </w:r>
          </w:p>
        </w:tc>
        <w:tc>
          <w:tcPr>
            <w:tcW w:w="6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9,791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14,592</w:t>
            </w:r>
          </w:p>
        </w:tc>
      </w:tr>
      <w:tr>
        <w:trPr>
          <w:trHeight w:val="153"/>
        </w:trPr>
        <w:tc>
          <w:tcPr>
            <w:tcW w:w="7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Accrued legal and accounting</w:t>
            </w:r>
          </w:p>
        </w:tc>
        <w:tc>
          <w:tcPr>
            <w:tcW w:w="6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4,570</w:t>
            </w:r>
          </w:p>
        </w:tc>
      </w:tr>
      <w:tr>
        <w:trPr>
          <w:trHeight w:val="153"/>
        </w:trPr>
        <w:tc>
          <w:tcPr>
            <w:tcW w:w="75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Accrued interest expense</w:t>
            </w:r>
          </w:p>
        </w:tc>
        <w:tc>
          <w:tcPr>
            <w:tcW w:w="6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4,750</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5,709</w:t>
            </w:r>
          </w:p>
        </w:tc>
      </w:tr>
      <w:tr>
        <w:trPr>
          <w:trHeight w:val="162"/>
        </w:trPr>
        <w:tc>
          <w:tcPr>
            <w:tcW w:w="75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2"/>
                <w:szCs w:val="12"/>
                <w:color w:val="auto"/>
              </w:rPr>
              <w:t>Accrued expenses</w:t>
            </w:r>
          </w:p>
        </w:tc>
        <w:tc>
          <w:tcPr>
            <w:tcW w:w="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76,758</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51,117</w:t>
            </w:r>
          </w:p>
        </w:tc>
      </w:tr>
      <w:tr>
        <w:trPr>
          <w:trHeight w:val="347"/>
        </w:trPr>
        <w:tc>
          <w:tcPr>
            <w:tcW w:w="7500" w:type="dxa"/>
            <w:vAlign w:val="bottom"/>
          </w:tcPr>
          <w:p>
            <w:pPr>
              <w:ind w:left="420"/>
              <w:spacing w:after="0"/>
              <w:rPr>
                <w:sz w:val="20"/>
                <w:szCs w:val="20"/>
                <w:color w:val="auto"/>
              </w:rPr>
            </w:pPr>
            <w:r>
              <w:rPr>
                <w:rFonts w:ascii="Arial" w:cs="Arial" w:eastAsia="Arial" w:hAnsi="Arial"/>
                <w:sz w:val="12"/>
                <w:szCs w:val="12"/>
                <w:b w:val="1"/>
                <w:bCs w:val="1"/>
                <w:i w:val="1"/>
                <w:iCs w:val="1"/>
                <w:color w:val="auto"/>
              </w:rPr>
              <w:t>Accrued Payroll and Benefits</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7500" w:type="dxa"/>
            <w:vAlign w:val="bottom"/>
          </w:tcPr>
          <w:p>
            <w:pPr>
              <w:ind w:left="420"/>
              <w:spacing w:after="0"/>
              <w:rPr>
                <w:sz w:val="20"/>
                <w:szCs w:val="20"/>
                <w:color w:val="auto"/>
              </w:rPr>
            </w:pPr>
            <w:r>
              <w:rPr>
                <w:rFonts w:ascii="Arial" w:cs="Arial" w:eastAsia="Arial" w:hAnsi="Arial"/>
                <w:sz w:val="12"/>
                <w:szCs w:val="12"/>
                <w:color w:val="auto"/>
              </w:rPr>
              <w:t>Accrued payroll and benefits consisted of the following (in thousands):</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7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jc w:val="right"/>
              <w:ind w:right="384"/>
              <w:spacing w:after="0" w:line="108" w:lineRule="exact"/>
              <w:rPr>
                <w:sz w:val="20"/>
                <w:szCs w:val="20"/>
                <w:color w:val="auto"/>
              </w:rPr>
            </w:pPr>
            <w:r>
              <w:rPr>
                <w:rFonts w:ascii="Arial" w:cs="Arial" w:eastAsia="Arial" w:hAnsi="Arial"/>
                <w:sz w:val="10"/>
                <w:szCs w:val="10"/>
                <w:b w:val="1"/>
                <w:bCs w:val="1"/>
                <w:color w:val="auto"/>
              </w:rPr>
              <w:t>October 31,</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jc w:val="right"/>
              <w:ind w:right="423"/>
              <w:spacing w:after="0" w:line="108" w:lineRule="exact"/>
              <w:rPr>
                <w:sz w:val="20"/>
                <w:szCs w:val="20"/>
                <w:color w:val="auto"/>
              </w:rPr>
            </w:pPr>
            <w:r>
              <w:rPr>
                <w:rFonts w:ascii="Arial" w:cs="Arial" w:eastAsia="Arial" w:hAnsi="Arial"/>
                <w:sz w:val="10"/>
                <w:szCs w:val="10"/>
                <w:b w:val="1"/>
                <w:bCs w:val="1"/>
                <w:color w:val="auto"/>
              </w:rPr>
              <w:t>January 31,</w:t>
            </w:r>
          </w:p>
        </w:tc>
      </w:tr>
      <w:tr>
        <w:trPr>
          <w:trHeight w:val="133"/>
        </w:trPr>
        <w:tc>
          <w:tcPr>
            <w:tcW w:w="75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44"/>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83"/>
              <w:spacing w:after="0"/>
              <w:rPr>
                <w:sz w:val="20"/>
                <w:szCs w:val="20"/>
                <w:color w:val="auto"/>
              </w:rPr>
            </w:pPr>
            <w:r>
              <w:rPr>
                <w:rFonts w:ascii="Arial" w:cs="Arial" w:eastAsia="Arial" w:hAnsi="Arial"/>
                <w:sz w:val="10"/>
                <w:szCs w:val="10"/>
                <w:b w:val="1"/>
                <w:bCs w:val="1"/>
                <w:color w:val="auto"/>
              </w:rPr>
              <w:t>2021</w:t>
            </w:r>
          </w:p>
        </w:tc>
      </w:tr>
      <w:tr>
        <w:trPr>
          <w:trHeight w:val="162"/>
        </w:trPr>
        <w:tc>
          <w:tcPr>
            <w:tcW w:w="7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Accrued commissions</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36,439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32,300</w:t>
            </w:r>
          </w:p>
        </w:tc>
      </w:tr>
      <w:tr>
        <w:trPr>
          <w:trHeight w:val="153"/>
        </w:trPr>
        <w:tc>
          <w:tcPr>
            <w:tcW w:w="7500" w:type="dxa"/>
            <w:vAlign w:val="bottom"/>
          </w:tcPr>
          <w:p>
            <w:pPr>
              <w:ind w:left="440"/>
              <w:spacing w:after="0"/>
              <w:rPr>
                <w:sz w:val="20"/>
                <w:szCs w:val="20"/>
                <w:color w:val="auto"/>
              </w:rPr>
            </w:pPr>
            <w:r>
              <w:rPr>
                <w:rFonts w:ascii="Arial" w:cs="Arial" w:eastAsia="Arial" w:hAnsi="Arial"/>
                <w:sz w:val="12"/>
                <w:szCs w:val="12"/>
                <w:color w:val="auto"/>
              </w:rPr>
              <w:t>Accrued payroll and related expenses</w:t>
            </w:r>
          </w:p>
        </w:tc>
        <w:tc>
          <w:tcPr>
            <w:tcW w:w="6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22,289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16,528</w:t>
            </w:r>
          </w:p>
        </w:tc>
      </w:tr>
      <w:tr>
        <w:trPr>
          <w:trHeight w:val="153"/>
        </w:trPr>
        <w:tc>
          <w:tcPr>
            <w:tcW w:w="7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Employee Stock Purchase Plan</w:t>
            </w:r>
          </w:p>
        </w:tc>
        <w:tc>
          <w:tcPr>
            <w:tcW w:w="6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20,361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10,969</w:t>
            </w:r>
          </w:p>
        </w:tc>
      </w:tr>
      <w:tr>
        <w:trPr>
          <w:trHeight w:val="153"/>
        </w:trPr>
        <w:tc>
          <w:tcPr>
            <w:tcW w:w="75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Accrued bonuses</w:t>
            </w:r>
          </w:p>
        </w:tc>
        <w:tc>
          <w:tcPr>
            <w:tcW w:w="6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15,649</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12,110</w:t>
            </w:r>
          </w:p>
        </w:tc>
      </w:tr>
      <w:tr>
        <w:trPr>
          <w:trHeight w:val="158"/>
        </w:trPr>
        <w:tc>
          <w:tcPr>
            <w:tcW w:w="75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2"/>
                <w:szCs w:val="12"/>
                <w:color w:val="auto"/>
              </w:rPr>
              <w:t>Accrued payroll and benefits</w:t>
            </w:r>
          </w:p>
        </w:tc>
        <w:tc>
          <w:tcPr>
            <w:tcW w:w="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94,738</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71,907</w:t>
            </w:r>
          </w:p>
        </w:tc>
      </w:tr>
    </w:tbl>
    <w:p>
      <w:pPr>
        <w:spacing w:after="0" w:line="24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In April 2020, the Company began deferring payment on its share of payroll taxes owed, as permitted by the CARES Act through December 31, 2020. As of October 31, 2021 and January 31, 2021, the Company had deferred $5.1 million of payroll taxes in other current liabilities and $5.1 million of payroll taxes in other liabilities, noncurrent on the condensed consolidated balance sheet.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Other Current Liabilities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current liabilities consisted of the following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October 31,</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ind w:right="463"/>
              <w:spacing w:after="0"/>
              <w:rPr>
                <w:sz w:val="20"/>
                <w:szCs w:val="20"/>
                <w:color w:val="auto"/>
              </w:rPr>
            </w:pPr>
            <w:r>
              <w:rPr>
                <w:rFonts w:ascii="Arial" w:cs="Arial" w:eastAsia="Arial" w:hAnsi="Arial"/>
                <w:sz w:val="10"/>
                <w:szCs w:val="10"/>
                <w:b w:val="1"/>
                <w:bCs w:val="1"/>
                <w:color w:val="auto"/>
              </w:rPr>
              <w:t>January 31,</w:t>
            </w:r>
          </w:p>
        </w:tc>
      </w:tr>
      <w:tr>
        <w:trPr>
          <w:trHeight w:val="133"/>
        </w:trPr>
        <w:tc>
          <w:tcPr>
            <w:tcW w:w="33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2021</w:t>
            </w:r>
          </w:p>
        </w:tc>
      </w:tr>
      <w:tr>
        <w:trPr>
          <w:trHeight w:val="162"/>
        </w:trPr>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Income tax payable</w:t>
            </w:r>
          </w:p>
        </w:tc>
        <w:tc>
          <w:tcPr>
            <w:tcW w:w="5860" w:type="dxa"/>
            <w:vAlign w:val="bottom"/>
            <w:gridSpan w:val="2"/>
            <w:shd w:val="clear" w:color="auto" w:fill="CCEEFF"/>
          </w:tcPr>
          <w:p>
            <w:pPr>
              <w:jc w:val="right"/>
              <w:ind w:right="932"/>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62,678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2,639</w:t>
            </w:r>
          </w:p>
        </w:tc>
      </w:tr>
      <w:tr>
        <w:trPr>
          <w:trHeight w:val="153"/>
        </w:trPr>
        <w:tc>
          <w:tcPr>
            <w:tcW w:w="3380" w:type="dxa"/>
            <w:vAlign w:val="bottom"/>
          </w:tcPr>
          <w:p>
            <w:pPr>
              <w:spacing w:after="0"/>
              <w:rPr>
                <w:sz w:val="20"/>
                <w:szCs w:val="20"/>
                <w:color w:val="auto"/>
              </w:rPr>
            </w:pPr>
            <w:r>
              <w:rPr>
                <w:rFonts w:ascii="Arial" w:cs="Arial" w:eastAsia="Arial" w:hAnsi="Arial"/>
                <w:sz w:val="12"/>
                <w:szCs w:val="12"/>
                <w:color w:val="auto"/>
              </w:rPr>
              <w:t>Other current liabilities</w:t>
            </w:r>
          </w:p>
        </w:tc>
        <w:tc>
          <w:tcPr>
            <w:tcW w:w="4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12,850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9,652</w:t>
            </w:r>
          </w:p>
        </w:tc>
      </w:tr>
      <w:tr>
        <w:trPr>
          <w:trHeight w:val="153"/>
        </w:trPr>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Accrued taxes</w:t>
            </w:r>
          </w:p>
        </w:tc>
        <w:tc>
          <w:tcPr>
            <w:tcW w:w="48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2,837</w:t>
            </w:r>
          </w:p>
        </w:tc>
      </w:tr>
      <w:tr>
        <w:trPr>
          <w:trHeight w:val="153"/>
        </w:trPr>
        <w:tc>
          <w:tcPr>
            <w:tcW w:w="3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Customer deposits</w:t>
            </w:r>
          </w:p>
        </w:tc>
        <w:tc>
          <w:tcPr>
            <w:tcW w:w="48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2,371</w:t>
            </w:r>
          </w:p>
        </w:tc>
      </w:tr>
      <w:tr>
        <w:trPr>
          <w:trHeight w:val="162"/>
        </w:trPr>
        <w:tc>
          <w:tcPr>
            <w:tcW w:w="3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current liabilities</w:t>
            </w:r>
          </w:p>
        </w:tc>
        <w:tc>
          <w:tcPr>
            <w:tcW w:w="5860" w:type="dxa"/>
            <w:vAlign w:val="bottom"/>
            <w:gridSpan w:val="2"/>
            <w:shd w:val="clear" w:color="auto" w:fill="CCEEFF"/>
          </w:tcPr>
          <w:p>
            <w:pPr>
              <w:jc w:val="right"/>
              <w:ind w:right="932"/>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78,607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17,499</w:t>
            </w:r>
          </w:p>
        </w:tc>
      </w:tr>
      <w:tr>
        <w:trPr>
          <w:trHeight w:val="599"/>
        </w:trPr>
        <w:tc>
          <w:tcPr>
            <w:tcW w:w="3380" w:type="dxa"/>
            <w:vAlign w:val="bottom"/>
            <w:tcBorders>
              <w:top w:val="single" w:sz="8" w:color="CCEEFF"/>
            </w:tcBorders>
          </w:tcPr>
          <w:p>
            <w:pPr>
              <w:spacing w:after="0"/>
              <w:rPr>
                <w:sz w:val="24"/>
                <w:szCs w:val="24"/>
                <w:color w:val="auto"/>
              </w:rPr>
            </w:pPr>
          </w:p>
        </w:tc>
        <w:tc>
          <w:tcPr>
            <w:tcW w:w="4800" w:type="dxa"/>
            <w:vAlign w:val="bottom"/>
            <w:tcBorders>
              <w:top w:val="single" w:sz="8" w:color="CCEEFF"/>
            </w:tcBorders>
          </w:tcPr>
          <w:p>
            <w:pPr>
              <w:jc w:val="right"/>
              <w:ind w:right="2420"/>
              <w:spacing w:after="0"/>
              <w:rPr>
                <w:sz w:val="20"/>
                <w:szCs w:val="20"/>
                <w:color w:val="auto"/>
              </w:rPr>
            </w:pPr>
            <w:r>
              <w:rPr>
                <w:rFonts w:ascii="Arial" w:cs="Arial" w:eastAsia="Arial" w:hAnsi="Arial"/>
                <w:sz w:val="12"/>
                <w:szCs w:val="12"/>
                <w:color w:val="auto"/>
              </w:rPr>
              <w:t>17</w:t>
            </w:r>
          </w:p>
        </w:tc>
        <w:tc>
          <w:tcPr>
            <w:tcW w:w="10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72"/>
        </w:trPr>
        <w:tc>
          <w:tcPr>
            <w:tcW w:w="3380" w:type="dxa"/>
            <w:vAlign w:val="bottom"/>
            <w:tcBorders>
              <w:bottom w:val="single" w:sz="8" w:color="9A9A9A"/>
            </w:tcBorders>
          </w:tcPr>
          <w:p>
            <w:pPr>
              <w:spacing w:after="0"/>
              <w:rPr>
                <w:sz w:val="6"/>
                <w:szCs w:val="6"/>
                <w:color w:val="auto"/>
              </w:rPr>
            </w:pPr>
          </w:p>
        </w:tc>
        <w:tc>
          <w:tcPr>
            <w:tcW w:w="48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7" w:name="page18"/>
    <w:bookmarkEnd w:id="17"/>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5. Debt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Secured Revolving Credit Facility</w:t>
      </w:r>
    </w:p>
    <w:p>
      <w:pPr>
        <w:spacing w:after="0" w:line="150"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15" w:lineRule="exact"/>
        <w:rPr>
          <w:sz w:val="20"/>
          <w:szCs w:val="20"/>
          <w:color w:val="auto"/>
        </w:rPr>
      </w:pPr>
    </w:p>
    <w:p>
      <w:pPr>
        <w:ind w:right="20" w:firstLine="432"/>
        <w:spacing w:after="0" w:line="278" w:lineRule="auto"/>
        <w:rPr>
          <w:sz w:val="20"/>
          <w:szCs w:val="20"/>
          <w:color w:val="auto"/>
        </w:rPr>
      </w:pPr>
      <w:r>
        <w:rPr>
          <w:rFonts w:ascii="Arial" w:cs="Arial" w:eastAsia="Arial" w:hAnsi="Arial"/>
          <w:sz w:val="11"/>
          <w:szCs w:val="11"/>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 Under the A&amp;R Credit Agreement, revolving loans may be either Eurodollar Loans or Alternate Base Rate (“ABR”) Loans. Outstanding Eurodollar Loans incur interest at the Eurodollar Rate, which is defined as LIBOR (or any successor thereto), subject to a 0.00% LIBOR floor, plus a margin between 1.50% and 2.00%, depending on the Company’s senior secured leverage ratio. Outstanding ABR Loans incur interest at the highest of (a) the Prime Rate, as published by the Wall Street Journal, (b) the federal funds rate in effect for such day plus 0.50%, and (c) the Eurodollar Rate plus 1.00%, in each case plus a margin between (0.25)% and 0.25%, depending on the senior secured leverage ratio. The Company will be charged a commitment fee of 0.15% to 0.25% per year for committed but unused amounts, depending on the senior secured leverage ratio. The financial covenants require the Company to maintain a minimum consolidated interest coverage ratio of 3.00:1.00, a maximum senior secured leverage ratio of 3.00:1.00 (through January 31, 2023), and a maximum total leverage ratio of 5.50:1.00 stepping down to 3.50:1.00 over time. The Company was in compliance with the financial covenants as of October 31, 2021.</w:t>
      </w:r>
    </w:p>
    <w:p>
      <w:pPr>
        <w:spacing w:after="0" w:line="119" w:lineRule="exact"/>
        <w:rPr>
          <w:sz w:val="20"/>
          <w:szCs w:val="20"/>
          <w:color w:val="auto"/>
        </w:rPr>
      </w:pPr>
    </w:p>
    <w:p>
      <w:pPr>
        <w:jc w:val="both"/>
        <w:ind w:right="160" w:firstLine="432"/>
        <w:spacing w:after="0" w:line="340" w:lineRule="auto"/>
        <w:rPr>
          <w:sz w:val="20"/>
          <w:szCs w:val="20"/>
          <w:color w:val="auto"/>
        </w:rPr>
      </w:pPr>
      <w:r>
        <w:rPr>
          <w:rFonts w:ascii="Arial" w:cs="Arial" w:eastAsia="Arial" w:hAnsi="Arial"/>
          <w:sz w:val="10"/>
          <w:szCs w:val="10"/>
          <w:color w:val="auto"/>
        </w:rPr>
        <w:t>The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 amounts were outstanding under the A&amp;R Credit Agreement as of October 31, 2021 and January 31, 2021.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Senior Notes</w:t>
      </w:r>
    </w:p>
    <w:p>
      <w:pPr>
        <w:spacing w:after="0" w:line="150"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auto"/>
        </w:rPr>
        <w:t>On January 20, 2021, the Company issued $750.0 million in aggregate principal amount of 3.00% Senior Notes maturing in February 2029. The Senior 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15"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The net proceeds from the debt offering were $738.0 million after deducting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and $18.0 million during the three and nine months ended October 31, 2021,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18" w:name="page19"/>
    <w:bookmarkEnd w:id="18"/>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15"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The indenture governing the Senior Notes (the “Indenture”) contain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October 31, 2021, the Company was in compliance with all of its financial covenants under the Indenture associated with the Senior Notes.</w:t>
      </w:r>
    </w:p>
    <w:p>
      <w:pPr>
        <w:spacing w:after="0" w:line="15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Based on the trading prices of the Senior Notes, the fair value of the Senior Notes as of October 31, 2021 was approximately $742.8 million. While the Senior Notes are recorded at cost, the fair value of the Senior Notes was determined based on quoted prices in markets that are not active; accordingly, the Senior Notes is categorized as Level 2 for purposes of the fair value measurement hierarchy.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6. Income Taxes</w:t>
      </w:r>
    </w:p>
    <w:p>
      <w:pPr>
        <w:spacing w:after="0" w:line="150"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The Company recognized an income tax expense of $4.5 million and $0.5 million for the three months ended October 31, 2021 and October 31, 2020, respectively, and $58.8 million and $1.9 million for the nine months ended October 31, 2021 and October 31, 2020, respectively. The tax expense for the three months ended October 31, 2021 was primarily attributable to pre-tax foreign earnings. The tax expense for the nine months ended October 31, 2021 was primarily attributable to pre-tax foreign earnings and the intercompany sale of intellectual property from Humio. The Company transferred acquired intellectual property from the foreign subsidiary to the U.S. Although the transfer of the intellectual property between consolidated entities did not result in any gain in the consolidated results of operations, the Company generated a taxable gain in the foreign jurisdiction resulting in an additional tax expense of $48.8 million. The Company’s effective tax rates of (9.7)% and (1.9)% for the three months ended October 31, 2021 and October 31, 2020, respectively, and (43.8)% and (2.7)% for the nine months ended October 31, 2021 and October 31, 2020, respectively, differ from the U.S. statutory tax rate primarily due to U.S. losses for which there is no benefit and the tax impact from the intercompany sale of intellectual property from Humio for the nine months ended October 31, 2021.</w:t>
      </w:r>
    </w:p>
    <w:p>
      <w:pPr>
        <w:spacing w:after="0" w:line="13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The Company has a full valuation allowance on its U.S. federal and state and its U.K. deferred tax assets. As a result, consistent with the prior year, the Company does not record a tax benefit on these losses because it is more likely than not that the benefit will not be realized.</w:t>
      </w:r>
    </w:p>
    <w:p>
      <w:pPr>
        <w:spacing w:after="0" w:line="115"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The balance of gross unrecognized tax benefits was $39.5 million and $24.4 million as of October 31, 2021 and January 31, 2021, respectively. The increase was primarily due to establishing an uncertain tax position associated with research &amp; development tax credits. As of October 31, 2021 and January 31, 2021, approximately $1.3 million and $0.6 million, respectively of the unrecognized tax benefits including interest and penalties would affect the Company’s effective tax rate if favorably resolved. In the third quarter of fiscal 2022, given management’s determination of the timing of cash payments, long-term tax liability of $21.6 million was reclassified to short-term and is no longer considered an uncertain tax position by the Company. The Company expects to have resolution on discussions with tax authorities on certain tax matters, which will likely have an impact on the Company’s provision for income taxes in the fourth quarter. The Company is subject to examination by tax authorities both domestically and internationally. The Company believes that adequate amounts have been reserved for any adjustments that may result from these examinations, although the Company cannot assure that this will be the case given the inherent uncertainties in these examinations. It is impractical to determine the amount and timing of these adjustments.</w:t>
      </w:r>
    </w:p>
    <w:p>
      <w:pPr>
        <w:spacing w:after="0" w:line="113"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auto"/>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19" w:name="page20"/>
    <w:bookmarkEnd w:id="19"/>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208" w:hanging="208"/>
        <w:spacing w:after="0"/>
        <w:tabs>
          <w:tab w:leader="none" w:pos="208" w:val="left"/>
        </w:tabs>
        <w:numPr>
          <w:ilvl w:val="0"/>
          <w:numId w:val="1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50" w:lineRule="exact"/>
        <w:rPr>
          <w:sz w:val="20"/>
          <w:szCs w:val="20"/>
          <w:color w:val="auto"/>
        </w:rPr>
      </w:pPr>
    </w:p>
    <w:p>
      <w:pPr>
        <w:ind w:left="8" w:right="140" w:firstLine="432"/>
        <w:spacing w:after="0" w:line="276" w:lineRule="auto"/>
        <w:rPr>
          <w:sz w:val="20"/>
          <w:szCs w:val="20"/>
          <w:color w:val="auto"/>
        </w:rPr>
      </w:pPr>
      <w:r>
        <w:rPr>
          <w:rFonts w:ascii="Arial" w:cs="Arial" w:eastAsia="Arial" w:hAnsi="Arial"/>
          <w:sz w:val="12"/>
          <w:szCs w:val="12"/>
          <w:color w:val="auto"/>
        </w:rPr>
        <w:t>The Company has entered into non-cancelable operating lease agreements with various expiration dates through fiscal 2027. Certain lease agreements include options to renew or terminate the lease, which are not reasonably certain to be exercised and therefore are not factored into the determination of lease payments.</w:t>
      </w:r>
    </w:p>
    <w:p>
      <w:pPr>
        <w:spacing w:after="0" w:line="115" w:lineRule="exact"/>
        <w:rPr>
          <w:sz w:val="20"/>
          <w:szCs w:val="20"/>
          <w:color w:val="auto"/>
        </w:rPr>
      </w:pPr>
    </w:p>
    <w:p>
      <w:pPr>
        <w:ind w:left="8" w:right="140" w:firstLine="432"/>
        <w:spacing w:after="0" w:line="298" w:lineRule="auto"/>
        <w:rPr>
          <w:sz w:val="20"/>
          <w:szCs w:val="20"/>
          <w:color w:val="auto"/>
        </w:rPr>
      </w:pPr>
      <w:r>
        <w:rPr>
          <w:rFonts w:ascii="Arial" w:cs="Arial" w:eastAsia="Arial" w:hAnsi="Arial"/>
          <w:sz w:val="11"/>
          <w:szCs w:val="11"/>
          <w:color w:val="auto"/>
        </w:rPr>
        <w:t>Cash paid for amounts included in the measurement of operating lease liabilities was $2.9 million and $2.7 million for the three months ended October 31, 2021 and October 31, 2020 and $8.8 million and $8.1 million for the nine months ended October 31, 2021 and October 31, 2020, respectively. Operating lease liabilities arising from obtaining operating right-of-use assets were $1.5 million and none for the three months ended October 31, 2021 and October 31, 2020, respectively. Operating lease liabilities arising from obtaining operating right-of-use assets were $4.6 million and $6.2 million for the nine months ended October 31, 2021 and October 31, 2020, respectively.</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As of October 31, 2021, the weighted-average remaining lease term is 3.4 years, and the weighted-average discount rate is 5.4%.</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component of lease costs was as follows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0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0"/>
              </w:rPr>
              <w:t>Three Months Ended October 31,</w:t>
            </w: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Nine Months Ended October 31,</w:t>
            </w:r>
          </w:p>
        </w:tc>
        <w:tc>
          <w:tcPr>
            <w:tcW w:w="860" w:type="dxa"/>
            <w:vAlign w:val="bottom"/>
            <w:tcBorders>
              <w:bottom w:val="single" w:sz="8" w:color="auto"/>
            </w:tcBorders>
          </w:tcPr>
          <w:p>
            <w:pPr>
              <w:spacing w:after="0"/>
              <w:rPr>
                <w:sz w:val="11"/>
                <w:szCs w:val="11"/>
                <w:color w:val="auto"/>
              </w:rPr>
            </w:pPr>
          </w:p>
        </w:tc>
      </w:tr>
      <w:tr>
        <w:trPr>
          <w:trHeight w:val="126"/>
        </w:trPr>
        <w:tc>
          <w:tcPr>
            <w:tcW w:w="4020" w:type="dxa"/>
            <w:vAlign w:val="bottom"/>
          </w:tcPr>
          <w:p>
            <w:pPr>
              <w:spacing w:after="0"/>
              <w:rPr>
                <w:sz w:val="10"/>
                <w:szCs w:val="10"/>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r>
      <w:tr>
        <w:trPr>
          <w:trHeight w:val="162"/>
        </w:trPr>
        <w:tc>
          <w:tcPr>
            <w:tcW w:w="402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Lease cost</w:t>
            </w:r>
          </w:p>
        </w:tc>
        <w:tc>
          <w:tcPr>
            <w:tcW w:w="1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3"/>
        </w:trPr>
        <w:tc>
          <w:tcPr>
            <w:tcW w:w="4020" w:type="dxa"/>
            <w:vAlign w:val="bottom"/>
          </w:tcPr>
          <w:p>
            <w:pPr>
              <w:ind w:left="440"/>
              <w:spacing w:after="0"/>
              <w:rPr>
                <w:sz w:val="20"/>
                <w:szCs w:val="20"/>
                <w:color w:val="auto"/>
              </w:rPr>
            </w:pPr>
            <w:r>
              <w:rPr>
                <w:rFonts w:ascii="Arial" w:cs="Arial" w:eastAsia="Arial" w:hAnsi="Arial"/>
                <w:sz w:val="12"/>
                <w:szCs w:val="12"/>
                <w:color w:val="auto"/>
              </w:rPr>
              <w:t>Operating lease cost</w:t>
            </w:r>
          </w:p>
        </w:tc>
        <w:tc>
          <w:tcPr>
            <w:tcW w:w="1260" w:type="dxa"/>
            <w:vAlign w:val="bottom"/>
          </w:tcPr>
          <w:p>
            <w:pPr>
              <w:jc w:val="right"/>
              <w:ind w:right="704"/>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2,782</w:t>
            </w:r>
          </w:p>
        </w:tc>
        <w:tc>
          <w:tcPr>
            <w:tcW w:w="100" w:type="dxa"/>
            <w:vAlign w:val="bottom"/>
          </w:tcPr>
          <w:p>
            <w:pPr>
              <w:spacing w:after="0"/>
              <w:rPr>
                <w:sz w:val="13"/>
                <w:szCs w:val="13"/>
                <w:color w:val="auto"/>
              </w:rPr>
            </w:pPr>
          </w:p>
        </w:tc>
        <w:tc>
          <w:tcPr>
            <w:tcW w:w="92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2,677</w:t>
            </w:r>
          </w:p>
        </w:tc>
        <w:tc>
          <w:tcPr>
            <w:tcW w:w="60" w:type="dxa"/>
            <w:vAlign w:val="bottom"/>
          </w:tcPr>
          <w:p>
            <w:pPr>
              <w:spacing w:after="0"/>
              <w:rPr>
                <w:sz w:val="13"/>
                <w:szCs w:val="13"/>
                <w:color w:val="auto"/>
              </w:rPr>
            </w:pP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
              <w:spacing w:after="0"/>
              <w:rPr>
                <w:sz w:val="20"/>
                <w:szCs w:val="20"/>
                <w:color w:val="auto"/>
              </w:rPr>
            </w:pPr>
            <w:r>
              <w:rPr>
                <w:rFonts w:ascii="Arial" w:cs="Arial" w:eastAsia="Arial" w:hAnsi="Arial"/>
                <w:sz w:val="12"/>
                <w:szCs w:val="12"/>
                <w:color w:val="auto"/>
              </w:rPr>
              <w:t>8,393</w:t>
            </w:r>
          </w:p>
        </w:tc>
        <w:tc>
          <w:tcPr>
            <w:tcW w:w="60" w:type="dxa"/>
            <w:vAlign w:val="bottom"/>
          </w:tcPr>
          <w:p>
            <w:pPr>
              <w:spacing w:after="0"/>
              <w:rPr>
                <w:sz w:val="13"/>
                <w:szCs w:val="13"/>
                <w:color w:val="auto"/>
              </w:rPr>
            </w:pPr>
          </w:p>
        </w:tc>
        <w:tc>
          <w:tcPr>
            <w:tcW w:w="92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7,631</w:t>
            </w:r>
          </w:p>
        </w:tc>
      </w:tr>
      <w:tr>
        <w:trPr>
          <w:trHeight w:val="153"/>
        </w:trPr>
        <w:tc>
          <w:tcPr>
            <w:tcW w:w="40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Short-term lease cost</w:t>
            </w:r>
          </w:p>
        </w:tc>
        <w:tc>
          <w:tcPr>
            <w:tcW w:w="12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492</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1,508</w:t>
            </w: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1,477</w:t>
            </w:r>
          </w:p>
        </w:tc>
      </w:tr>
      <w:tr>
        <w:trPr>
          <w:trHeight w:val="153"/>
        </w:trPr>
        <w:tc>
          <w:tcPr>
            <w:tcW w:w="402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Variable lease cost</w:t>
            </w:r>
          </w:p>
        </w:tc>
        <w:tc>
          <w:tcPr>
            <w:tcW w:w="1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1,472</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774</w:t>
            </w: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3,208</w:t>
            </w:r>
          </w:p>
        </w:tc>
        <w:tc>
          <w:tcPr>
            <w:tcW w:w="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2,128</w:t>
            </w:r>
          </w:p>
        </w:tc>
      </w:tr>
      <w:tr>
        <w:trPr>
          <w:trHeight w:val="158"/>
        </w:trPr>
        <w:tc>
          <w:tcPr>
            <w:tcW w:w="4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b w:val="1"/>
                <w:bCs w:val="1"/>
                <w:color w:val="auto"/>
              </w:rPr>
              <w:t>Total lease cost</w:t>
            </w:r>
          </w:p>
        </w:tc>
        <w:tc>
          <w:tcPr>
            <w:tcW w:w="126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4,801</w:t>
            </w: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3,943</w:t>
            </w: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13,109</w:t>
            </w:r>
          </w:p>
        </w:tc>
        <w:tc>
          <w:tcPr>
            <w:tcW w:w="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11,236</w:t>
            </w:r>
          </w:p>
        </w:tc>
      </w:tr>
    </w:tbl>
    <w:p>
      <w:pPr>
        <w:spacing w:after="0" w:line="198" w:lineRule="exact"/>
        <w:rPr>
          <w:sz w:val="20"/>
          <w:szCs w:val="20"/>
          <w:color w:val="auto"/>
        </w:rPr>
      </w:pPr>
    </w:p>
    <w:p>
      <w:pPr>
        <w:ind w:left="8" w:right="240" w:firstLine="432"/>
        <w:spacing w:after="0" w:line="276" w:lineRule="auto"/>
        <w:rPr>
          <w:sz w:val="20"/>
          <w:szCs w:val="20"/>
          <w:color w:val="auto"/>
        </w:rPr>
      </w:pPr>
      <w:r>
        <w:rPr>
          <w:rFonts w:ascii="Arial" w:cs="Arial" w:eastAsia="Arial" w:hAnsi="Arial"/>
          <w:sz w:val="12"/>
          <w:szCs w:val="12"/>
          <w:color w:val="auto"/>
        </w:rPr>
        <w:t>There was no sublease income for the three and nine months ended October 31, 2021 or October 31, 2020. As of October 31, 2021, the Company has not entered into any non-cancelable operating leases with a term greater than 12 months that have not yet commenced.</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maturities of the Company’s non-cancelable operating lease liabilities are as follows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94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October 31, 2021</w:t>
            </w:r>
          </w:p>
        </w:tc>
      </w:tr>
      <w:tr>
        <w:trPr>
          <w:trHeight w:val="20"/>
        </w:trPr>
        <w:tc>
          <w:tcPr>
            <w:tcW w:w="9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2022 (remaining three months)</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1,489</w:t>
            </w:r>
          </w:p>
        </w:tc>
      </w:tr>
      <w:tr>
        <w:trPr>
          <w:trHeight w:val="153"/>
        </w:trPr>
        <w:tc>
          <w:tcPr>
            <w:tcW w:w="9400" w:type="dxa"/>
            <w:vAlign w:val="bottom"/>
          </w:tcPr>
          <w:p>
            <w:pPr>
              <w:ind w:left="440"/>
              <w:spacing w:after="0"/>
              <w:rPr>
                <w:sz w:val="20"/>
                <w:szCs w:val="20"/>
                <w:color w:val="auto"/>
              </w:rPr>
            </w:pPr>
            <w:r>
              <w:rPr>
                <w:rFonts w:ascii="Arial" w:cs="Arial" w:eastAsia="Arial" w:hAnsi="Arial"/>
                <w:sz w:val="12"/>
                <w:szCs w:val="12"/>
                <w:color w:val="auto"/>
              </w:rPr>
              <w:t>Fiscal 2023</w:t>
            </w:r>
          </w:p>
        </w:tc>
        <w:tc>
          <w:tcPr>
            <w:tcW w:w="660" w:type="dxa"/>
            <w:vAlign w:val="bottom"/>
          </w:tcPr>
          <w:p>
            <w:pPr>
              <w:spacing w:after="0"/>
              <w:rPr>
                <w:sz w:val="13"/>
                <w:szCs w:val="13"/>
                <w:color w:val="auto"/>
              </w:rPr>
            </w:pPr>
          </w:p>
        </w:tc>
        <w:tc>
          <w:tcPr>
            <w:tcW w:w="1240" w:type="dxa"/>
            <w:vAlign w:val="bottom"/>
          </w:tcPr>
          <w:p>
            <w:pPr>
              <w:jc w:val="right"/>
              <w:ind w:right="1"/>
              <w:spacing w:after="0"/>
              <w:rPr>
                <w:sz w:val="20"/>
                <w:szCs w:val="20"/>
                <w:color w:val="auto"/>
              </w:rPr>
            </w:pPr>
            <w:r>
              <w:rPr>
                <w:rFonts w:ascii="Arial" w:cs="Arial" w:eastAsia="Arial" w:hAnsi="Arial"/>
                <w:sz w:val="12"/>
                <w:szCs w:val="12"/>
                <w:color w:val="auto"/>
              </w:rPr>
              <w:t>11,895</w:t>
            </w: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2024</w:t>
            </w:r>
          </w:p>
        </w:tc>
        <w:tc>
          <w:tcPr>
            <w:tcW w:w="66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11,861</w:t>
            </w:r>
          </w:p>
        </w:tc>
      </w:tr>
      <w:tr>
        <w:trPr>
          <w:trHeight w:val="153"/>
        </w:trPr>
        <w:tc>
          <w:tcPr>
            <w:tcW w:w="9400" w:type="dxa"/>
            <w:vAlign w:val="bottom"/>
          </w:tcPr>
          <w:p>
            <w:pPr>
              <w:ind w:left="440"/>
              <w:spacing w:after="0"/>
              <w:rPr>
                <w:sz w:val="20"/>
                <w:szCs w:val="20"/>
                <w:color w:val="auto"/>
              </w:rPr>
            </w:pPr>
            <w:r>
              <w:rPr>
                <w:rFonts w:ascii="Arial" w:cs="Arial" w:eastAsia="Arial" w:hAnsi="Arial"/>
                <w:sz w:val="12"/>
                <w:szCs w:val="12"/>
                <w:color w:val="auto"/>
              </w:rPr>
              <w:t>Fiscal 2025</w:t>
            </w:r>
          </w:p>
        </w:tc>
        <w:tc>
          <w:tcPr>
            <w:tcW w:w="660" w:type="dxa"/>
            <w:vAlign w:val="bottom"/>
          </w:tcPr>
          <w:p>
            <w:pPr>
              <w:spacing w:after="0"/>
              <w:rPr>
                <w:sz w:val="13"/>
                <w:szCs w:val="13"/>
                <w:color w:val="auto"/>
              </w:rPr>
            </w:pPr>
          </w:p>
        </w:tc>
        <w:tc>
          <w:tcPr>
            <w:tcW w:w="1240" w:type="dxa"/>
            <w:vAlign w:val="bottom"/>
          </w:tcPr>
          <w:p>
            <w:pPr>
              <w:jc w:val="right"/>
              <w:ind w:right="1"/>
              <w:spacing w:after="0"/>
              <w:rPr>
                <w:sz w:val="20"/>
                <w:szCs w:val="20"/>
                <w:color w:val="auto"/>
              </w:rPr>
            </w:pPr>
            <w:r>
              <w:rPr>
                <w:rFonts w:ascii="Arial" w:cs="Arial" w:eastAsia="Arial" w:hAnsi="Arial"/>
                <w:sz w:val="12"/>
                <w:szCs w:val="12"/>
                <w:color w:val="auto"/>
              </w:rPr>
              <w:t>10,764</w:t>
            </w: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2026</w:t>
            </w:r>
          </w:p>
        </w:tc>
        <w:tc>
          <w:tcPr>
            <w:tcW w:w="66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4,811</w:t>
            </w:r>
          </w:p>
        </w:tc>
      </w:tr>
      <w:tr>
        <w:trPr>
          <w:trHeight w:val="153"/>
        </w:trPr>
        <w:tc>
          <w:tcPr>
            <w:tcW w:w="94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Thereafter</w:t>
            </w:r>
          </w:p>
        </w:tc>
        <w:tc>
          <w:tcPr>
            <w:tcW w:w="6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608</w:t>
            </w:r>
          </w:p>
        </w:tc>
      </w:tr>
      <w:tr>
        <w:trPr>
          <w:trHeight w:val="142"/>
        </w:trPr>
        <w:tc>
          <w:tcPr>
            <w:tcW w:w="94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Total operating lease payments</w:t>
            </w:r>
          </w:p>
        </w:tc>
        <w:tc>
          <w:tcPr>
            <w:tcW w:w="6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41,428</w:t>
            </w:r>
          </w:p>
        </w:tc>
      </w:tr>
      <w:tr>
        <w:trPr>
          <w:trHeight w:val="153"/>
        </w:trPr>
        <w:tc>
          <w:tcPr>
            <w:tcW w:w="94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Less: imputed interest</w:t>
            </w:r>
          </w:p>
        </w:tc>
        <w:tc>
          <w:tcPr>
            <w:tcW w:w="6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(3,827)</w:t>
            </w:r>
          </w:p>
        </w:tc>
      </w:tr>
      <w:tr>
        <w:trPr>
          <w:trHeight w:val="158"/>
        </w:trPr>
        <w:tc>
          <w:tcPr>
            <w:tcW w:w="9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Present value of operating lease liabilities</w:t>
            </w: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37,601</w:t>
            </w:r>
          </w:p>
        </w:tc>
      </w:tr>
    </w:tbl>
    <w:p>
      <w:pPr>
        <w:spacing w:after="0" w:line="189" w:lineRule="exact"/>
        <w:rPr>
          <w:sz w:val="20"/>
          <w:szCs w:val="20"/>
          <w:color w:val="auto"/>
        </w:rPr>
      </w:pPr>
    </w:p>
    <w:p>
      <w:pPr>
        <w:ind w:left="428" w:right="9740" w:hanging="428"/>
        <w:spacing w:after="0" w:line="601" w:lineRule="auto"/>
        <w:tabs>
          <w:tab w:leader="none" w:pos="206" w:val="left"/>
        </w:tabs>
        <w:numPr>
          <w:ilvl w:val="0"/>
          <w:numId w:val="13"/>
        </w:numPr>
        <w:rPr>
          <w:rFonts w:ascii="Arial" w:cs="Arial" w:eastAsia="Arial" w:hAnsi="Arial"/>
          <w:sz w:val="10"/>
          <w:szCs w:val="10"/>
          <w:b w:val="1"/>
          <w:bCs w:val="1"/>
          <w:i w:val="1"/>
          <w:iCs w:val="1"/>
          <w:color w:val="auto"/>
        </w:rPr>
      </w:pPr>
      <w:r>
        <w:rPr>
          <w:rFonts w:ascii="Arial" w:cs="Arial" w:eastAsia="Arial" w:hAnsi="Arial"/>
          <w:sz w:val="10"/>
          <w:szCs w:val="10"/>
          <w:b w:val="1"/>
          <w:bCs w:val="1"/>
          <w:i w:val="1"/>
          <w:iCs w:val="1"/>
          <w:color w:val="auto"/>
        </w:rPr>
        <w:t>Stock-Based Compensation Stock Incentive Plan</w:t>
      </w:r>
    </w:p>
    <w:p>
      <w:pPr>
        <w:ind w:left="8" w:right="80" w:firstLine="432"/>
        <w:spacing w:after="0" w:line="259" w:lineRule="auto"/>
        <w:rPr>
          <w:sz w:val="20"/>
          <w:szCs w:val="20"/>
          <w:color w:val="auto"/>
        </w:rPr>
      </w:pPr>
      <w:r>
        <w:rPr>
          <w:rFonts w:ascii="Arial" w:cs="Arial" w:eastAsia="Arial" w:hAnsi="Arial"/>
          <w:sz w:val="12"/>
          <w:szCs w:val="12"/>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w:t>
      </w:r>
    </w:p>
    <w:p>
      <w:pPr>
        <w:spacing w:after="0" w:line="3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20" w:name="page21"/>
    <w:bookmarkEnd w:id="20"/>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2020, equal to the lesser of: (i) two percent (2.0%) of outstanding shares of the Company’s capital stock as of the last day of the immediately preceding fiscal year or (ii) such other amount as the Company’s board of directors may determine.</w:t>
      </w:r>
    </w:p>
    <w:p>
      <w:pPr>
        <w:spacing w:after="0" w:line="115" w:lineRule="exact"/>
        <w:rPr>
          <w:sz w:val="20"/>
          <w:szCs w:val="20"/>
          <w:color w:val="auto"/>
        </w:rPr>
      </w:pPr>
    </w:p>
    <w:p>
      <w:pPr>
        <w:ind w:right="40" w:firstLine="432"/>
        <w:spacing w:after="0" w:line="323" w:lineRule="auto"/>
        <w:rPr>
          <w:sz w:val="20"/>
          <w:szCs w:val="20"/>
          <w:color w:val="auto"/>
        </w:rPr>
      </w:pPr>
      <w:r>
        <w:rPr>
          <w:rFonts w:ascii="Arial" w:cs="Arial" w:eastAsia="Arial" w:hAnsi="Arial"/>
          <w:sz w:val="11"/>
          <w:szCs w:val="11"/>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jc w:val="both"/>
        <w:ind w:right="80" w:firstLine="432"/>
        <w:spacing w:after="0" w:line="340" w:lineRule="auto"/>
        <w:rPr>
          <w:sz w:val="20"/>
          <w:szCs w:val="20"/>
          <w:color w:val="auto"/>
        </w:rPr>
      </w:pPr>
      <w:r>
        <w:rPr>
          <w:rFonts w:ascii="Arial" w:cs="Arial" w:eastAsia="Arial" w:hAnsi="Arial"/>
          <w:sz w:val="10"/>
          <w:szCs w:val="10"/>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fair value of each option was estimated on the date of grant using the following assumptions during the 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3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6"/>
          </w:tcPr>
          <w:p>
            <w:pPr>
              <w:jc w:val="right"/>
              <w:ind w:right="567"/>
              <w:spacing w:after="0"/>
              <w:rPr>
                <w:sz w:val="20"/>
                <w:szCs w:val="20"/>
                <w:color w:val="auto"/>
              </w:rPr>
            </w:pPr>
            <w:r>
              <w:rPr>
                <w:rFonts w:ascii="Arial" w:cs="Arial" w:eastAsia="Arial" w:hAnsi="Arial"/>
                <w:sz w:val="10"/>
                <w:szCs w:val="10"/>
                <w:b w:val="1"/>
                <w:bCs w:val="1"/>
                <w:color w:val="auto"/>
                <w:w w:val="91"/>
              </w:rPr>
              <w:t>Nine Months Ended October 31,</w:t>
            </w: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7300" w:type="dxa"/>
            <w:vAlign w:val="bottom"/>
            <w:tcBorders>
              <w:bottom w:val="single" w:sz="8" w:color="CCEEFF"/>
            </w:tcBorders>
          </w:tcPr>
          <w:p>
            <w:pPr>
              <w:spacing w:after="0"/>
              <w:rPr>
                <w:sz w:val="10"/>
                <w:szCs w:val="10"/>
                <w:color w:val="auto"/>
              </w:rPr>
            </w:pPr>
          </w:p>
        </w:tc>
        <w:tc>
          <w:tcPr>
            <w:tcW w:w="146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7"/>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3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Expected term (in years)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3.8 - 5.6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3.2 - 6.1</w:t>
            </w:r>
          </w:p>
        </w:tc>
        <w:tc>
          <w:tcPr>
            <w:tcW w:w="0" w:type="dxa"/>
            <w:vAlign w:val="bottom"/>
          </w:tcPr>
          <w:p>
            <w:pPr>
              <w:spacing w:after="0"/>
              <w:rPr>
                <w:sz w:val="1"/>
                <w:szCs w:val="1"/>
                <w:color w:val="auto"/>
              </w:rPr>
            </w:pPr>
          </w:p>
        </w:tc>
      </w:tr>
      <w:tr>
        <w:trPr>
          <w:trHeight w:val="153"/>
        </w:trPr>
        <w:tc>
          <w:tcPr>
            <w:tcW w:w="7300" w:type="dxa"/>
            <w:vAlign w:val="bottom"/>
          </w:tcPr>
          <w:p>
            <w:pPr>
              <w:ind w:left="440"/>
              <w:spacing w:after="0"/>
              <w:rPr>
                <w:sz w:val="20"/>
                <w:szCs w:val="20"/>
                <w:color w:val="auto"/>
              </w:rPr>
            </w:pPr>
            <w:r>
              <w:rPr>
                <w:rFonts w:ascii="Arial" w:cs="Arial" w:eastAsia="Arial" w:hAnsi="Arial"/>
                <w:sz w:val="12"/>
                <w:szCs w:val="12"/>
                <w:color w:val="auto"/>
              </w:rPr>
              <w:t>Risk-free interest rate</w:t>
            </w:r>
          </w:p>
        </w:tc>
        <w:tc>
          <w:tcPr>
            <w:tcW w:w="1940" w:type="dxa"/>
            <w:vAlign w:val="bottom"/>
            <w:gridSpan w:val="3"/>
          </w:tcPr>
          <w:p>
            <w:pPr>
              <w:jc w:val="right"/>
              <w:spacing w:after="0"/>
              <w:rPr>
                <w:sz w:val="20"/>
                <w:szCs w:val="20"/>
                <w:color w:val="auto"/>
              </w:rPr>
            </w:pPr>
            <w:r>
              <w:rPr>
                <w:rFonts w:ascii="Arial" w:cs="Arial" w:eastAsia="Arial" w:hAnsi="Arial"/>
                <w:sz w:val="12"/>
                <w:szCs w:val="12"/>
                <w:color w:val="auto"/>
              </w:rPr>
              <w:t>0.6% - 1.0%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0.2% - 0.4%</w:t>
            </w:r>
          </w:p>
        </w:tc>
        <w:tc>
          <w:tcPr>
            <w:tcW w:w="0" w:type="dxa"/>
            <w:vAlign w:val="bottom"/>
          </w:tcPr>
          <w:p>
            <w:pPr>
              <w:spacing w:after="0"/>
              <w:rPr>
                <w:sz w:val="1"/>
                <w:szCs w:val="1"/>
                <w:color w:val="auto"/>
              </w:rPr>
            </w:pPr>
          </w:p>
        </w:tc>
      </w:tr>
      <w:tr>
        <w:trPr>
          <w:trHeight w:val="153"/>
        </w:trPr>
        <w:tc>
          <w:tcPr>
            <w:tcW w:w="73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Expected stock price volatility</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36.1% - 37.1%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35.8% - 37.3%</w:t>
            </w:r>
          </w:p>
        </w:tc>
        <w:tc>
          <w:tcPr>
            <w:tcW w:w="0" w:type="dxa"/>
            <w:vAlign w:val="bottom"/>
          </w:tcPr>
          <w:p>
            <w:pPr>
              <w:spacing w:after="0"/>
              <w:rPr>
                <w:sz w:val="1"/>
                <w:szCs w:val="1"/>
                <w:color w:val="auto"/>
              </w:rPr>
            </w:pPr>
          </w:p>
        </w:tc>
      </w:tr>
      <w:tr>
        <w:trPr>
          <w:trHeight w:val="153"/>
        </w:trPr>
        <w:tc>
          <w:tcPr>
            <w:tcW w:w="7300" w:type="dxa"/>
            <w:vAlign w:val="bottom"/>
          </w:tcPr>
          <w:p>
            <w:pPr>
              <w:ind w:left="440"/>
              <w:spacing w:after="0"/>
              <w:rPr>
                <w:sz w:val="20"/>
                <w:szCs w:val="20"/>
                <w:color w:val="auto"/>
              </w:rPr>
            </w:pPr>
            <w:r>
              <w:rPr>
                <w:rFonts w:ascii="Arial" w:cs="Arial" w:eastAsia="Arial" w:hAnsi="Arial"/>
                <w:sz w:val="12"/>
                <w:szCs w:val="12"/>
                <w:color w:val="auto"/>
              </w:rPr>
              <w:t>Dividend yield</w:t>
            </w:r>
          </w:p>
        </w:tc>
        <w:tc>
          <w:tcPr>
            <w:tcW w:w="520" w:type="dxa"/>
            <w:vAlign w:val="bottom"/>
          </w:tcPr>
          <w:p>
            <w:pPr>
              <w:spacing w:after="0"/>
              <w:rPr>
                <w:sz w:val="13"/>
                <w:szCs w:val="13"/>
                <w:color w:val="auto"/>
              </w:rPr>
            </w:pPr>
          </w:p>
        </w:tc>
        <w:tc>
          <w:tcPr>
            <w:tcW w:w="940" w:type="dxa"/>
            <w:vAlign w:val="bottom"/>
          </w:tcPr>
          <w:p>
            <w:pPr>
              <w:jc w:val="right"/>
              <w:ind w:right="49"/>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ind w:right="27"/>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51"/>
        </w:trPr>
        <w:tc>
          <w:tcPr>
            <w:tcW w:w="7300" w:type="dxa"/>
            <w:vAlign w:val="bottom"/>
          </w:tcPr>
          <w:p>
            <w:pPr>
              <w:ind w:left="420"/>
              <w:spacing w:after="0"/>
              <w:rPr>
                <w:sz w:val="20"/>
                <w:szCs w:val="20"/>
                <w:color w:val="auto"/>
              </w:rPr>
            </w:pPr>
            <w:r>
              <w:rPr>
                <w:rFonts w:ascii="Arial" w:cs="Arial" w:eastAsia="Arial" w:hAnsi="Arial"/>
                <w:sz w:val="12"/>
                <w:szCs w:val="12"/>
                <w:color w:val="auto"/>
              </w:rPr>
              <w:t>The following table is a summary of stock option activity for the nine months ended October 31, 2021:</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gridSpan w:val="4"/>
            <w:vMerge w:val="restart"/>
          </w:tcPr>
          <w:p>
            <w:pPr>
              <w:ind w:left="740"/>
              <w:spacing w:after="0"/>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00" w:type="dxa"/>
            <w:vAlign w:val="bottom"/>
            <w:gridSpan w:val="2"/>
          </w:tcPr>
          <w:p>
            <w:pPr>
              <w:jc w:val="right"/>
              <w:ind w:right="280"/>
              <w:spacing w:after="0" w:line="108" w:lineRule="exact"/>
              <w:rPr>
                <w:sz w:val="20"/>
                <w:szCs w:val="20"/>
                <w:color w:val="auto"/>
              </w:rPr>
            </w:pPr>
            <w:r>
              <w:rPr>
                <w:rFonts w:ascii="Arial" w:cs="Arial" w:eastAsia="Arial" w:hAnsi="Arial"/>
                <w:sz w:val="10"/>
                <w:szCs w:val="10"/>
                <w:b w:val="1"/>
                <w:bCs w:val="1"/>
                <w:color w:val="auto"/>
              </w:rPr>
              <w:t>Weighted-Average</w:t>
            </w:r>
          </w:p>
        </w:tc>
        <w:tc>
          <w:tcPr>
            <w:tcW w:w="0" w:type="dxa"/>
            <w:vAlign w:val="bottom"/>
          </w:tcPr>
          <w:p>
            <w:pPr>
              <w:spacing w:after="0"/>
              <w:rPr>
                <w:sz w:val="1"/>
                <w:szCs w:val="1"/>
                <w:color w:val="auto"/>
              </w:rPr>
            </w:pPr>
          </w:p>
        </w:tc>
      </w:tr>
      <w:tr>
        <w:trPr>
          <w:trHeight w:val="90"/>
        </w:trPr>
        <w:tc>
          <w:tcPr>
            <w:tcW w:w="7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jc w:val="center"/>
              <w:ind w:right="47"/>
              <w:spacing w:after="0" w:line="90" w:lineRule="exact"/>
              <w:rPr>
                <w:sz w:val="20"/>
                <w:szCs w:val="20"/>
                <w:color w:val="auto"/>
              </w:rPr>
            </w:pPr>
            <w:r>
              <w:rPr>
                <w:rFonts w:ascii="Arial" w:cs="Arial" w:eastAsia="Arial" w:hAnsi="Arial"/>
                <w:sz w:val="10"/>
                <w:szCs w:val="10"/>
                <w:b w:val="1"/>
                <w:bCs w:val="1"/>
                <w:color w:val="auto"/>
                <w:w w:val="84"/>
              </w:rPr>
              <w:t>Exercise Price</w:t>
            </w: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Shares</w:t>
            </w: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7"/>
              <w:spacing w:after="0"/>
              <w:rPr>
                <w:sz w:val="20"/>
                <w:szCs w:val="20"/>
                <w:color w:val="auto"/>
              </w:rPr>
            </w:pPr>
            <w:r>
              <w:rPr>
                <w:rFonts w:ascii="Arial" w:cs="Arial" w:eastAsia="Arial" w:hAnsi="Arial"/>
                <w:sz w:val="10"/>
                <w:szCs w:val="10"/>
                <w:b w:val="1"/>
                <w:bCs w:val="1"/>
                <w:color w:val="auto"/>
                <w:w w:val="85"/>
              </w:rPr>
              <w:t>Per Share</w:t>
            </w: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rPr>
              <w:t>(in thousands)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30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Options outstanding at January 31, 2021</w:t>
            </w: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6,646</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8.24</w:t>
            </w:r>
          </w:p>
        </w:tc>
        <w:tc>
          <w:tcPr>
            <w:tcW w:w="0" w:type="dxa"/>
            <w:vAlign w:val="bottom"/>
          </w:tcPr>
          <w:p>
            <w:pPr>
              <w:spacing w:after="0"/>
              <w:rPr>
                <w:sz w:val="1"/>
                <w:szCs w:val="1"/>
                <w:color w:val="auto"/>
              </w:rPr>
            </w:pPr>
          </w:p>
        </w:tc>
      </w:tr>
      <w:tr>
        <w:trPr>
          <w:trHeight w:val="153"/>
        </w:trPr>
        <w:tc>
          <w:tcPr>
            <w:tcW w:w="7300" w:type="dxa"/>
            <w:vAlign w:val="bottom"/>
          </w:tcPr>
          <w:p>
            <w:pPr>
              <w:ind w:left="440"/>
              <w:spacing w:after="0"/>
              <w:rPr>
                <w:sz w:val="20"/>
                <w:szCs w:val="20"/>
                <w:color w:val="auto"/>
              </w:rPr>
            </w:pPr>
            <w:r>
              <w:rPr>
                <w:rFonts w:ascii="Arial" w:cs="Arial" w:eastAsia="Arial" w:hAnsi="Arial"/>
                <w:sz w:val="12"/>
                <w:szCs w:val="12"/>
                <w:color w:val="auto"/>
              </w:rPr>
              <w:t>Granted</w:t>
            </w: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93</w:t>
            </w:r>
          </w:p>
        </w:tc>
        <w:tc>
          <w:tcPr>
            <w:tcW w:w="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153"/>
        </w:trPr>
        <w:tc>
          <w:tcPr>
            <w:tcW w:w="73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Exercised</w:t>
            </w: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(2,136)</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5.99</w:t>
            </w:r>
          </w:p>
        </w:tc>
        <w:tc>
          <w:tcPr>
            <w:tcW w:w="0" w:type="dxa"/>
            <w:vAlign w:val="bottom"/>
          </w:tcPr>
          <w:p>
            <w:pPr>
              <w:spacing w:after="0"/>
              <w:rPr>
                <w:sz w:val="1"/>
                <w:szCs w:val="1"/>
                <w:color w:val="auto"/>
              </w:rPr>
            </w:pPr>
          </w:p>
        </w:tc>
      </w:tr>
      <w:tr>
        <w:trPr>
          <w:trHeight w:val="153"/>
        </w:trPr>
        <w:tc>
          <w:tcPr>
            <w:tcW w:w="73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Canceled</w:t>
            </w:r>
          </w:p>
        </w:tc>
        <w:tc>
          <w:tcPr>
            <w:tcW w:w="5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(182)</w:t>
            </w: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30.31</w:t>
            </w:r>
          </w:p>
        </w:tc>
        <w:tc>
          <w:tcPr>
            <w:tcW w:w="0" w:type="dxa"/>
            <w:vAlign w:val="bottom"/>
          </w:tcPr>
          <w:p>
            <w:pPr>
              <w:spacing w:after="0"/>
              <w:rPr>
                <w:sz w:val="1"/>
                <w:szCs w:val="1"/>
                <w:color w:val="auto"/>
              </w:rPr>
            </w:pPr>
          </w:p>
        </w:tc>
      </w:tr>
      <w:tr>
        <w:trPr>
          <w:trHeight w:val="158"/>
        </w:trPr>
        <w:tc>
          <w:tcPr>
            <w:tcW w:w="7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Options outstanding at October 31, 2021</w:t>
            </w:r>
          </w:p>
        </w:tc>
        <w:tc>
          <w:tcPr>
            <w:tcW w:w="5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4,421</w:t>
            </w: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8.32</w:t>
            </w:r>
          </w:p>
        </w:tc>
        <w:tc>
          <w:tcPr>
            <w:tcW w:w="0" w:type="dxa"/>
            <w:vAlign w:val="bottom"/>
          </w:tcPr>
          <w:p>
            <w:pPr>
              <w:spacing w:after="0"/>
              <w:rPr>
                <w:sz w:val="1"/>
                <w:szCs w:val="1"/>
                <w:color w:val="auto"/>
              </w:rPr>
            </w:pPr>
          </w:p>
        </w:tc>
      </w:tr>
      <w:tr>
        <w:trPr>
          <w:trHeight w:val="169"/>
        </w:trPr>
        <w:tc>
          <w:tcPr>
            <w:tcW w:w="7300" w:type="dxa"/>
            <w:vAlign w:val="bottom"/>
            <w:tcBorders>
              <w:bottom w:val="single" w:sz="8" w:color="CCEEFF"/>
            </w:tcBorders>
          </w:tcPr>
          <w:p>
            <w:pPr>
              <w:ind w:left="440"/>
              <w:spacing w:after="0"/>
              <w:rPr>
                <w:sz w:val="20"/>
                <w:szCs w:val="20"/>
                <w:color w:val="auto"/>
              </w:rPr>
            </w:pPr>
            <w:r>
              <w:rPr>
                <w:rFonts w:ascii="Arial" w:cs="Arial" w:eastAsia="Arial" w:hAnsi="Arial"/>
                <w:sz w:val="12"/>
                <w:szCs w:val="12"/>
                <w:b w:val="1"/>
                <w:bCs w:val="1"/>
                <w:color w:val="auto"/>
              </w:rPr>
              <w:t>Options vested and expected to vest at October 31, 2021</w:t>
            </w:r>
          </w:p>
        </w:tc>
        <w:tc>
          <w:tcPr>
            <w:tcW w:w="5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4,421</w:t>
            </w:r>
          </w:p>
        </w:tc>
        <w:tc>
          <w:tcPr>
            <w:tcW w:w="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8.32</w:t>
            </w:r>
          </w:p>
        </w:tc>
        <w:tc>
          <w:tcPr>
            <w:tcW w:w="0" w:type="dxa"/>
            <w:vAlign w:val="bottom"/>
          </w:tcPr>
          <w:p>
            <w:pPr>
              <w:spacing w:after="0"/>
              <w:rPr>
                <w:sz w:val="1"/>
                <w:szCs w:val="1"/>
                <w:color w:val="auto"/>
              </w:rPr>
            </w:pPr>
          </w:p>
        </w:tc>
      </w:tr>
      <w:tr>
        <w:trPr>
          <w:trHeight w:val="169"/>
        </w:trPr>
        <w:tc>
          <w:tcPr>
            <w:tcW w:w="7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Options exercisable at October 31, 2021</w:t>
            </w:r>
          </w:p>
        </w:tc>
        <w:tc>
          <w:tcPr>
            <w:tcW w:w="5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2,871</w:t>
            </w: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6.56</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Options outstanding include 378,031 options that were unvested as of October 31, 2021.</w:t>
      </w:r>
    </w:p>
    <w:p>
      <w:pPr>
        <w:spacing w:after="0" w:line="15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The aggregate intrinsic value of options vested and exercisable was $790.1 million and $711.4 million as of October 31, 2021 and January 31, 2021, respectively. The weighted-average remaining contractual term of options vested and exercisable was 6.0 years and 6.4 years as of October 31, 2021 and January 31, 2021, respectively.</w:t>
      </w:r>
    </w:p>
    <w:p>
      <w:pPr>
        <w:spacing w:after="0" w:line="11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No options were granted during the three months ended October 31, 2021. The weighted-average grant date fair values of all options granted was $121.00 per share during the three months ended October 31, 2020, and $180.08 and $66.31 per share during the nine months ended October 31, 2021 and October 31, 2020, respectively. The total intrinsic value of all options exercised was $94.9 million and $162.4 million during the three months ended October 31, 2021 and October 31, 2020, respectively, and $483.3 million and $516.4 million during the nine months ended October 31, 2021 and October 31, 2020, respectively.</w:t>
      </w:r>
    </w:p>
    <w:p>
      <w:pPr>
        <w:spacing w:after="0" w:line="105"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The aggregate intrinsic value of stock options outstanding as of October 31, 2021 and January 31, 2021 was $1.2 billion and $1.4 billion, respectively, which represents the excess of the fair value of the Company’s common stock over the exercise price of the options multiplied by the number of options outstanding. The weighted-average remaining contractual term of stock options outstanding was 6.4 years and 7.0 years as of October 31, 2021 and January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367665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1" w:name="page22"/>
    <w:bookmarkEnd w:id="21"/>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firstLine="432"/>
        <w:spacing w:after="0" w:line="263" w:lineRule="auto"/>
        <w:rPr>
          <w:sz w:val="20"/>
          <w:szCs w:val="20"/>
          <w:color w:val="auto"/>
        </w:rPr>
      </w:pPr>
      <w:r>
        <w:rPr>
          <w:rFonts w:ascii="Arial" w:cs="Arial" w:eastAsia="Arial" w:hAnsi="Arial"/>
          <w:sz w:val="12"/>
          <w:szCs w:val="12"/>
          <w:color w:val="auto"/>
        </w:rPr>
        <w:t>Total unrecognized stock-based compensation expense related to unvested options was $21.0 million as of October 31, 2021. This expense is expected to be amortized on a straight-line basis over a weighted-average vesting period of 1.4 years. Total unrecognized stock-based compensation expense related to unvested options was $24.3 million as of January 31, 2021. This expense is expected to be amortized on a straight-line basis over a weighted-average vesting period of 1.7 years.</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Early Exercise of Employee Options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The 2011 Stock Plan allows for the early exercise of stock options for certain individuals as determined by the Board of Directors. The consideration received for an early exercise of an option is a deposit of the exercise price</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1"/>
          <w:szCs w:val="11"/>
          <w:color w:val="auto"/>
        </w:rPr>
        <w:t>and the related dollar amount is recorded as a liability for early exercise of unvested stock options in the condensed consolidated balance sheets. This liability is reclassified to additional paid-in capital as the awards vest. If a stock</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0"/>
          <w:szCs w:val="10"/>
          <w:color w:val="auto"/>
        </w:rPr>
        <w:t>option is early exercised, the unvested shares may be repurchased by the Company in case of employment termination or for any reason, including death and disability, at the price paid by the purchaser for such shares. There were no</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1"/>
          <w:szCs w:val="11"/>
          <w:color w:val="auto"/>
        </w:rPr>
        <w:t>issued shares of common stock related to early exercised stock options for the three and nine months ended October 31, 2021 or October 31, 2020. As of October 31, 2021, the number of shares of common stock related to early</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0"/>
          <w:szCs w:val="10"/>
          <w:color w:val="auto"/>
        </w:rPr>
        <w:t>exercised stock options subject to repurchase was 279,409 shares for $3.0 million. As of January 31, 2021, the number of shares of common stock related to early exercised stock options subject to repurchase was 548,028 shares for</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0"/>
          <w:szCs w:val="10"/>
          <w:color w:val="auto"/>
        </w:rPr>
        <w:t>$5.4 million. Common stock purchased pursuant to an early exercise of stock options is not deemed to be outstanding for accounting purposes until those shares vest. The Company includes unvested shares subject to repurchase in the</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2"/>
          <w:szCs w:val="12"/>
          <w:color w:val="auto"/>
        </w:rPr>
        <w:t>number of shares outstanding in the condensed consolidated balance sheet and statements of stockholders’ equity.</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Restricted Stock Units (“RSUs”) granted under the 2019 Plan are generally subject to only service-based vesting condition. The service-based vesting condition is generally satisfied based on one of four vesting schedules:</w:t>
      </w:r>
    </w:p>
    <w:p>
      <w:pPr>
        <w:spacing w:after="0" w:line="26" w:lineRule="exact"/>
        <w:rPr>
          <w:sz w:val="20"/>
          <w:szCs w:val="20"/>
          <w:color w:val="auto"/>
        </w:rPr>
      </w:pPr>
    </w:p>
    <w:p>
      <w:pPr>
        <w:ind w:left="8" w:hanging="8"/>
        <w:spacing w:after="0" w:line="253" w:lineRule="auto"/>
        <w:tabs>
          <w:tab w:leader="none" w:pos="151" w:val="left"/>
        </w:tabs>
        <w:numPr>
          <w:ilvl w:val="0"/>
          <w:numId w:val="14"/>
        </w:numPr>
        <w:rPr>
          <w:rFonts w:ascii="Arial" w:cs="Arial" w:eastAsia="Arial" w:hAnsi="Arial"/>
          <w:sz w:val="12"/>
          <w:szCs w:val="12"/>
          <w:color w:val="auto"/>
        </w:rPr>
      </w:pPr>
      <w:r>
        <w:rPr>
          <w:rFonts w:ascii="Arial" w:cs="Arial" w:eastAsia="Arial" w:hAnsi="Arial"/>
          <w:sz w:val="12"/>
          <w:szCs w:val="12"/>
          <w:color w:val="auto"/>
        </w:rPr>
        <w:t>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(iii) vesting in eight equal quarterly installments, subject to continued service, or (iv) vesting sixteen quarterly installments with 10% in the first year, 15% in the second year, 25% in the third year and 50% in the fourth year, subject to continued service. The valuation of such RSUs is based solely on the fair value of the Company’s stock price on the date of grant.</w:t>
      </w:r>
    </w:p>
    <w:p>
      <w:pPr>
        <w:spacing w:after="0" w:line="129"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Expense for RSUs that have a service-based vesting condition only are being amortized on a straight-line basis. Expense for RSUs that have both a service-based and a performance-based vesting condition are being amortized under the accelerated attribution method. Total unrecognized stock-based compensation expense related to unvested RSUs was $719.8 million as of October 31, 2021. This expense is expected to be amortized (subject to acceleration or straight-line basis) over a weighted-average vesting period of 2.4 years.</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Performance-based Stock Units</w:t>
      </w:r>
    </w:p>
    <w:p>
      <w:pPr>
        <w:spacing w:after="0" w:line="150" w:lineRule="exact"/>
        <w:rPr>
          <w:sz w:val="20"/>
          <w:szCs w:val="20"/>
          <w:color w:val="auto"/>
        </w:rPr>
      </w:pPr>
    </w:p>
    <w:p>
      <w:pPr>
        <w:ind w:left="8" w:right="320" w:firstLine="432"/>
        <w:spacing w:after="0" w:line="247" w:lineRule="auto"/>
        <w:rPr>
          <w:sz w:val="20"/>
          <w:szCs w:val="20"/>
          <w:color w:val="auto"/>
        </w:rPr>
      </w:pPr>
      <w:r>
        <w:rPr>
          <w:rFonts w:ascii="Arial" w:cs="Arial" w:eastAsia="Arial" w:hAnsi="Arial"/>
          <w:sz w:val="12"/>
          <w:szCs w:val="12"/>
          <w:color w:val="auto"/>
        </w:rPr>
        <w:t>Performance-based stock units (“PSUs”)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compensation cost is recognized over the requisite service period when it is probable that the performance condition will be satisfied.</w:t>
      </w:r>
    </w:p>
    <w:p>
      <w:pPr>
        <w:spacing w:after="0" w:line="13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Expense for PSUs is being amortized under the accelerated attribution method and may be adjusted over the vesting period based on interim estimates of performance against pre-set objectives.</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Total unrecognized stock-based compensation expense related to unvested PSUs was $56.9 million as of October 31, 2021. This expense is expected to be amortized over a weighted-average vesting period of 1.3 years.</w:t>
      </w:r>
    </w:p>
    <w:p>
      <w:pPr>
        <w:spacing w:after="0" w:line="16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Special PSU Award</w:t>
      </w:r>
    </w:p>
    <w:p>
      <w:pPr>
        <w:spacing w:after="0" w:line="141" w:lineRule="exact"/>
        <w:rPr>
          <w:sz w:val="20"/>
          <w:szCs w:val="20"/>
          <w:color w:val="auto"/>
        </w:rPr>
      </w:pPr>
    </w:p>
    <w:p>
      <w:pPr>
        <w:ind w:left="8" w:right="140" w:firstLine="432"/>
        <w:spacing w:after="0" w:line="255" w:lineRule="auto"/>
        <w:rPr>
          <w:sz w:val="20"/>
          <w:szCs w:val="20"/>
          <w:color w:val="auto"/>
        </w:rPr>
      </w:pPr>
      <w:r>
        <w:rPr>
          <w:rFonts w:ascii="Arial" w:cs="Arial" w:eastAsia="Arial" w:hAnsi="Arial"/>
          <w:sz w:val="11"/>
          <w:szCs w:val="11"/>
          <w:color w:val="auto"/>
        </w:rPr>
        <w:t>On August 28, 2021, the Company’s Board of Directors granted 540,000 performance stock units to George Kurtz, the Company’s President and Chief Executive Officer (the “Special PSU Award”). The Special PSU Award will vest upon the satisfaction of the Company’s achievement of specified stock price hurdles, which is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 will be satisfied in installments as follows, subject to continued employment with the Company through each applicable vesting date: (i) 50% of the Special PSU Award underlying the applicable tranche will service vest on the first anniversary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275" w:right="339" w:bottom="1440" w:gutter="0" w:footer="0" w:header="0"/>
        </w:sectPr>
      </w:pPr>
    </w:p>
    <w:bookmarkStart w:id="22" w:name="page23"/>
    <w:bookmarkEnd w:id="22"/>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93" w:lineRule="exact"/>
        <w:rPr>
          <w:sz w:val="20"/>
          <w:szCs w:val="20"/>
          <w:color w:val="auto"/>
        </w:rPr>
      </w:pPr>
    </w:p>
    <w:p>
      <w:pPr>
        <w:ind w:left="8" w:right="440"/>
        <w:spacing w:after="0" w:line="245" w:lineRule="auto"/>
        <w:rPr>
          <w:sz w:val="20"/>
          <w:szCs w:val="20"/>
          <w:color w:val="auto"/>
        </w:rPr>
      </w:pPr>
      <w:r>
        <w:rPr>
          <w:rFonts w:ascii="Arial" w:cs="Arial" w:eastAsia="Arial" w:hAnsi="Arial"/>
          <w:sz w:val="12"/>
          <w:szCs w:val="12"/>
          <w:color w:val="auto"/>
        </w:rPr>
        <w:t>vesting commencement date applicable to such tranche of the Special PSU Award (i.e., February 1, 2022, February 1, 2023, February 1, 2024 and February 1, 2025) and (ii) the remaining PSUs with respect to such tranche will thereafter service vest in four equal quarterly installments of 12.5%.</w:t>
      </w:r>
    </w:p>
    <w:p>
      <w:pPr>
        <w:spacing w:after="0" w:line="240" w:lineRule="exact"/>
        <w:rPr>
          <w:sz w:val="20"/>
          <w:szCs w:val="20"/>
          <w:color w:val="auto"/>
        </w:rPr>
      </w:pPr>
    </w:p>
    <w:p>
      <w:pPr>
        <w:jc w:val="both"/>
        <w:ind w:left="8" w:right="140" w:firstLine="432"/>
        <w:spacing w:after="0" w:line="234" w:lineRule="auto"/>
        <w:rPr>
          <w:sz w:val="20"/>
          <w:szCs w:val="20"/>
          <w:color w:val="auto"/>
        </w:rPr>
      </w:pPr>
      <w:r>
        <w:rPr>
          <w:rFonts w:ascii="Arial" w:cs="Arial" w:eastAsia="Arial" w:hAnsi="Arial"/>
          <w:sz w:val="12"/>
          <w:szCs w:val="12"/>
          <w:color w:val="auto"/>
        </w:rPr>
        <w:t>The Company measured the fair value of the Special PSU Award using a Monte Carlo simulation valuation model. The risk-free interest rate used was 0.85%, which is based on the zero-coupon-risk-free interest rate derived from the Treasury Constant Maturities yield curve for the expected term of the award on the grant date. The expected volatility is a blended volatility rate of 55.36%, which includes 50% weight on the Company’s historical volatility calculated from daily stock returns over a 2.21-year look-back from the grant date and 50% weight based on the Company’s implied volatility as of the grant date.</w:t>
      </w:r>
    </w:p>
    <w:p>
      <w:pPr>
        <w:spacing w:after="0" w:line="13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Stock-based compensation expense relating to the Special PSU Award is recognized using the accelerated attribution method.</w:t>
      </w:r>
    </w:p>
    <w:p>
      <w:pPr>
        <w:spacing w:after="0" w:line="150" w:lineRule="exact"/>
        <w:rPr>
          <w:sz w:val="20"/>
          <w:szCs w:val="20"/>
          <w:color w:val="auto"/>
        </w:rPr>
      </w:pPr>
    </w:p>
    <w:p>
      <w:pPr>
        <w:jc w:val="both"/>
        <w:ind w:left="8" w:right="140" w:firstLine="432"/>
        <w:spacing w:after="0" w:line="245" w:lineRule="auto"/>
        <w:rPr>
          <w:sz w:val="20"/>
          <w:szCs w:val="20"/>
          <w:color w:val="auto"/>
        </w:rPr>
      </w:pPr>
      <w:r>
        <w:rPr>
          <w:rFonts w:ascii="Arial" w:cs="Arial" w:eastAsia="Arial" w:hAnsi="Arial"/>
          <w:sz w:val="12"/>
          <w:szCs w:val="12"/>
          <w:color w:val="auto"/>
        </w:rPr>
        <w:t>Total unrecognized stock-based compensation expense related to the unvested portion of the Special PSU Award was $115.3 million as of October 31, 2021. This expense is expected to be amortized over a weighted-average vesting period of 3.1 years.</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is a summary of RSUs, PSUs and the Special PSU Award activities for the nine months ended October 31, 2021:</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84"/>
              <w:spacing w:after="0"/>
              <w:rPr>
                <w:sz w:val="20"/>
                <w:szCs w:val="20"/>
                <w:color w:val="auto"/>
              </w:rPr>
            </w:pPr>
            <w:r>
              <w:rPr>
                <w:rFonts w:ascii="Arial" w:cs="Arial" w:eastAsia="Arial" w:hAnsi="Arial"/>
                <w:sz w:val="10"/>
                <w:szCs w:val="10"/>
                <w:b w:val="1"/>
                <w:bCs w:val="1"/>
                <w:color w:val="auto"/>
                <w:w w:val="86"/>
              </w:rPr>
              <w:t>Weighted-</w:t>
            </w:r>
          </w:p>
        </w:tc>
        <w:tc>
          <w:tcPr>
            <w:tcW w:w="0" w:type="dxa"/>
            <w:vAlign w:val="bottom"/>
          </w:tcPr>
          <w:p>
            <w:pPr>
              <w:spacing w:after="0"/>
              <w:rPr>
                <w:sz w:val="1"/>
                <w:szCs w:val="1"/>
                <w:color w:val="auto"/>
              </w:rPr>
            </w:pPr>
          </w:p>
        </w:tc>
      </w:tr>
      <w:tr>
        <w:trPr>
          <w:trHeight w:val="90"/>
        </w:trPr>
        <w:tc>
          <w:tcPr>
            <w:tcW w:w="8160" w:type="dxa"/>
            <w:vAlign w:val="bottom"/>
          </w:tcPr>
          <w:p>
            <w:pPr>
              <w:spacing w:after="0"/>
              <w:rPr>
                <w:sz w:val="7"/>
                <w:szCs w:val="7"/>
                <w:color w:val="auto"/>
              </w:rPr>
            </w:pPr>
          </w:p>
        </w:tc>
        <w:tc>
          <w:tcPr>
            <w:tcW w:w="1100" w:type="dxa"/>
            <w:vAlign w:val="bottom"/>
            <w:vMerge w:val="restart"/>
          </w:tcPr>
          <w:p>
            <w:pPr>
              <w:jc w:val="center"/>
              <w:ind w:left="372"/>
              <w:spacing w:after="0"/>
              <w:rPr>
                <w:sz w:val="20"/>
                <w:szCs w:val="20"/>
                <w:color w:val="auto"/>
              </w:rPr>
            </w:pPr>
            <w:r>
              <w:rPr>
                <w:rFonts w:ascii="Arial" w:cs="Arial" w:eastAsia="Arial" w:hAnsi="Arial"/>
                <w:sz w:val="10"/>
                <w:szCs w:val="10"/>
                <w:b w:val="1"/>
                <w:bCs w:val="1"/>
                <w:color w:val="auto"/>
                <w:w w:val="87"/>
              </w:rPr>
              <w:t>Number of</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jc w:val="center"/>
              <w:ind w:right="204"/>
              <w:spacing w:after="0" w:line="90" w:lineRule="exact"/>
              <w:rPr>
                <w:sz w:val="20"/>
                <w:szCs w:val="20"/>
                <w:color w:val="auto"/>
              </w:rPr>
            </w:pPr>
            <w:r>
              <w:rPr>
                <w:rFonts w:ascii="Arial" w:cs="Arial" w:eastAsia="Arial" w:hAnsi="Arial"/>
                <w:sz w:val="10"/>
                <w:szCs w:val="10"/>
                <w:b w:val="1"/>
                <w:bCs w:val="1"/>
                <w:color w:val="auto"/>
                <w:w w:val="86"/>
              </w:rPr>
              <w:t>Average Grant</w:t>
            </w:r>
          </w:p>
        </w:tc>
        <w:tc>
          <w:tcPr>
            <w:tcW w:w="0" w:type="dxa"/>
            <w:vAlign w:val="bottom"/>
          </w:tcPr>
          <w:p>
            <w:pPr>
              <w:spacing w:after="0"/>
              <w:rPr>
                <w:sz w:val="1"/>
                <w:szCs w:val="1"/>
                <w:color w:val="auto"/>
              </w:rPr>
            </w:pPr>
          </w:p>
        </w:tc>
      </w:tr>
      <w:tr>
        <w:trPr>
          <w:trHeight w:val="90"/>
        </w:trPr>
        <w:tc>
          <w:tcPr>
            <w:tcW w:w="8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jc w:val="center"/>
              <w:ind w:right="204"/>
              <w:spacing w:after="0" w:line="90" w:lineRule="exact"/>
              <w:rPr>
                <w:sz w:val="20"/>
                <w:szCs w:val="20"/>
                <w:color w:val="auto"/>
              </w:rPr>
            </w:pPr>
            <w:r>
              <w:rPr>
                <w:rFonts w:ascii="Arial" w:cs="Arial" w:eastAsia="Arial" w:hAnsi="Arial"/>
                <w:sz w:val="10"/>
                <w:szCs w:val="10"/>
                <w:b w:val="1"/>
                <w:bCs w:val="1"/>
                <w:color w:val="auto"/>
                <w:w w:val="88"/>
              </w:rPr>
              <w:t>Date Fair Value</w:t>
            </w:r>
          </w:p>
        </w:tc>
        <w:tc>
          <w:tcPr>
            <w:tcW w:w="0" w:type="dxa"/>
            <w:vAlign w:val="bottom"/>
          </w:tcPr>
          <w:p>
            <w:pPr>
              <w:spacing w:after="0"/>
              <w:rPr>
                <w:sz w:val="1"/>
                <w:szCs w:val="1"/>
                <w:color w:val="auto"/>
              </w:rPr>
            </w:pPr>
          </w:p>
        </w:tc>
      </w:tr>
      <w:tr>
        <w:trPr>
          <w:trHeight w:val="125"/>
        </w:trPr>
        <w:tc>
          <w:tcPr>
            <w:tcW w:w="8160" w:type="dxa"/>
            <w:vAlign w:val="bottom"/>
          </w:tcPr>
          <w:p>
            <w:pPr>
              <w:spacing w:after="0"/>
              <w:rPr>
                <w:sz w:val="10"/>
                <w:szCs w:val="10"/>
                <w:color w:val="auto"/>
              </w:rPr>
            </w:pPr>
          </w:p>
        </w:tc>
        <w:tc>
          <w:tcPr>
            <w:tcW w:w="1100" w:type="dxa"/>
            <w:vAlign w:val="bottom"/>
            <w:tcBorders>
              <w:bottom w:val="single" w:sz="8" w:color="auto"/>
            </w:tcBorders>
          </w:tcPr>
          <w:p>
            <w:pPr>
              <w:jc w:val="center"/>
              <w:ind w:left="372"/>
              <w:spacing w:after="0"/>
              <w:rPr>
                <w:sz w:val="20"/>
                <w:szCs w:val="20"/>
                <w:color w:val="auto"/>
              </w:rPr>
            </w:pPr>
            <w:r>
              <w:rPr>
                <w:rFonts w:ascii="Arial" w:cs="Arial" w:eastAsia="Arial" w:hAnsi="Arial"/>
                <w:sz w:val="10"/>
                <w:szCs w:val="10"/>
                <w:b w:val="1"/>
                <w:bCs w:val="1"/>
                <w:color w:val="auto"/>
                <w:w w:val="83"/>
              </w:rPr>
              <w:t>Shares</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center"/>
              <w:ind w:right="204"/>
              <w:spacing w:after="0"/>
              <w:rPr>
                <w:sz w:val="20"/>
                <w:szCs w:val="20"/>
                <w:color w:val="auto"/>
              </w:rPr>
            </w:pPr>
            <w:r>
              <w:rPr>
                <w:rFonts w:ascii="Arial" w:cs="Arial" w:eastAsia="Arial" w:hAnsi="Arial"/>
                <w:sz w:val="10"/>
                <w:szCs w:val="10"/>
                <w:b w:val="1"/>
                <w:bCs w:val="1"/>
                <w:color w:val="auto"/>
                <w:w w:val="85"/>
              </w:rPr>
              <w:t>Per Share</w:t>
            </w:r>
          </w:p>
        </w:tc>
        <w:tc>
          <w:tcPr>
            <w:tcW w:w="0" w:type="dxa"/>
            <w:vAlign w:val="bottom"/>
          </w:tcPr>
          <w:p>
            <w:pPr>
              <w:spacing w:after="0"/>
              <w:rPr>
                <w:sz w:val="1"/>
                <w:szCs w:val="1"/>
                <w:color w:val="auto"/>
              </w:rPr>
            </w:pPr>
          </w:p>
        </w:tc>
      </w:tr>
      <w:tr>
        <w:trPr>
          <w:trHeight w:val="115"/>
        </w:trPr>
        <w:tc>
          <w:tcPr>
            <w:tcW w:w="8160" w:type="dxa"/>
            <w:vAlign w:val="bottom"/>
          </w:tcPr>
          <w:p>
            <w:pPr>
              <w:spacing w:after="0"/>
              <w:rPr>
                <w:sz w:val="10"/>
                <w:szCs w:val="10"/>
                <w:color w:val="auto"/>
              </w:rPr>
            </w:pPr>
          </w:p>
        </w:tc>
        <w:tc>
          <w:tcPr>
            <w:tcW w:w="1100" w:type="dxa"/>
            <w:vAlign w:val="bottom"/>
          </w:tcPr>
          <w:p>
            <w:pPr>
              <w:jc w:val="center"/>
              <w:ind w:left="372"/>
              <w:spacing w:after="0"/>
              <w:rPr>
                <w:sz w:val="20"/>
                <w:szCs w:val="20"/>
                <w:color w:val="auto"/>
              </w:rPr>
            </w:pPr>
            <w:r>
              <w:rPr>
                <w:rFonts w:ascii="Arial" w:cs="Arial" w:eastAsia="Arial" w:hAnsi="Arial"/>
                <w:sz w:val="10"/>
                <w:szCs w:val="10"/>
                <w:b w:val="1"/>
                <w:bCs w:val="1"/>
                <w:color w:val="auto"/>
                <w:w w:val="87"/>
              </w:rPr>
              <w:t>(in thousands)</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92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RSUs, PSUs and the Special PSU Award outstanding at January 31, 2021</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59.27</w:t>
            </w:r>
          </w:p>
        </w:tc>
        <w:tc>
          <w:tcPr>
            <w:tcW w:w="0" w:type="dxa"/>
            <w:vAlign w:val="bottom"/>
          </w:tcPr>
          <w:p>
            <w:pPr>
              <w:spacing w:after="0"/>
              <w:rPr>
                <w:sz w:val="1"/>
                <w:szCs w:val="1"/>
                <w:color w:val="auto"/>
              </w:rPr>
            </w:pPr>
          </w:p>
        </w:tc>
      </w:tr>
      <w:tr>
        <w:trPr>
          <w:trHeight w:val="153"/>
        </w:trPr>
        <w:tc>
          <w:tcPr>
            <w:tcW w:w="926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420" w:type="dxa"/>
            <w:vAlign w:val="bottom"/>
          </w:tcPr>
          <w:p>
            <w:pPr>
              <w:jc w:val="right"/>
              <w:spacing w:after="0"/>
              <w:rPr>
                <w:sz w:val="20"/>
                <w:szCs w:val="20"/>
                <w:color w:val="auto"/>
              </w:rPr>
            </w:pPr>
            <w:r>
              <w:rPr>
                <w:rFonts w:ascii="Arial" w:cs="Arial" w:eastAsia="Arial" w:hAnsi="Arial"/>
                <w:sz w:val="12"/>
                <w:szCs w:val="12"/>
                <w:color w:val="auto"/>
              </w:rPr>
              <w:t>2,964</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229.47</w:t>
            </w:r>
          </w:p>
        </w:tc>
        <w:tc>
          <w:tcPr>
            <w:tcW w:w="0" w:type="dxa"/>
            <w:vAlign w:val="bottom"/>
          </w:tcPr>
          <w:p>
            <w:pPr>
              <w:spacing w:after="0"/>
              <w:rPr>
                <w:sz w:val="1"/>
                <w:szCs w:val="1"/>
                <w:color w:val="auto"/>
              </w:rPr>
            </w:pPr>
          </w:p>
        </w:tc>
      </w:tr>
      <w:tr>
        <w:trPr>
          <w:trHeight w:val="153"/>
        </w:trPr>
        <w:tc>
          <w:tcPr>
            <w:tcW w:w="9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(2,680)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58.59</w:t>
            </w:r>
          </w:p>
        </w:tc>
        <w:tc>
          <w:tcPr>
            <w:tcW w:w="0" w:type="dxa"/>
            <w:vAlign w:val="bottom"/>
          </w:tcPr>
          <w:p>
            <w:pPr>
              <w:spacing w:after="0"/>
              <w:rPr>
                <w:sz w:val="1"/>
                <w:szCs w:val="1"/>
                <w:color w:val="auto"/>
              </w:rPr>
            </w:pPr>
          </w:p>
        </w:tc>
      </w:tr>
      <w:tr>
        <w:trPr>
          <w:trHeight w:val="153"/>
        </w:trPr>
        <w:tc>
          <w:tcPr>
            <w:tcW w:w="9260" w:type="dxa"/>
            <w:vAlign w:val="bottom"/>
            <w:gridSpan w:val="2"/>
          </w:tcPr>
          <w:p>
            <w:pPr>
              <w:spacing w:after="0" w:line="153" w:lineRule="exact"/>
              <w:rPr>
                <w:sz w:val="20"/>
                <w:szCs w:val="20"/>
                <w:color w:val="auto"/>
              </w:rPr>
            </w:pPr>
            <w:r>
              <w:rPr>
                <w:rFonts w:ascii="Arial" w:cs="Arial" w:eastAsia="Arial" w:hAnsi="Arial"/>
                <w:sz w:val="12"/>
                <w:szCs w:val="12"/>
                <w:color w:val="auto"/>
              </w:rPr>
              <w:t xml:space="preserve">Performance adjustment </w:t>
            </w:r>
            <w:r>
              <w:rPr>
                <w:rFonts w:ascii="Arial" w:cs="Arial" w:eastAsia="Arial" w:hAnsi="Arial"/>
                <w:sz w:val="15"/>
                <w:szCs w:val="15"/>
                <w:color w:val="auto"/>
                <w:vertAlign w:val="superscript"/>
              </w:rPr>
              <w:t>(1)</w:t>
            </w:r>
          </w:p>
        </w:tc>
        <w:tc>
          <w:tcPr>
            <w:tcW w:w="420" w:type="dxa"/>
            <w:vAlign w:val="bottom"/>
          </w:tcPr>
          <w:p>
            <w:pPr>
              <w:jc w:val="right"/>
              <w:spacing w:after="0"/>
              <w:rPr>
                <w:sz w:val="20"/>
                <w:szCs w:val="20"/>
                <w:color w:val="auto"/>
              </w:rPr>
            </w:pPr>
            <w:r>
              <w:rPr>
                <w:rFonts w:ascii="Arial" w:cs="Arial" w:eastAsia="Arial" w:hAnsi="Arial"/>
                <w:sz w:val="12"/>
                <w:szCs w:val="12"/>
                <w:color w:val="auto"/>
              </w:rPr>
              <w:t>153</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58.15</w:t>
            </w: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1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99.42</w:t>
            </w:r>
          </w:p>
        </w:tc>
        <w:tc>
          <w:tcPr>
            <w:tcW w:w="0" w:type="dxa"/>
            <w:vAlign w:val="bottom"/>
          </w:tcPr>
          <w:p>
            <w:pPr>
              <w:spacing w:after="0"/>
              <w:rPr>
                <w:sz w:val="1"/>
                <w:szCs w:val="1"/>
                <w:color w:val="auto"/>
              </w:rPr>
            </w:pPr>
          </w:p>
        </w:tc>
      </w:tr>
      <w:tr>
        <w:trPr>
          <w:trHeight w:val="174"/>
        </w:trPr>
        <w:tc>
          <w:tcPr>
            <w:tcW w:w="81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RSUs, PSUs and the Special PSU Award outstanding at October 31, 2021</w:t>
            </w:r>
          </w:p>
        </w:tc>
        <w:tc>
          <w:tcPr>
            <w:tcW w:w="1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8,472</w:t>
            </w:r>
          </w:p>
        </w:tc>
        <w:tc>
          <w:tcPr>
            <w:tcW w:w="3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117.05</w:t>
            </w:r>
          </w:p>
        </w:tc>
        <w:tc>
          <w:tcPr>
            <w:tcW w:w="0" w:type="dxa"/>
            <w:vAlign w:val="bottom"/>
          </w:tcPr>
          <w:p>
            <w:pPr>
              <w:spacing w:after="0"/>
              <w:rPr>
                <w:sz w:val="1"/>
                <w:szCs w:val="1"/>
                <w:color w:val="auto"/>
              </w:rPr>
            </w:pPr>
          </w:p>
        </w:tc>
      </w:tr>
      <w:tr>
        <w:trPr>
          <w:trHeight w:val="158"/>
        </w:trPr>
        <w:tc>
          <w:tcPr>
            <w:tcW w:w="8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RSUs, PSUs, and the Special PSU Award expected to vest at October 31, 2021</w:t>
            </w:r>
          </w:p>
        </w:tc>
        <w:tc>
          <w:tcPr>
            <w:tcW w:w="110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8,472</w:t>
            </w:r>
          </w:p>
        </w:tc>
        <w:tc>
          <w:tcPr>
            <w:tcW w:w="3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117.05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__________________________________</w:t>
      </w:r>
    </w:p>
    <w:p>
      <w:pPr>
        <w:spacing w:after="0" w:line="154" w:lineRule="exact"/>
        <w:rPr>
          <w:sz w:val="20"/>
          <w:szCs w:val="20"/>
          <w:color w:val="auto"/>
        </w:rPr>
      </w:pPr>
    </w:p>
    <w:p>
      <w:pPr>
        <w:ind w:left="428" w:hanging="428"/>
        <w:spacing w:after="0"/>
        <w:tabs>
          <w:tab w:leader="none" w:pos="4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Performance adjustment represents adjustments in shares outstanding due to the actual achievement of performance based awards, the achievement of which was based upon predefined financial performance targets.</w:t>
      </w:r>
    </w:p>
    <w:p>
      <w:pPr>
        <w:spacing w:after="0" w:line="161" w:lineRule="exact"/>
        <w:rPr>
          <w:rFonts w:ascii="Arial" w:cs="Arial" w:eastAsia="Arial" w:hAnsi="Arial"/>
          <w:sz w:val="11"/>
          <w:szCs w:val="11"/>
          <w:color w:val="auto"/>
        </w:rPr>
      </w:pPr>
    </w:p>
    <w:p>
      <w:pPr>
        <w:ind w:left="428"/>
        <w:spacing w:after="0"/>
        <w:rPr>
          <w:rFonts w:ascii="Arial" w:cs="Arial" w:eastAsia="Arial" w:hAnsi="Arial"/>
          <w:sz w:val="11"/>
          <w:szCs w:val="11"/>
          <w:color w:val="auto"/>
        </w:rPr>
      </w:pPr>
      <w:r>
        <w:rPr>
          <w:rFonts w:ascii="Arial" w:cs="Arial" w:eastAsia="Arial" w:hAnsi="Arial"/>
          <w:sz w:val="12"/>
          <w:szCs w:val="12"/>
          <w:b w:val="1"/>
          <w:bCs w:val="1"/>
          <w:i w:val="1"/>
          <w:iCs w:val="1"/>
          <w:color w:val="auto"/>
        </w:rPr>
        <w:t>Employee Stock Purchase Plan</w:t>
      </w:r>
    </w:p>
    <w:p>
      <w:pPr>
        <w:spacing w:after="0" w:line="150" w:lineRule="exact"/>
        <w:rPr>
          <w:sz w:val="20"/>
          <w:szCs w:val="20"/>
          <w:color w:val="auto"/>
        </w:rPr>
      </w:pPr>
    </w:p>
    <w:p>
      <w:pPr>
        <w:ind w:left="8" w:firstLine="432"/>
        <w:spacing w:after="0" w:line="283" w:lineRule="auto"/>
        <w:rPr>
          <w:sz w:val="20"/>
          <w:szCs w:val="20"/>
          <w:color w:val="auto"/>
        </w:rPr>
      </w:pPr>
      <w:r>
        <w:rPr>
          <w:rFonts w:ascii="Arial" w:cs="Arial" w:eastAsia="Arial" w:hAnsi="Arial"/>
          <w:sz w:val="11"/>
          <w:szCs w:val="11"/>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13" w:lineRule="exact"/>
        <w:rPr>
          <w:sz w:val="20"/>
          <w:szCs w:val="20"/>
          <w:color w:val="auto"/>
        </w:rPr>
      </w:pPr>
    </w:p>
    <w:p>
      <w:pPr>
        <w:ind w:left="8" w:right="320" w:firstLine="432"/>
        <w:spacing w:after="0" w:line="323" w:lineRule="auto"/>
        <w:rPr>
          <w:sz w:val="20"/>
          <w:szCs w:val="20"/>
          <w:color w:val="auto"/>
        </w:rPr>
      </w:pPr>
      <w:r>
        <w:rPr>
          <w:rFonts w:ascii="Arial" w:cs="Arial" w:eastAsia="Arial" w:hAnsi="Arial"/>
          <w:sz w:val="11"/>
          <w:szCs w:val="11"/>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439420</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75" w:right="319" w:bottom="1440" w:gutter="0" w:footer="0" w:header="0"/>
        </w:sectPr>
      </w:pPr>
    </w:p>
    <w:bookmarkStart w:id="23" w:name="page24"/>
    <w:bookmarkEnd w:id="23"/>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8" w:right="100" w:firstLine="432"/>
        <w:spacing w:after="0" w:line="294" w:lineRule="auto"/>
        <w:rPr>
          <w:sz w:val="20"/>
          <w:szCs w:val="20"/>
          <w:color w:val="auto"/>
        </w:rPr>
      </w:pPr>
      <w:r>
        <w:rPr>
          <w:rFonts w:ascii="Arial" w:cs="Arial" w:eastAsia="Arial" w:hAnsi="Arial"/>
          <w:sz w:val="10"/>
          <w:szCs w:val="10"/>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pre-and post-modification fair values are calculated on the date of the modification, and the incremental expense is then amortized over the remaining purchase period. Incremental expense as a result of such modification was $1.1 million and $0.8 million for the three months ended October 31, 2021 and October 31, 2020, respectively, and $5.4 million and $1.6 million for the nine months ended October 31, 2021 and October 31, 2020, respectively.</w:t>
      </w:r>
    </w:p>
    <w:p>
      <w:pPr>
        <w:spacing w:after="0" w:line="103" w:lineRule="exact"/>
        <w:rPr>
          <w:sz w:val="20"/>
          <w:szCs w:val="20"/>
          <w:color w:val="auto"/>
        </w:rPr>
      </w:pPr>
    </w:p>
    <w:p>
      <w:pPr>
        <w:ind w:left="8" w:right="180" w:firstLine="432"/>
        <w:spacing w:after="0" w:line="276" w:lineRule="auto"/>
        <w:rPr>
          <w:sz w:val="20"/>
          <w:szCs w:val="20"/>
          <w:color w:val="auto"/>
        </w:rPr>
      </w:pPr>
      <w:r>
        <w:rPr>
          <w:rFonts w:ascii="Arial" w:cs="Arial" w:eastAsia="Arial" w:hAnsi="Arial"/>
          <w:sz w:val="12"/>
          <w:szCs w:val="12"/>
          <w:color w:val="auto"/>
        </w:rPr>
        <w:t>Employee payroll contributions ultimately used to purchase shares are reclassified to stockholders’ equity on the purchase date. ESPP employee payroll contributions accrued at October 31, 2021 and January 31, 2021 totaled $20.4 million and $11.0 million are included within accrued payroll and benefits in the condensed consolidated balance sheets.</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The following table summarizes the assumptions used in the Black-Scholes option-pricing model to determine fair value of the Company’s common shares to be issued under the ESPP for the offering periods beginning in June</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2019:</w:t>
      </w:r>
    </w:p>
    <w:p>
      <w:pPr>
        <w:spacing w:after="0" w:line="163"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8020" w:type="dxa"/>
            <w:vAlign w:val="bottom"/>
          </w:tcPr>
          <w:p>
            <w:pPr>
              <w:spacing w:after="0"/>
              <w:rPr>
                <w:sz w:val="11"/>
                <w:szCs w:val="11"/>
                <w:color w:val="auto"/>
              </w:rPr>
            </w:pPr>
          </w:p>
        </w:tc>
        <w:tc>
          <w:tcPr>
            <w:tcW w:w="2320" w:type="dxa"/>
            <w:vAlign w:val="bottom"/>
            <w:tcBorders>
              <w:bottom w:val="single" w:sz="8" w:color="auto"/>
            </w:tcBorders>
            <w:gridSpan w:val="3"/>
          </w:tcPr>
          <w:p>
            <w:pPr>
              <w:ind w:left="960"/>
              <w:spacing w:after="0"/>
              <w:rPr>
                <w:sz w:val="20"/>
                <w:szCs w:val="20"/>
                <w:color w:val="auto"/>
              </w:rPr>
            </w:pPr>
            <w:r>
              <w:rPr>
                <w:rFonts w:ascii="Arial" w:cs="Arial" w:eastAsia="Arial" w:hAnsi="Arial"/>
                <w:sz w:val="10"/>
                <w:szCs w:val="10"/>
                <w:b w:val="1"/>
                <w:bCs w:val="1"/>
                <w:color w:val="auto"/>
                <w:w w:val="88"/>
              </w:rPr>
              <w:t>Nine Months Ended October 31,</w:t>
            </w:r>
          </w:p>
        </w:tc>
        <w:tc>
          <w:tcPr>
            <w:tcW w:w="920" w:type="dxa"/>
            <w:vAlign w:val="bottom"/>
            <w:tcBorders>
              <w:bottom w:val="single" w:sz="8" w:color="auto"/>
            </w:tcBorders>
          </w:tcPr>
          <w:p>
            <w:pPr>
              <w:spacing w:after="0"/>
              <w:rPr>
                <w:sz w:val="11"/>
                <w:szCs w:val="11"/>
                <w:color w:val="auto"/>
              </w:rPr>
            </w:pPr>
          </w:p>
        </w:tc>
      </w:tr>
      <w:tr>
        <w:trPr>
          <w:trHeight w:val="118"/>
        </w:trPr>
        <w:tc>
          <w:tcPr>
            <w:tcW w:w="8020" w:type="dxa"/>
            <w:vAlign w:val="bottom"/>
            <w:tcBorders>
              <w:bottom w:val="single" w:sz="8" w:color="CCEEFF"/>
            </w:tcBorders>
          </w:tcPr>
          <w:p>
            <w:pPr>
              <w:spacing w:after="0"/>
              <w:rPr>
                <w:sz w:val="10"/>
                <w:szCs w:val="10"/>
                <w:color w:val="auto"/>
              </w:rPr>
            </w:pPr>
          </w:p>
        </w:tc>
        <w:tc>
          <w:tcPr>
            <w:tcW w:w="1580" w:type="dxa"/>
            <w:vAlign w:val="bottom"/>
            <w:tcBorders>
              <w:bottom w:val="single" w:sz="8" w:color="auto"/>
            </w:tcBorders>
          </w:tcPr>
          <w:p>
            <w:pPr>
              <w:jc w:val="right"/>
              <w:ind w:right="644"/>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w w:val="89"/>
              </w:rPr>
              <w:t>2020</w:t>
            </w:r>
          </w:p>
        </w:tc>
      </w:tr>
      <w:tr>
        <w:trPr>
          <w:trHeight w:val="143"/>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Expected term (in years)</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0.5 - 2.0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0.5 - 2.0</w:t>
            </w:r>
          </w:p>
        </w:tc>
      </w:tr>
      <w:tr>
        <w:trPr>
          <w:trHeight w:val="153"/>
        </w:trPr>
        <w:tc>
          <w:tcPr>
            <w:tcW w:w="8020" w:type="dxa"/>
            <w:vAlign w:val="bottom"/>
          </w:tcPr>
          <w:p>
            <w:pPr>
              <w:spacing w:after="0"/>
              <w:rPr>
                <w:sz w:val="20"/>
                <w:szCs w:val="20"/>
                <w:color w:val="auto"/>
              </w:rPr>
            </w:pPr>
            <w:r>
              <w:rPr>
                <w:rFonts w:ascii="Arial" w:cs="Arial" w:eastAsia="Arial" w:hAnsi="Arial"/>
                <w:sz w:val="12"/>
                <w:szCs w:val="12"/>
                <w:color w:val="auto"/>
              </w:rPr>
              <w:t>Risk-free interest rate</w:t>
            </w:r>
          </w:p>
        </w:tc>
        <w:tc>
          <w:tcPr>
            <w:tcW w:w="1580" w:type="dxa"/>
            <w:vAlign w:val="bottom"/>
          </w:tcPr>
          <w:p>
            <w:pPr>
              <w:jc w:val="right"/>
              <w:spacing w:after="0"/>
              <w:rPr>
                <w:sz w:val="20"/>
                <w:szCs w:val="20"/>
                <w:color w:val="auto"/>
              </w:rPr>
            </w:pPr>
            <w:r>
              <w:rPr>
                <w:rFonts w:ascii="Arial" w:cs="Arial" w:eastAsia="Arial" w:hAnsi="Arial"/>
                <w:sz w:val="12"/>
                <w:szCs w:val="12"/>
                <w:color w:val="auto"/>
              </w:rPr>
              <w:t>0.0% - 1.9%</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0.2% - 2.0%</w:t>
            </w:r>
          </w:p>
        </w:tc>
      </w:tr>
      <w:tr>
        <w:trPr>
          <w:trHeight w:val="153"/>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Expected stock price volatility</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 - 55.9%</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 - 54.3%</w:t>
            </w:r>
          </w:p>
        </w:tc>
      </w:tr>
      <w:tr>
        <w:trPr>
          <w:trHeight w:val="153"/>
        </w:trPr>
        <w:tc>
          <w:tcPr>
            <w:tcW w:w="8020" w:type="dxa"/>
            <w:vAlign w:val="bottom"/>
          </w:tcPr>
          <w:p>
            <w:pPr>
              <w:spacing w:after="0"/>
              <w:rPr>
                <w:sz w:val="20"/>
                <w:szCs w:val="20"/>
                <w:color w:val="auto"/>
              </w:rPr>
            </w:pPr>
            <w:r>
              <w:rPr>
                <w:rFonts w:ascii="Arial" w:cs="Arial" w:eastAsia="Arial" w:hAnsi="Arial"/>
                <w:sz w:val="12"/>
                <w:szCs w:val="12"/>
                <w:color w:val="auto"/>
              </w:rPr>
              <w:t>Dividend yield</w:t>
            </w:r>
          </w:p>
        </w:tc>
        <w:tc>
          <w:tcPr>
            <w:tcW w:w="2320" w:type="dxa"/>
            <w:vAlign w:val="bottom"/>
            <w:gridSpan w:val="3"/>
          </w:tcPr>
          <w:p>
            <w:pPr>
              <w:jc w:val="right"/>
              <w:ind w:right="7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r>
    </w:tbl>
    <w:p>
      <w:pPr>
        <w:spacing w:after="0" w:line="16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Stock-Based Compensation Expense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Stock-based compensation expense included in the condensed consolidated statements of operations is as follows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0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Three Months Ended October 31,</w:t>
            </w: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Nine Months Ended October 31,</w:t>
            </w:r>
          </w:p>
        </w:tc>
        <w:tc>
          <w:tcPr>
            <w:tcW w:w="860" w:type="dxa"/>
            <w:vAlign w:val="bottom"/>
            <w:tcBorders>
              <w:bottom w:val="single" w:sz="8" w:color="auto"/>
            </w:tcBorders>
          </w:tcPr>
          <w:p>
            <w:pPr>
              <w:spacing w:after="0"/>
              <w:rPr>
                <w:sz w:val="11"/>
                <w:szCs w:val="11"/>
                <w:color w:val="auto"/>
              </w:rPr>
            </w:pPr>
          </w:p>
        </w:tc>
      </w:tr>
      <w:tr>
        <w:trPr>
          <w:trHeight w:val="126"/>
        </w:trPr>
        <w:tc>
          <w:tcPr>
            <w:tcW w:w="40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r>
      <w:tr>
        <w:trPr>
          <w:trHeight w:val="162"/>
        </w:trPr>
        <w:tc>
          <w:tcPr>
            <w:tcW w:w="40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 cost of revenue</w:t>
            </w: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5,969</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3,226</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15,548</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7,856</w:t>
            </w:r>
          </w:p>
        </w:tc>
      </w:tr>
      <w:tr>
        <w:trPr>
          <w:trHeight w:val="153"/>
        </w:trPr>
        <w:tc>
          <w:tcPr>
            <w:tcW w:w="4000" w:type="dxa"/>
            <w:vAlign w:val="bottom"/>
          </w:tcPr>
          <w:p>
            <w:pPr>
              <w:ind w:left="440"/>
              <w:spacing w:after="0"/>
              <w:rPr>
                <w:sz w:val="20"/>
                <w:szCs w:val="20"/>
                <w:color w:val="auto"/>
              </w:rPr>
            </w:pPr>
            <w:r>
              <w:rPr>
                <w:rFonts w:ascii="Arial" w:cs="Arial" w:eastAsia="Arial" w:hAnsi="Arial"/>
                <w:sz w:val="12"/>
                <w:szCs w:val="12"/>
                <w:color w:val="auto"/>
              </w:rPr>
              <w:t>Professional services cost of revenue</w:t>
            </w:r>
          </w:p>
        </w:tc>
        <w:tc>
          <w:tcPr>
            <w:tcW w:w="7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2,546</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1,551</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6,963</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3,947</w:t>
            </w:r>
          </w:p>
        </w:tc>
      </w:tr>
      <w:tr>
        <w:trPr>
          <w:trHeight w:val="153"/>
        </w:trPr>
        <w:tc>
          <w:tcPr>
            <w:tcW w:w="40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Sales and marketing</w:t>
            </w:r>
          </w:p>
        </w:tc>
        <w:tc>
          <w:tcPr>
            <w:tcW w:w="7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25,499</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12,811</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68,178</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35,101</w:t>
            </w:r>
          </w:p>
        </w:tc>
      </w:tr>
      <w:tr>
        <w:trPr>
          <w:trHeight w:val="153"/>
        </w:trPr>
        <w:tc>
          <w:tcPr>
            <w:tcW w:w="4000" w:type="dxa"/>
            <w:vAlign w:val="bottom"/>
          </w:tcPr>
          <w:p>
            <w:pPr>
              <w:ind w:left="440"/>
              <w:spacing w:after="0"/>
              <w:rPr>
                <w:sz w:val="20"/>
                <w:szCs w:val="20"/>
                <w:color w:val="auto"/>
              </w:rPr>
            </w:pPr>
            <w:r>
              <w:rPr>
                <w:rFonts w:ascii="Arial" w:cs="Arial" w:eastAsia="Arial" w:hAnsi="Arial"/>
                <w:sz w:val="12"/>
                <w:szCs w:val="12"/>
                <w:color w:val="auto"/>
              </w:rPr>
              <w:t>Research and development</w:t>
            </w:r>
          </w:p>
        </w:tc>
        <w:tc>
          <w:tcPr>
            <w:tcW w:w="7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27,333</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11,771</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70,942</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25,700</w:t>
            </w:r>
          </w:p>
        </w:tc>
      </w:tr>
      <w:tr>
        <w:trPr>
          <w:trHeight w:val="153"/>
        </w:trPr>
        <w:tc>
          <w:tcPr>
            <w:tcW w:w="40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General and administrative</w:t>
            </w:r>
          </w:p>
        </w:tc>
        <w:tc>
          <w:tcPr>
            <w:tcW w:w="7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25,319</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11,251</w:t>
            </w:r>
          </w:p>
        </w:tc>
        <w:tc>
          <w:tcPr>
            <w:tcW w:w="6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55,684</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29,357</w:t>
            </w:r>
          </w:p>
        </w:tc>
      </w:tr>
      <w:tr>
        <w:trPr>
          <w:trHeight w:val="142"/>
        </w:trPr>
        <w:tc>
          <w:tcPr>
            <w:tcW w:w="4000" w:type="dxa"/>
            <w:vAlign w:val="bottom"/>
          </w:tcPr>
          <w:p>
            <w:pPr>
              <w:ind w:left="520"/>
              <w:spacing w:after="0"/>
              <w:rPr>
                <w:sz w:val="20"/>
                <w:szCs w:val="20"/>
                <w:color w:val="auto"/>
              </w:rPr>
            </w:pPr>
            <w:r>
              <w:rPr>
                <w:rFonts w:ascii="Arial" w:cs="Arial" w:eastAsia="Arial" w:hAnsi="Arial"/>
                <w:sz w:val="12"/>
                <w:szCs w:val="12"/>
                <w:color w:val="auto"/>
              </w:rPr>
              <w:t>Total stock-based compensation expense</w:t>
            </w: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86,666</w:t>
            </w:r>
          </w:p>
        </w:tc>
        <w:tc>
          <w:tcPr>
            <w:tcW w:w="80" w:type="dxa"/>
            <w:vAlign w:val="bottom"/>
          </w:tcPr>
          <w:p>
            <w:pPr>
              <w:spacing w:after="0"/>
              <w:rPr>
                <w:sz w:val="12"/>
                <w:szCs w:val="1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40,610</w:t>
            </w:r>
          </w:p>
        </w:tc>
        <w:tc>
          <w:tcPr>
            <w:tcW w:w="60" w:type="dxa"/>
            <w:vAlign w:val="bottom"/>
          </w:tcPr>
          <w:p>
            <w:pPr>
              <w:spacing w:after="0"/>
              <w:rPr>
                <w:sz w:val="12"/>
                <w:szCs w:val="12"/>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217,315</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101,961</w:t>
            </w:r>
          </w:p>
        </w:tc>
      </w:tr>
      <w:tr>
        <w:trPr>
          <w:trHeight w:val="20"/>
        </w:trPr>
        <w:tc>
          <w:tcPr>
            <w:tcW w:w="4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08" w:hanging="208"/>
        <w:spacing w:after="0"/>
        <w:tabs>
          <w:tab w:leader="none" w:pos="208" w:val="left"/>
        </w:tabs>
        <w:numPr>
          <w:ilvl w:val="0"/>
          <w:numId w:val="1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Revenue, Deferred Revenue and Remaining Performance Obligations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the revenue from contracts by type of customer (in thousands, except percentages):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8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Three Months Ended October 31,</w:t>
            </w: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Nine Months Ended October 31,</w:t>
            </w: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2021</w:t>
            </w:r>
          </w:p>
        </w:tc>
        <w:tc>
          <w:tcPr>
            <w:tcW w:w="3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805"/>
              <w:spacing w:after="0"/>
              <w:rPr>
                <w:sz w:val="20"/>
                <w:szCs w:val="20"/>
                <w:color w:val="auto"/>
              </w:rPr>
            </w:pPr>
            <w:r>
              <w:rPr>
                <w:rFonts w:ascii="Arial" w:cs="Arial" w:eastAsia="Arial" w:hAnsi="Arial"/>
                <w:sz w:val="10"/>
                <w:szCs w:val="10"/>
                <w:b w:val="1"/>
                <w:bCs w:val="1"/>
                <w:color w:val="auto"/>
                <w:w w:val="80"/>
              </w:rPr>
              <w:t>2020</w:t>
            </w:r>
          </w:p>
        </w:tc>
        <w:tc>
          <w:tcPr>
            <w:tcW w:w="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25"/>
              <w:spacing w:after="0"/>
              <w:rPr>
                <w:sz w:val="20"/>
                <w:szCs w:val="20"/>
                <w:color w:val="auto"/>
              </w:rPr>
            </w:pPr>
            <w:r>
              <w:rPr>
                <w:rFonts w:ascii="Arial" w:cs="Arial" w:eastAsia="Arial" w:hAnsi="Arial"/>
                <w:sz w:val="10"/>
                <w:szCs w:val="10"/>
                <w:b w:val="1"/>
                <w:bCs w:val="1"/>
                <w:color w:val="auto"/>
                <w:w w:val="71"/>
              </w:rPr>
              <w:t>2020</w:t>
            </w: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gridSpan w:val="3"/>
          </w:tcPr>
          <w:p>
            <w:pPr>
              <w:jc w:val="right"/>
              <w:ind w:right="680"/>
              <w:spacing w:after="0"/>
              <w:rPr>
                <w:sz w:val="20"/>
                <w:szCs w:val="20"/>
                <w:color w:val="auto"/>
              </w:rPr>
            </w:pPr>
            <w:r>
              <w:rPr>
                <w:rFonts w:ascii="Arial" w:cs="Arial" w:eastAsia="Arial" w:hAnsi="Arial"/>
                <w:sz w:val="10"/>
                <w:szCs w:val="10"/>
                <w:b w:val="1"/>
                <w:bCs w:val="1"/>
                <w:color w:val="auto"/>
              </w:rPr>
              <w:t>Amount</w:t>
            </w:r>
          </w:p>
        </w:tc>
        <w:tc>
          <w:tcPr>
            <w:tcW w:w="880" w:type="dxa"/>
            <w:vAlign w:val="bottom"/>
            <w:gridSpan w:val="2"/>
          </w:tcPr>
          <w:p>
            <w:pPr>
              <w:jc w:val="right"/>
              <w:ind w:right="103"/>
              <w:spacing w:after="0"/>
              <w:rPr>
                <w:sz w:val="20"/>
                <w:szCs w:val="20"/>
                <w:color w:val="auto"/>
              </w:rPr>
            </w:pPr>
            <w:r>
              <w:rPr>
                <w:rFonts w:ascii="Arial" w:cs="Arial" w:eastAsia="Arial" w:hAnsi="Arial"/>
                <w:sz w:val="10"/>
                <w:szCs w:val="10"/>
                <w:b w:val="1"/>
                <w:bCs w:val="1"/>
                <w:color w:val="auto"/>
              </w:rPr>
              <w:t>% Revenue</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 Revenue</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0"/>
                <w:szCs w:val="10"/>
                <w:b w:val="1"/>
                <w:bCs w:val="1"/>
                <w:color w:val="auto"/>
              </w:rPr>
              <w:t>Amount</w:t>
            </w:r>
          </w:p>
        </w:tc>
        <w:tc>
          <w:tcPr>
            <w:tcW w:w="900" w:type="dxa"/>
            <w:vAlign w:val="bottom"/>
            <w:gridSpan w:val="2"/>
          </w:tcPr>
          <w:p>
            <w:pPr>
              <w:jc w:val="right"/>
              <w:ind w:right="83"/>
              <w:spacing w:after="0"/>
              <w:rPr>
                <w:sz w:val="20"/>
                <w:szCs w:val="20"/>
                <w:color w:val="auto"/>
              </w:rPr>
            </w:pPr>
            <w:r>
              <w:rPr>
                <w:rFonts w:ascii="Arial" w:cs="Arial" w:eastAsia="Arial" w:hAnsi="Arial"/>
                <w:sz w:val="10"/>
                <w:szCs w:val="10"/>
                <w:b w:val="1"/>
                <w:bCs w:val="1"/>
                <w:color w:val="auto"/>
              </w:rPr>
              <w:t>% Revenue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920" w:type="dxa"/>
            <w:vAlign w:val="bottom"/>
            <w:gridSpan w:val="2"/>
          </w:tcPr>
          <w:p>
            <w:pPr>
              <w:ind w:left="580"/>
              <w:spacing w:after="0"/>
              <w:rPr>
                <w:sz w:val="20"/>
                <w:szCs w:val="20"/>
                <w:color w:val="auto"/>
              </w:rPr>
            </w:pPr>
            <w:r>
              <w:rPr>
                <w:rFonts w:ascii="Arial" w:cs="Arial" w:eastAsia="Arial" w:hAnsi="Arial"/>
                <w:sz w:val="10"/>
                <w:szCs w:val="10"/>
                <w:b w:val="1"/>
                <w:bCs w:val="1"/>
                <w:color w:val="auto"/>
                <w:w w:val="76"/>
              </w:rPr>
              <w:t>% Reven</w:t>
            </w:r>
          </w:p>
        </w:tc>
        <w:tc>
          <w:tcPr>
            <w:tcW w:w="0" w:type="dxa"/>
            <w:vAlign w:val="bottom"/>
          </w:tcPr>
          <w:p>
            <w:pPr>
              <w:spacing w:after="0"/>
              <w:rPr>
                <w:sz w:val="1"/>
                <w:szCs w:val="1"/>
                <w:color w:val="auto"/>
              </w:rPr>
            </w:pPr>
          </w:p>
        </w:tc>
      </w:tr>
      <w:tr>
        <w:trPr>
          <w:trHeight w:val="126"/>
        </w:trPr>
        <w:tc>
          <w:tcPr>
            <w:tcW w:w="860" w:type="dxa"/>
            <w:vAlign w:val="bottom"/>
            <w:shd w:val="clear" w:color="auto" w:fill="CCEEFF"/>
          </w:tcPr>
          <w:p>
            <w:pPr>
              <w:ind w:left="440"/>
              <w:spacing w:after="0" w:line="126" w:lineRule="exact"/>
              <w:rPr>
                <w:sz w:val="20"/>
                <w:szCs w:val="20"/>
                <w:color w:val="auto"/>
              </w:rPr>
            </w:pPr>
            <w:r>
              <w:rPr>
                <w:rFonts w:ascii="Arial" w:cs="Arial" w:eastAsia="Arial" w:hAnsi="Arial"/>
                <w:sz w:val="12"/>
                <w:szCs w:val="12"/>
                <w:color w:val="auto"/>
                <w:w w:val="89"/>
              </w:rPr>
              <w:t>Channel</w:t>
            </w:r>
          </w:p>
        </w:tc>
        <w:tc>
          <w:tcPr>
            <w:tcW w:w="62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282,774</w:t>
            </w:r>
          </w:p>
        </w:tc>
        <w:tc>
          <w:tcPr>
            <w:tcW w:w="6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74</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175,837</w:t>
            </w:r>
          </w:p>
        </w:tc>
        <w:tc>
          <w:tcPr>
            <w:tcW w:w="60" w:type="dxa"/>
            <w:vAlign w:val="bottom"/>
            <w:shd w:val="clear" w:color="auto" w:fill="CCEEFF"/>
          </w:tcPr>
          <w:p>
            <w:pPr>
              <w:spacing w:after="0"/>
              <w:rPr>
                <w:sz w:val="10"/>
                <w:szCs w:val="10"/>
                <w:color w:val="auto"/>
              </w:rPr>
            </w:pPr>
          </w:p>
        </w:tc>
        <w:tc>
          <w:tcPr>
            <w:tcW w:w="1060" w:type="dxa"/>
            <w:vAlign w:val="bottom"/>
            <w:tcBorders>
              <w:top w:val="single" w:sz="8" w:color="auto"/>
            </w:tcBorders>
            <w:vMerge w:val="restart"/>
            <w:shd w:val="clear" w:color="auto" w:fill="CCEEFF"/>
          </w:tcPr>
          <w:p>
            <w:pPr>
              <w:jc w:val="right"/>
              <w:ind w:right="385"/>
              <w:spacing w:after="0"/>
              <w:rPr>
                <w:sz w:val="20"/>
                <w:szCs w:val="20"/>
                <w:color w:val="auto"/>
              </w:rPr>
            </w:pPr>
            <w:r>
              <w:rPr>
                <w:rFonts w:ascii="Arial" w:cs="Arial" w:eastAsia="Arial" w:hAnsi="Arial"/>
                <w:sz w:val="12"/>
                <w:szCs w:val="12"/>
                <w:color w:val="auto"/>
              </w:rPr>
              <w:t>76</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2"/>
                <w:szCs w:val="12"/>
                <w:color w:val="auto"/>
              </w:rPr>
              <w:t>761,597</w:t>
            </w:r>
          </w:p>
        </w:tc>
        <w:tc>
          <w:tcPr>
            <w:tcW w:w="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75</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459,529</w:t>
            </w:r>
          </w:p>
        </w:tc>
        <w:tc>
          <w:tcPr>
            <w:tcW w:w="60" w:type="dxa"/>
            <w:vAlign w:val="bottom"/>
            <w:shd w:val="clear" w:color="auto" w:fill="CCEEFF"/>
          </w:tcPr>
          <w:p>
            <w:pPr>
              <w:spacing w:after="0"/>
              <w:rPr>
                <w:sz w:val="10"/>
                <w:szCs w:val="10"/>
                <w:color w:val="auto"/>
              </w:rPr>
            </w:pPr>
          </w:p>
        </w:tc>
        <w:tc>
          <w:tcPr>
            <w:tcW w:w="860" w:type="dxa"/>
            <w:vAlign w:val="bottom"/>
            <w:tcBorders>
              <w:top w:val="single" w:sz="8" w:color="auto"/>
            </w:tcBorders>
            <w:vMerge w:val="restart"/>
            <w:shd w:val="clear" w:color="auto" w:fill="CCEEFF"/>
          </w:tcPr>
          <w:p>
            <w:pPr>
              <w:jc w:val="right"/>
              <w:ind w:right="185"/>
              <w:spacing w:after="0"/>
              <w:rPr>
                <w:sz w:val="20"/>
                <w:szCs w:val="20"/>
                <w:color w:val="auto"/>
              </w:rPr>
            </w:pPr>
            <w:r>
              <w:rPr>
                <w:rFonts w:ascii="Arial" w:cs="Arial" w:eastAsia="Arial" w:hAnsi="Arial"/>
                <w:sz w:val="12"/>
                <w:szCs w:val="12"/>
                <w:color w:val="auto"/>
              </w:rPr>
              <w:t>75</w:t>
            </w:r>
          </w:p>
        </w:tc>
        <w:tc>
          <w:tcPr>
            <w:tcW w:w="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60" w:type="dxa"/>
            <w:vAlign w:val="bottom"/>
            <w:shd w:val="clear" w:color="auto" w:fill="CCEEFF"/>
          </w:tcPr>
          <w:p>
            <w:pPr>
              <w:spacing w:after="0"/>
              <w:rPr>
                <w:sz w:val="20"/>
                <w:szCs w:val="20"/>
                <w:color w:val="auto"/>
              </w:rPr>
            </w:pPr>
            <w:r>
              <w:rPr>
                <w:rFonts w:ascii="Arial" w:cs="Arial" w:eastAsia="Arial" w:hAnsi="Arial"/>
                <w:sz w:val="12"/>
                <w:szCs w:val="12"/>
                <w:color w:val="auto"/>
              </w:rPr>
              <w:t>Partners</w:t>
            </w: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60" w:type="dxa"/>
            <w:vAlign w:val="bottom"/>
          </w:tcPr>
          <w:p>
            <w:pPr>
              <w:ind w:left="440"/>
              <w:spacing w:after="0" w:line="117" w:lineRule="exact"/>
              <w:rPr>
                <w:sz w:val="20"/>
                <w:szCs w:val="20"/>
                <w:color w:val="auto"/>
              </w:rPr>
            </w:pPr>
            <w:r>
              <w:rPr>
                <w:rFonts w:ascii="Arial" w:cs="Arial" w:eastAsia="Arial" w:hAnsi="Arial"/>
                <w:sz w:val="12"/>
                <w:szCs w:val="12"/>
                <w:color w:val="auto"/>
              </w:rPr>
              <w:t>Direct</w:t>
            </w:r>
          </w:p>
        </w:tc>
        <w:tc>
          <w:tcPr>
            <w:tcW w:w="6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97,277</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vMerge w:val="restart"/>
          </w:tcPr>
          <w:p>
            <w:pPr>
              <w:jc w:val="right"/>
              <w:ind w:right="3"/>
              <w:spacing w:after="0"/>
              <w:rPr>
                <w:sz w:val="20"/>
                <w:szCs w:val="20"/>
                <w:color w:val="auto"/>
              </w:rPr>
            </w:pPr>
            <w:r>
              <w:rPr>
                <w:rFonts w:ascii="Arial" w:cs="Arial" w:eastAsia="Arial" w:hAnsi="Arial"/>
                <w:sz w:val="12"/>
                <w:szCs w:val="12"/>
                <w:color w:val="auto"/>
              </w:rPr>
              <w:t>26</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56,623</w:t>
            </w:r>
          </w:p>
        </w:tc>
        <w:tc>
          <w:tcPr>
            <w:tcW w:w="60" w:type="dxa"/>
            <w:vAlign w:val="bottom"/>
          </w:tcPr>
          <w:p>
            <w:pPr>
              <w:spacing w:after="0"/>
              <w:rPr>
                <w:sz w:val="10"/>
                <w:szCs w:val="10"/>
                <w:color w:val="auto"/>
              </w:rPr>
            </w:pPr>
          </w:p>
        </w:tc>
        <w:tc>
          <w:tcPr>
            <w:tcW w:w="1060" w:type="dxa"/>
            <w:vAlign w:val="bottom"/>
            <w:vMerge w:val="restart"/>
          </w:tcPr>
          <w:p>
            <w:pPr>
              <w:jc w:val="right"/>
              <w:ind w:right="385"/>
              <w:spacing w:after="0"/>
              <w:rPr>
                <w:sz w:val="20"/>
                <w:szCs w:val="20"/>
                <w:color w:val="auto"/>
              </w:rPr>
            </w:pPr>
            <w:r>
              <w:rPr>
                <w:rFonts w:ascii="Arial" w:cs="Arial" w:eastAsia="Arial" w:hAnsi="Arial"/>
                <w:sz w:val="12"/>
                <w:szCs w:val="12"/>
                <w:color w:val="auto"/>
              </w:rPr>
              <w:t>24</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93"/>
              </w:rPr>
              <w:t>%</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restart"/>
          </w:tcPr>
          <w:p>
            <w:pPr>
              <w:jc w:val="right"/>
              <w:ind w:right="5"/>
              <w:spacing w:after="0"/>
              <w:rPr>
                <w:sz w:val="20"/>
                <w:szCs w:val="20"/>
                <w:color w:val="auto"/>
              </w:rPr>
            </w:pPr>
            <w:r>
              <w:rPr>
                <w:rFonts w:ascii="Arial" w:cs="Arial" w:eastAsia="Arial" w:hAnsi="Arial"/>
                <w:sz w:val="12"/>
                <w:szCs w:val="12"/>
                <w:color w:val="auto"/>
              </w:rPr>
              <w:t>258,987</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vMerge w:val="restart"/>
          </w:tcPr>
          <w:p>
            <w:pPr>
              <w:jc w:val="right"/>
              <w:ind w:right="3"/>
              <w:spacing w:after="0"/>
              <w:rPr>
                <w:sz w:val="20"/>
                <w:szCs w:val="20"/>
                <w:color w:val="auto"/>
              </w:rPr>
            </w:pPr>
            <w:r>
              <w:rPr>
                <w:rFonts w:ascii="Arial" w:cs="Arial" w:eastAsia="Arial" w:hAnsi="Arial"/>
                <w:sz w:val="12"/>
                <w:szCs w:val="12"/>
                <w:color w:val="auto"/>
              </w:rPr>
              <w:t>25</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149,980</w:t>
            </w:r>
          </w:p>
        </w:tc>
        <w:tc>
          <w:tcPr>
            <w:tcW w:w="60" w:type="dxa"/>
            <w:vAlign w:val="bottom"/>
          </w:tcPr>
          <w:p>
            <w:pPr>
              <w:spacing w:after="0"/>
              <w:rPr>
                <w:sz w:val="10"/>
                <w:szCs w:val="10"/>
                <w:color w:val="auto"/>
              </w:rPr>
            </w:pPr>
          </w:p>
        </w:tc>
        <w:tc>
          <w:tcPr>
            <w:tcW w:w="860" w:type="dxa"/>
            <w:vAlign w:val="bottom"/>
            <w:vMerge w:val="restart"/>
          </w:tcPr>
          <w:p>
            <w:pPr>
              <w:jc w:val="right"/>
              <w:ind w:right="185"/>
              <w:spacing w:after="0"/>
              <w:rPr>
                <w:sz w:val="20"/>
                <w:szCs w:val="20"/>
                <w:color w:val="auto"/>
              </w:rPr>
            </w:pPr>
            <w:r>
              <w:rPr>
                <w:rFonts w:ascii="Arial" w:cs="Arial" w:eastAsia="Arial" w:hAnsi="Arial"/>
                <w:sz w:val="12"/>
                <w:szCs w:val="12"/>
                <w:color w:val="auto"/>
              </w:rPr>
              <w:t>25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Customers</w:t>
            </w: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60" w:type="dxa"/>
            <w:vAlign w:val="bottom"/>
            <w:shd w:val="clear" w:color="auto" w:fill="CCEEFF"/>
          </w:tcPr>
          <w:p>
            <w:pPr>
              <w:ind w:left="520"/>
              <w:spacing w:after="0" w:line="97" w:lineRule="exact"/>
              <w:rPr>
                <w:sz w:val="20"/>
                <w:szCs w:val="20"/>
                <w:color w:val="auto"/>
              </w:rPr>
            </w:pPr>
            <w:r>
              <w:rPr>
                <w:rFonts w:ascii="Arial" w:cs="Arial" w:eastAsia="Arial" w:hAnsi="Arial"/>
                <w:sz w:val="11"/>
                <w:szCs w:val="11"/>
                <w:color w:val="auto"/>
              </w:rPr>
              <w:t>Total</w:t>
            </w: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380,051</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100</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232,460</w:t>
            </w:r>
          </w:p>
        </w:tc>
        <w:tc>
          <w:tcPr>
            <w:tcW w:w="6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ind w:right="385"/>
              <w:spacing w:after="0"/>
              <w:rPr>
                <w:sz w:val="20"/>
                <w:szCs w:val="20"/>
                <w:color w:val="auto"/>
              </w:rPr>
            </w:pPr>
            <w:r>
              <w:rPr>
                <w:rFonts w:ascii="Arial" w:cs="Arial" w:eastAsia="Arial" w:hAnsi="Arial"/>
                <w:sz w:val="12"/>
                <w:szCs w:val="12"/>
                <w:color w:val="auto"/>
              </w:rPr>
              <w:t>100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CCEEFF"/>
          </w:tcPr>
          <w:p>
            <w:pPr>
              <w:jc w:val="right"/>
              <w:ind w:right="5"/>
              <w:spacing w:after="0"/>
              <w:rPr>
                <w:sz w:val="20"/>
                <w:szCs w:val="20"/>
                <w:color w:val="auto"/>
              </w:rPr>
            </w:pPr>
            <w:r>
              <w:rPr>
                <w:rFonts w:ascii="Arial" w:cs="Arial" w:eastAsia="Arial" w:hAnsi="Arial"/>
                <w:sz w:val="12"/>
                <w:szCs w:val="12"/>
                <w:color w:val="auto"/>
              </w:rPr>
              <w:t>1,020,584</w:t>
            </w: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609,509</w:t>
            </w:r>
          </w:p>
        </w:tc>
        <w:tc>
          <w:tcPr>
            <w:tcW w:w="6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ind w:right="185"/>
              <w:spacing w:after="0"/>
              <w:rPr>
                <w:sz w:val="20"/>
                <w:szCs w:val="20"/>
                <w:color w:val="auto"/>
              </w:rPr>
            </w:pPr>
            <w:r>
              <w:rPr>
                <w:rFonts w:ascii="Arial" w:cs="Arial" w:eastAsia="Arial" w:hAnsi="Arial"/>
                <w:sz w:val="12"/>
                <w:szCs w:val="12"/>
                <w:color w:val="auto"/>
              </w:rPr>
              <w:t>100</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860" w:type="dxa"/>
            <w:vAlign w:val="bottom"/>
            <w:tcBorders>
              <w:bottom w:val="single" w:sz="8" w:color="CCEEFF"/>
            </w:tcBorders>
            <w:shd w:val="clear" w:color="auto" w:fill="CCEEFF"/>
          </w:tcPr>
          <w:p>
            <w:pPr>
              <w:ind w:left="80"/>
              <w:spacing w:after="0" w:line="135" w:lineRule="exact"/>
              <w:rPr>
                <w:sz w:val="20"/>
                <w:szCs w:val="20"/>
                <w:color w:val="auto"/>
              </w:rPr>
            </w:pPr>
            <w:r>
              <w:rPr>
                <w:rFonts w:ascii="Arial" w:cs="Arial" w:eastAsia="Arial" w:hAnsi="Arial"/>
                <w:sz w:val="12"/>
                <w:szCs w:val="12"/>
                <w:color w:val="auto"/>
              </w:rPr>
              <w:t>revenue</w:t>
            </w: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11"/>
        </w:trPr>
        <w:tc>
          <w:tcPr>
            <w:tcW w:w="8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68"/>
          </w:cols>
          <w:pgMar w:left="292" w:top="275" w:right="239" w:bottom="1440" w:gutter="0" w:footer="0" w:header="0"/>
        </w:sectPr>
      </w:pPr>
    </w:p>
    <w:bookmarkStart w:id="24" w:name="page25"/>
    <w:bookmarkEnd w:id="24"/>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300" w:firstLine="432"/>
        <w:spacing w:after="0" w:line="259" w:lineRule="auto"/>
        <w:rPr>
          <w:sz w:val="20"/>
          <w:szCs w:val="20"/>
          <w:color w:val="auto"/>
        </w:rPr>
      </w:pPr>
      <w:r>
        <w:rPr>
          <w:rFonts w:ascii="Arial" w:cs="Arial" w:eastAsia="Arial" w:hAnsi="Arial"/>
          <w:sz w:val="12"/>
          <w:szCs w:val="12"/>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2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revenue by region based on the shipping address of customers who have contracted to use the Company’s platform or service (in thousands, except percentages):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Three Months Ended October 31,</w:t>
            </w: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Nine Months Ended October 31,</w:t>
            </w: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823"/>
              <w:spacing w:after="0"/>
              <w:rPr>
                <w:sz w:val="20"/>
                <w:szCs w:val="20"/>
                <w:color w:val="auto"/>
              </w:rPr>
            </w:pPr>
            <w:r>
              <w:rPr>
                <w:rFonts w:ascii="Arial" w:cs="Arial" w:eastAsia="Arial" w:hAnsi="Arial"/>
                <w:sz w:val="10"/>
                <w:szCs w:val="10"/>
                <w:b w:val="1"/>
                <w:bCs w:val="1"/>
                <w:color w:val="auto"/>
                <w:w w:val="71"/>
              </w:rPr>
              <w:t>2020</w:t>
            </w:r>
          </w:p>
        </w:tc>
        <w:tc>
          <w:tcPr>
            <w:tcW w:w="1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03"/>
              <w:spacing w:after="0"/>
              <w:rPr>
                <w:sz w:val="20"/>
                <w:szCs w:val="20"/>
                <w:color w:val="auto"/>
              </w:rPr>
            </w:pPr>
            <w:r>
              <w:rPr>
                <w:rFonts w:ascii="Arial" w:cs="Arial" w:eastAsia="Arial" w:hAnsi="Arial"/>
                <w:sz w:val="10"/>
                <w:szCs w:val="10"/>
                <w:b w:val="1"/>
                <w:bCs w:val="1"/>
                <w:color w:val="auto"/>
                <w:w w:val="80"/>
              </w:rPr>
              <w:t>2020</w:t>
            </w: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0"/>
                <w:szCs w:val="10"/>
                <w:b w:val="1"/>
                <w:bCs w:val="1"/>
                <w:color w:val="auto"/>
              </w:rPr>
              <w:t>Amount</w:t>
            </w:r>
          </w:p>
        </w:tc>
        <w:tc>
          <w:tcPr>
            <w:tcW w:w="880" w:type="dxa"/>
            <w:vAlign w:val="bottom"/>
            <w:gridSpan w:val="2"/>
          </w:tcPr>
          <w:p>
            <w:pPr>
              <w:jc w:val="right"/>
              <w:ind w:right="82"/>
              <w:spacing w:after="0"/>
              <w:rPr>
                <w:sz w:val="20"/>
                <w:szCs w:val="20"/>
                <w:color w:val="auto"/>
              </w:rPr>
            </w:pPr>
            <w:r>
              <w:rPr>
                <w:rFonts w:ascii="Arial" w:cs="Arial" w:eastAsia="Arial" w:hAnsi="Arial"/>
                <w:sz w:val="10"/>
                <w:szCs w:val="10"/>
                <w:b w:val="1"/>
                <w:bCs w:val="1"/>
                <w:color w:val="auto"/>
              </w:rPr>
              <w:t>% Revenue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 Revenue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gridSpan w:val="3"/>
          </w:tcPr>
          <w:p>
            <w:pPr>
              <w:jc w:val="right"/>
              <w:ind w:right="700"/>
              <w:spacing w:after="0"/>
              <w:rPr>
                <w:sz w:val="20"/>
                <w:szCs w:val="20"/>
                <w:color w:val="auto"/>
              </w:rPr>
            </w:pPr>
            <w:r>
              <w:rPr>
                <w:rFonts w:ascii="Arial" w:cs="Arial" w:eastAsia="Arial" w:hAnsi="Arial"/>
                <w:sz w:val="10"/>
                <w:szCs w:val="10"/>
                <w:b w:val="1"/>
                <w:bCs w:val="1"/>
                <w:color w:val="auto"/>
              </w:rPr>
              <w:t>Amount</w:t>
            </w:r>
          </w:p>
        </w:tc>
        <w:tc>
          <w:tcPr>
            <w:tcW w:w="900" w:type="dxa"/>
            <w:vAlign w:val="bottom"/>
            <w:gridSpan w:val="2"/>
          </w:tcPr>
          <w:p>
            <w:pPr>
              <w:jc w:val="right"/>
              <w:ind w:right="82"/>
              <w:spacing w:after="0"/>
              <w:rPr>
                <w:sz w:val="20"/>
                <w:szCs w:val="20"/>
                <w:color w:val="auto"/>
              </w:rPr>
            </w:pPr>
            <w:r>
              <w:rPr>
                <w:rFonts w:ascii="Arial" w:cs="Arial" w:eastAsia="Arial" w:hAnsi="Arial"/>
                <w:sz w:val="10"/>
                <w:szCs w:val="10"/>
                <w:b w:val="1"/>
                <w:bCs w:val="1"/>
                <w:color w:val="auto"/>
              </w:rPr>
              <w:t>% Revenue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 Reven</w:t>
            </w:r>
          </w:p>
        </w:tc>
        <w:tc>
          <w:tcPr>
            <w:tcW w:w="0" w:type="dxa"/>
            <w:vAlign w:val="bottom"/>
          </w:tcPr>
          <w:p>
            <w:pPr>
              <w:spacing w:after="0"/>
              <w:rPr>
                <w:sz w:val="1"/>
                <w:szCs w:val="1"/>
                <w:color w:val="auto"/>
              </w:rPr>
            </w:pPr>
          </w:p>
        </w:tc>
      </w:tr>
      <w:tr>
        <w:trPr>
          <w:trHeight w:val="126"/>
        </w:trPr>
        <w:tc>
          <w:tcPr>
            <w:tcW w:w="840" w:type="dxa"/>
            <w:vAlign w:val="bottom"/>
            <w:shd w:val="clear" w:color="auto" w:fill="CCEEFF"/>
          </w:tcPr>
          <w:p>
            <w:pPr>
              <w:ind w:left="440"/>
              <w:spacing w:after="0" w:line="126" w:lineRule="exact"/>
              <w:rPr>
                <w:sz w:val="20"/>
                <w:szCs w:val="20"/>
                <w:color w:val="auto"/>
              </w:rPr>
            </w:pPr>
            <w:r>
              <w:rPr>
                <w:rFonts w:ascii="Arial" w:cs="Arial" w:eastAsia="Arial" w:hAnsi="Arial"/>
                <w:sz w:val="12"/>
                <w:szCs w:val="12"/>
                <w:color w:val="auto"/>
              </w:rPr>
              <w:t>United</w:t>
            </w:r>
          </w:p>
        </w:tc>
        <w:tc>
          <w:tcPr>
            <w:tcW w:w="62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276,698</w:t>
            </w:r>
          </w:p>
        </w:tc>
        <w:tc>
          <w:tcPr>
            <w:tcW w:w="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73</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167,741</w:t>
            </w:r>
          </w:p>
        </w:tc>
        <w:tc>
          <w:tcPr>
            <w:tcW w:w="60" w:type="dxa"/>
            <w:vAlign w:val="bottom"/>
            <w:shd w:val="clear" w:color="auto" w:fill="CCEEFF"/>
          </w:tcPr>
          <w:p>
            <w:pPr>
              <w:spacing w:after="0"/>
              <w:rPr>
                <w:sz w:val="10"/>
                <w:szCs w:val="10"/>
                <w:color w:val="auto"/>
              </w:rPr>
            </w:pPr>
          </w:p>
        </w:tc>
        <w:tc>
          <w:tcPr>
            <w:tcW w:w="1060" w:type="dxa"/>
            <w:vAlign w:val="bottom"/>
            <w:tcBorders>
              <w:top w:val="single" w:sz="8" w:color="auto"/>
            </w:tcBorders>
            <w:vMerge w:val="restart"/>
            <w:shd w:val="clear" w:color="auto" w:fill="CCEEFF"/>
          </w:tcPr>
          <w:p>
            <w:pPr>
              <w:jc w:val="right"/>
              <w:ind w:right="403"/>
              <w:spacing w:after="0"/>
              <w:rPr>
                <w:sz w:val="20"/>
                <w:szCs w:val="20"/>
                <w:color w:val="auto"/>
              </w:rPr>
            </w:pPr>
            <w:r>
              <w:rPr>
                <w:rFonts w:ascii="Arial" w:cs="Arial" w:eastAsia="Arial" w:hAnsi="Arial"/>
                <w:sz w:val="12"/>
                <w:szCs w:val="12"/>
                <w:color w:val="auto"/>
              </w:rPr>
              <w:t>72</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741,168</w:t>
            </w:r>
          </w:p>
        </w:tc>
        <w:tc>
          <w:tcPr>
            <w:tcW w:w="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73</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438,955</w:t>
            </w:r>
          </w:p>
        </w:tc>
        <w:tc>
          <w:tcPr>
            <w:tcW w:w="40" w:type="dxa"/>
            <w:vAlign w:val="bottom"/>
            <w:shd w:val="clear" w:color="auto" w:fill="CCEEFF"/>
          </w:tcPr>
          <w:p>
            <w:pPr>
              <w:spacing w:after="0"/>
              <w:rPr>
                <w:sz w:val="10"/>
                <w:szCs w:val="10"/>
                <w:color w:val="auto"/>
              </w:rPr>
            </w:pPr>
          </w:p>
        </w:tc>
        <w:tc>
          <w:tcPr>
            <w:tcW w:w="960" w:type="dxa"/>
            <w:vAlign w:val="bottom"/>
            <w:tcBorders>
              <w:top w:val="single" w:sz="8" w:color="auto"/>
            </w:tcBorders>
            <w:vMerge w:val="restart"/>
            <w:shd w:val="clear" w:color="auto" w:fill="CCEEFF"/>
          </w:tcPr>
          <w:p>
            <w:pPr>
              <w:jc w:val="right"/>
              <w:ind w:right="283"/>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53"/>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States</w:t>
            </w: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 w:type="dxa"/>
            <w:vAlign w:val="bottom"/>
          </w:tcPr>
          <w:p>
            <w:pPr>
              <w:ind w:left="440"/>
              <w:spacing w:after="0" w:line="117" w:lineRule="exact"/>
              <w:rPr>
                <w:sz w:val="20"/>
                <w:szCs w:val="20"/>
                <w:color w:val="auto"/>
              </w:rPr>
            </w:pPr>
            <w:r>
              <w:rPr>
                <w:rFonts w:ascii="Arial" w:cs="Arial" w:eastAsia="Arial" w:hAnsi="Arial"/>
                <w:sz w:val="12"/>
                <w:szCs w:val="12"/>
                <w:color w:val="auto"/>
                <w:w w:val="90"/>
              </w:rPr>
              <w:t>Europe,</w:t>
            </w: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line="117" w:lineRule="exact"/>
              <w:rPr>
                <w:sz w:val="20"/>
                <w:szCs w:val="20"/>
                <w:color w:val="auto"/>
              </w:rPr>
            </w:pPr>
            <w:r>
              <w:rPr>
                <w:rFonts w:ascii="Arial" w:cs="Arial" w:eastAsia="Arial" w:hAnsi="Arial"/>
                <w:sz w:val="12"/>
                <w:szCs w:val="12"/>
                <w:color w:val="auto"/>
                <w:w w:val="91"/>
              </w:rPr>
              <w:t>Middle East, and</w:t>
            </w:r>
          </w:p>
        </w:tc>
        <w:tc>
          <w:tcPr>
            <w:tcW w:w="620" w:type="dxa"/>
            <w:vAlign w:val="bottom"/>
          </w:tcPr>
          <w:p>
            <w:pPr>
              <w:spacing w:after="0"/>
              <w:rPr>
                <w:sz w:val="10"/>
                <w:szCs w:val="10"/>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2"/>
                <w:szCs w:val="12"/>
                <w:color w:val="auto"/>
              </w:rPr>
              <w:t>50,721</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vMerge w:val="restart"/>
          </w:tcPr>
          <w:p>
            <w:pPr>
              <w:jc w:val="right"/>
              <w:ind w:right="22"/>
              <w:spacing w:after="0"/>
              <w:rPr>
                <w:sz w:val="20"/>
                <w:szCs w:val="20"/>
                <w:color w:val="auto"/>
              </w:rPr>
            </w:pPr>
            <w:r>
              <w:rPr>
                <w:rFonts w:ascii="Arial" w:cs="Arial" w:eastAsia="Arial" w:hAnsi="Arial"/>
                <w:sz w:val="12"/>
                <w:szCs w:val="12"/>
                <w:color w:val="auto"/>
              </w:rPr>
              <w:t>13</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33,192</w:t>
            </w:r>
          </w:p>
        </w:tc>
        <w:tc>
          <w:tcPr>
            <w:tcW w:w="60" w:type="dxa"/>
            <w:vAlign w:val="bottom"/>
          </w:tcPr>
          <w:p>
            <w:pPr>
              <w:spacing w:after="0"/>
              <w:rPr>
                <w:sz w:val="10"/>
                <w:szCs w:val="10"/>
                <w:color w:val="auto"/>
              </w:rPr>
            </w:pPr>
          </w:p>
        </w:tc>
        <w:tc>
          <w:tcPr>
            <w:tcW w:w="1060" w:type="dxa"/>
            <w:vAlign w:val="bottom"/>
            <w:vMerge w:val="restart"/>
          </w:tcPr>
          <w:p>
            <w:pPr>
              <w:jc w:val="right"/>
              <w:ind w:right="403"/>
              <w:spacing w:after="0"/>
              <w:rPr>
                <w:sz w:val="20"/>
                <w:szCs w:val="20"/>
                <w:color w:val="auto"/>
              </w:rPr>
            </w:pPr>
            <w:r>
              <w:rPr>
                <w:rFonts w:ascii="Arial" w:cs="Arial" w:eastAsia="Arial" w:hAnsi="Arial"/>
                <w:sz w:val="12"/>
                <w:szCs w:val="12"/>
                <w:color w:val="auto"/>
              </w:rPr>
              <w:t>14</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138,920</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vMerge w:val="restart"/>
          </w:tcPr>
          <w:p>
            <w:pPr>
              <w:jc w:val="right"/>
              <w:ind w:right="2"/>
              <w:spacing w:after="0"/>
              <w:rPr>
                <w:sz w:val="20"/>
                <w:szCs w:val="20"/>
                <w:color w:val="auto"/>
              </w:rPr>
            </w:pPr>
            <w:r>
              <w:rPr>
                <w:rFonts w:ascii="Arial" w:cs="Arial" w:eastAsia="Arial" w:hAnsi="Arial"/>
                <w:sz w:val="12"/>
                <w:szCs w:val="12"/>
                <w:color w:val="auto"/>
              </w:rPr>
              <w:t>14</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86,785</w:t>
            </w:r>
          </w:p>
        </w:tc>
        <w:tc>
          <w:tcPr>
            <w:tcW w:w="40" w:type="dxa"/>
            <w:vAlign w:val="bottom"/>
          </w:tcPr>
          <w:p>
            <w:pPr>
              <w:spacing w:after="0"/>
              <w:rPr>
                <w:sz w:val="10"/>
                <w:szCs w:val="10"/>
                <w:color w:val="auto"/>
              </w:rPr>
            </w:pPr>
          </w:p>
        </w:tc>
        <w:tc>
          <w:tcPr>
            <w:tcW w:w="960" w:type="dxa"/>
            <w:vAlign w:val="bottom"/>
            <w:vMerge w:val="restart"/>
          </w:tcPr>
          <w:p>
            <w:pPr>
              <w:jc w:val="right"/>
              <w:ind w:right="283"/>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Africa</w:t>
            </w:r>
          </w:p>
        </w:tc>
        <w:tc>
          <w:tcPr>
            <w:tcW w:w="6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 w:type="dxa"/>
            <w:vAlign w:val="bottom"/>
            <w:shd w:val="clear" w:color="auto" w:fill="CCEEFF"/>
          </w:tcPr>
          <w:p>
            <w:pPr>
              <w:ind w:left="440"/>
              <w:spacing w:after="0" w:line="117" w:lineRule="exact"/>
              <w:rPr>
                <w:sz w:val="20"/>
                <w:szCs w:val="20"/>
                <w:color w:val="auto"/>
              </w:rPr>
            </w:pPr>
            <w:r>
              <w:rPr>
                <w:rFonts w:ascii="Arial" w:cs="Arial" w:eastAsia="Arial" w:hAnsi="Arial"/>
                <w:sz w:val="12"/>
                <w:szCs w:val="12"/>
                <w:color w:val="auto"/>
              </w:rPr>
              <w:t>Asia</w:t>
            </w:r>
          </w:p>
        </w:tc>
        <w:tc>
          <w:tcPr>
            <w:tcW w:w="6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37,265</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10</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20,551</w:t>
            </w:r>
          </w:p>
        </w:tc>
        <w:tc>
          <w:tcPr>
            <w:tcW w:w="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403"/>
              <w:spacing w:after="0"/>
              <w:rPr>
                <w:sz w:val="20"/>
                <w:szCs w:val="20"/>
                <w:color w:val="auto"/>
              </w:rPr>
            </w:pPr>
            <w:r>
              <w:rPr>
                <w:rFonts w:ascii="Arial" w:cs="Arial" w:eastAsia="Arial" w:hAnsi="Arial"/>
                <w:sz w:val="12"/>
                <w:szCs w:val="12"/>
                <w:color w:val="auto"/>
              </w:rPr>
              <w:t>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99,263</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9</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53,186</w:t>
            </w:r>
          </w:p>
        </w:tc>
        <w:tc>
          <w:tcPr>
            <w:tcW w:w="4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283"/>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3"/>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Pacific</w:t>
            </w:r>
          </w:p>
        </w:tc>
        <w:tc>
          <w:tcPr>
            <w:tcW w:w="6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Other</w:t>
            </w: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15,367</w:t>
            </w:r>
          </w:p>
        </w:tc>
        <w:tc>
          <w:tcPr>
            <w:tcW w:w="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10,976</w:t>
            </w: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41,233</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30,583</w:t>
            </w:r>
          </w:p>
        </w:tc>
        <w:tc>
          <w:tcPr>
            <w:tcW w:w="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83"/>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97"/>
        </w:trPr>
        <w:tc>
          <w:tcPr>
            <w:tcW w:w="840" w:type="dxa"/>
            <w:vAlign w:val="bottom"/>
            <w:shd w:val="clear" w:color="auto" w:fill="CCEEFF"/>
          </w:tcPr>
          <w:p>
            <w:pPr>
              <w:ind w:left="520"/>
              <w:spacing w:after="0" w:line="97" w:lineRule="exact"/>
              <w:rPr>
                <w:sz w:val="20"/>
                <w:szCs w:val="20"/>
                <w:color w:val="auto"/>
              </w:rPr>
            </w:pPr>
            <w:r>
              <w:rPr>
                <w:rFonts w:ascii="Arial" w:cs="Arial" w:eastAsia="Arial" w:hAnsi="Arial"/>
                <w:sz w:val="11"/>
                <w:szCs w:val="11"/>
                <w:color w:val="auto"/>
              </w:rPr>
              <w:t>Total</w:t>
            </w: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380,051</w:t>
            </w: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100</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232,460</w:t>
            </w:r>
          </w:p>
        </w:tc>
        <w:tc>
          <w:tcPr>
            <w:tcW w:w="6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ind w:right="383"/>
              <w:spacing w:after="0"/>
              <w:rPr>
                <w:sz w:val="20"/>
                <w:szCs w:val="20"/>
                <w:color w:val="auto"/>
              </w:rPr>
            </w:pPr>
            <w:r>
              <w:rPr>
                <w:rFonts w:ascii="Arial" w:cs="Arial" w:eastAsia="Arial" w:hAnsi="Arial"/>
                <w:sz w:val="12"/>
                <w:szCs w:val="12"/>
                <w:color w:val="auto"/>
              </w:rPr>
              <w:t>100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1,020,584</w:t>
            </w: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100</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609,509</w:t>
            </w:r>
          </w:p>
        </w:tc>
        <w:tc>
          <w:tcPr>
            <w:tcW w:w="4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ind w:right="283"/>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1"/>
        </w:trPr>
        <w:tc>
          <w:tcPr>
            <w:tcW w:w="840" w:type="dxa"/>
            <w:vAlign w:val="bottom"/>
            <w:tcBorders>
              <w:bottom w:val="single" w:sz="8" w:color="CCEEFF"/>
            </w:tcBorders>
            <w:shd w:val="clear" w:color="auto" w:fill="CCEEFF"/>
          </w:tcPr>
          <w:p>
            <w:pPr>
              <w:ind w:left="80"/>
              <w:spacing w:after="0" w:line="135" w:lineRule="exact"/>
              <w:rPr>
                <w:sz w:val="20"/>
                <w:szCs w:val="20"/>
                <w:color w:val="auto"/>
              </w:rPr>
            </w:pPr>
            <w:r>
              <w:rPr>
                <w:rFonts w:ascii="Arial" w:cs="Arial" w:eastAsia="Arial" w:hAnsi="Arial"/>
                <w:sz w:val="12"/>
                <w:szCs w:val="12"/>
                <w:color w:val="auto"/>
              </w:rPr>
              <w:t>revenue</w:t>
            </w: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 single country other than the United States represented 10% or more of the Company’s total revenue during the three and nine months ended October 31, 2021 and October 31, 2020.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Contract Balances</w:t>
      </w:r>
    </w:p>
    <w:p>
      <w:pPr>
        <w:spacing w:after="0" w:line="150"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Contract liabilities consist of deferred revenue and include payments received in advance of performance under the contract. Such amounts are recognized as revenue over the contractual period. The Company recognized revenue of $316.2 million and $185.7 million for the three months ended October 31, 2021 and October 31, 2020, respectively, and $598.8 million and $354.5 million for the nine months ended October 31, 2021 and October 31, 2020, respectively, that were included in the corresponding contract liability balance at the beginning of the period.</w:t>
      </w:r>
    </w:p>
    <w:p>
      <w:pPr>
        <w:spacing w:after="0" w:line="122" w:lineRule="exact"/>
        <w:rPr>
          <w:sz w:val="20"/>
          <w:szCs w:val="20"/>
          <w:color w:val="auto"/>
        </w:rPr>
      </w:pPr>
    </w:p>
    <w:p>
      <w:pPr>
        <w:ind w:right="280" w:firstLine="432"/>
        <w:spacing w:after="0" w:line="323" w:lineRule="auto"/>
        <w:rPr>
          <w:sz w:val="20"/>
          <w:szCs w:val="20"/>
          <w:color w:val="auto"/>
        </w:rPr>
      </w:pPr>
      <w:r>
        <w:rPr>
          <w:rFonts w:ascii="Arial" w:cs="Arial" w:eastAsia="Arial" w:hAnsi="Arial"/>
          <w:sz w:val="11"/>
          <w:szCs w:val="11"/>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Changes in deferred revenue were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6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4"/>
              </w:rPr>
              <w:t>Three Months Ended October 31,</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Nine Months Ended October 31,</w:t>
            </w:r>
          </w:p>
        </w:tc>
        <w:tc>
          <w:tcPr>
            <w:tcW w:w="860" w:type="dxa"/>
            <w:vAlign w:val="bottom"/>
            <w:tcBorders>
              <w:bottom w:val="single" w:sz="8" w:color="auto"/>
            </w:tcBorders>
          </w:tcPr>
          <w:p>
            <w:pPr>
              <w:spacing w:after="0"/>
              <w:rPr>
                <w:sz w:val="11"/>
                <w:szCs w:val="11"/>
                <w:color w:val="auto"/>
              </w:rPr>
            </w:pPr>
          </w:p>
        </w:tc>
      </w:tr>
      <w:tr>
        <w:trPr>
          <w:trHeight w:val="118"/>
        </w:trPr>
        <w:tc>
          <w:tcPr>
            <w:tcW w:w="3960" w:type="dxa"/>
            <w:vAlign w:val="bottom"/>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44"/>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r>
      <w:tr>
        <w:trPr>
          <w:trHeight w:val="149"/>
        </w:trPr>
        <w:tc>
          <w:tcPr>
            <w:tcW w:w="396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Carrying Amount</w:t>
            </w:r>
          </w:p>
        </w:tc>
        <w:tc>
          <w:tcPr>
            <w:tcW w:w="10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63"/>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Beginning Balance</w:t>
            </w:r>
          </w:p>
        </w:tc>
        <w:tc>
          <w:tcPr>
            <w:tcW w:w="1220" w:type="dxa"/>
            <w:vAlign w:val="bottom"/>
            <w:shd w:val="clear" w:color="auto" w:fill="CCEEFF"/>
          </w:tcPr>
          <w:p>
            <w:pPr>
              <w:jc w:val="right"/>
              <w:ind w:right="664"/>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1,164,357</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center"/>
              <w:ind w:left="324"/>
              <w:spacing w:after="0"/>
              <w:rPr>
                <w:sz w:val="20"/>
                <w:szCs w:val="20"/>
                <w:color w:val="auto"/>
              </w:rPr>
            </w:pPr>
            <w:r>
              <w:rPr>
                <w:rFonts w:ascii="Arial" w:cs="Arial" w:eastAsia="Arial" w:hAnsi="Arial"/>
                <w:sz w:val="12"/>
                <w:szCs w:val="12"/>
                <w:color w:val="auto"/>
                <w:w w:val="87"/>
              </w:rPr>
              <w:t>689,840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911,895</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87"/>
              </w:rPr>
              <w:t>571,168</w:t>
            </w:r>
          </w:p>
        </w:tc>
      </w:tr>
      <w:tr>
        <w:trPr>
          <w:trHeight w:val="153"/>
        </w:trPr>
        <w:tc>
          <w:tcPr>
            <w:tcW w:w="3960" w:type="dxa"/>
            <w:vAlign w:val="bottom"/>
          </w:tcPr>
          <w:p>
            <w:pPr>
              <w:ind w:left="440"/>
              <w:spacing w:after="0"/>
              <w:rPr>
                <w:sz w:val="20"/>
                <w:szCs w:val="20"/>
                <w:color w:val="auto"/>
              </w:rPr>
            </w:pPr>
            <w:r>
              <w:rPr>
                <w:rFonts w:ascii="Arial" w:cs="Arial" w:eastAsia="Arial" w:hAnsi="Arial"/>
                <w:sz w:val="12"/>
                <w:szCs w:val="12"/>
                <w:color w:val="auto"/>
              </w:rPr>
              <w:t>Additions to deferred revenue</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503,890</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jc w:val="center"/>
              <w:ind w:left="324"/>
              <w:spacing w:after="0"/>
              <w:rPr>
                <w:sz w:val="20"/>
                <w:szCs w:val="20"/>
                <w:color w:val="auto"/>
              </w:rPr>
            </w:pPr>
            <w:r>
              <w:rPr>
                <w:rFonts w:ascii="Arial" w:cs="Arial" w:eastAsia="Arial" w:hAnsi="Arial"/>
                <w:sz w:val="12"/>
                <w:szCs w:val="12"/>
                <w:color w:val="auto"/>
                <w:w w:val="87"/>
              </w:rPr>
              <w:t>305,294</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jc w:val="right"/>
              <w:ind w:right="4"/>
              <w:spacing w:after="0"/>
              <w:rPr>
                <w:sz w:val="20"/>
                <w:szCs w:val="20"/>
                <w:color w:val="auto"/>
              </w:rPr>
            </w:pPr>
            <w:r>
              <w:rPr>
                <w:rFonts w:ascii="Arial" w:cs="Arial" w:eastAsia="Arial" w:hAnsi="Arial"/>
                <w:sz w:val="12"/>
                <w:szCs w:val="12"/>
                <w:color w:val="auto"/>
              </w:rPr>
              <w:t>1,396,885</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jc w:val="center"/>
              <w:ind w:left="302"/>
              <w:spacing w:after="0"/>
              <w:rPr>
                <w:sz w:val="20"/>
                <w:szCs w:val="20"/>
                <w:color w:val="auto"/>
              </w:rPr>
            </w:pPr>
            <w:r>
              <w:rPr>
                <w:rFonts w:ascii="Arial" w:cs="Arial" w:eastAsia="Arial" w:hAnsi="Arial"/>
                <w:sz w:val="12"/>
                <w:szCs w:val="12"/>
                <w:color w:val="auto"/>
                <w:w w:val="87"/>
              </w:rPr>
              <w:t>801,015</w:t>
            </w:r>
          </w:p>
        </w:tc>
      </w:tr>
      <w:tr>
        <w:trPr>
          <w:trHeight w:val="153"/>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Recognition of deferred revenue</w:t>
            </w:r>
          </w:p>
        </w:tc>
        <w:tc>
          <w:tcPr>
            <w:tcW w:w="12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(380,051)</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center"/>
              <w:ind w:left="304"/>
              <w:spacing w:after="0"/>
              <w:rPr>
                <w:sz w:val="20"/>
                <w:szCs w:val="20"/>
                <w:color w:val="auto"/>
              </w:rPr>
            </w:pPr>
            <w:r>
              <w:rPr>
                <w:rFonts w:ascii="Arial" w:cs="Arial" w:eastAsia="Arial" w:hAnsi="Arial"/>
                <w:sz w:val="12"/>
                <w:szCs w:val="12"/>
                <w:color w:val="auto"/>
                <w:w w:val="93"/>
              </w:rPr>
              <w:t>(232,460)</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(1,020,584)</w:t>
            </w:r>
          </w:p>
        </w:tc>
        <w:tc>
          <w:tcPr>
            <w:tcW w:w="6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center"/>
              <w:ind w:left="282"/>
              <w:spacing w:after="0"/>
              <w:rPr>
                <w:sz w:val="20"/>
                <w:szCs w:val="20"/>
                <w:color w:val="auto"/>
              </w:rPr>
            </w:pPr>
            <w:r>
              <w:rPr>
                <w:rFonts w:ascii="Arial" w:cs="Arial" w:eastAsia="Arial" w:hAnsi="Arial"/>
                <w:sz w:val="12"/>
                <w:szCs w:val="12"/>
                <w:color w:val="auto"/>
                <w:w w:val="93"/>
              </w:rPr>
              <w:t>(609,509)</w:t>
            </w:r>
          </w:p>
        </w:tc>
      </w:tr>
      <w:tr>
        <w:trPr>
          <w:trHeight w:val="142"/>
        </w:trPr>
        <w:tc>
          <w:tcPr>
            <w:tcW w:w="3960" w:type="dxa"/>
            <w:vAlign w:val="bottom"/>
          </w:tcPr>
          <w:p>
            <w:pPr>
              <w:ind w:left="440"/>
              <w:spacing w:after="0"/>
              <w:rPr>
                <w:sz w:val="20"/>
                <w:szCs w:val="20"/>
                <w:color w:val="auto"/>
              </w:rPr>
            </w:pPr>
            <w:r>
              <w:rPr>
                <w:rFonts w:ascii="Arial" w:cs="Arial" w:eastAsia="Arial" w:hAnsi="Arial"/>
                <w:sz w:val="12"/>
                <w:szCs w:val="12"/>
                <w:color w:val="auto"/>
              </w:rPr>
              <w:t>Ending Balance</w:t>
            </w:r>
          </w:p>
        </w:tc>
        <w:tc>
          <w:tcPr>
            <w:tcW w:w="1220" w:type="dxa"/>
            <w:vAlign w:val="bottom"/>
            <w:tcBorders>
              <w:bottom w:val="single" w:sz="8" w:color="auto"/>
            </w:tcBorders>
          </w:tcPr>
          <w:p>
            <w:pPr>
              <w:jc w:val="right"/>
              <w:ind w:right="664"/>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1,288,196</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center"/>
              <w:ind w:left="324"/>
              <w:spacing w:after="0"/>
              <w:rPr>
                <w:sz w:val="20"/>
                <w:szCs w:val="20"/>
                <w:color w:val="auto"/>
              </w:rPr>
            </w:pPr>
            <w:r>
              <w:rPr>
                <w:rFonts w:ascii="Arial" w:cs="Arial" w:eastAsia="Arial" w:hAnsi="Arial"/>
                <w:sz w:val="12"/>
                <w:szCs w:val="12"/>
                <w:color w:val="auto"/>
                <w:w w:val="87"/>
              </w:rPr>
              <w:t>762,674</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1,288,196</w:t>
            </w:r>
          </w:p>
        </w:tc>
        <w:tc>
          <w:tcPr>
            <w:tcW w:w="60" w:type="dxa"/>
            <w:vAlign w:val="bottom"/>
          </w:tcPr>
          <w:p>
            <w:pPr>
              <w:spacing w:after="0"/>
              <w:rPr>
                <w:sz w:val="12"/>
                <w:szCs w:val="1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center"/>
              <w:ind w:left="302"/>
              <w:spacing w:after="0"/>
              <w:rPr>
                <w:sz w:val="20"/>
                <w:szCs w:val="20"/>
                <w:color w:val="auto"/>
              </w:rPr>
            </w:pPr>
            <w:r>
              <w:rPr>
                <w:rFonts w:ascii="Arial" w:cs="Arial" w:eastAsia="Arial" w:hAnsi="Arial"/>
                <w:sz w:val="12"/>
                <w:szCs w:val="12"/>
                <w:color w:val="auto"/>
                <w:w w:val="87"/>
              </w:rPr>
              <w:t>762,674</w:t>
            </w:r>
          </w:p>
        </w:tc>
      </w:tr>
      <w:tr>
        <w:trPr>
          <w:trHeight w:val="20"/>
        </w:trPr>
        <w:tc>
          <w:tcPr>
            <w:tcW w:w="3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Remaining Performance Obligations</w:t>
      </w:r>
    </w:p>
    <w:p>
      <w:pPr>
        <w:spacing w:after="0" w:line="150"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October 31, 2021, the aggregate amount of the transaction price allocated to remaining performance obligations was $1.9 billion. The Company expects to recognize 71% of the remaining performance obligations in the next 12 months and 28% between 13 to 36 months, with the remainder to be recognized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367665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275" w:right="239" w:bottom="1440" w:gutter="0" w:footer="0" w:header="0"/>
        </w:sectPr>
      </w:pPr>
    </w:p>
    <w:bookmarkStart w:id="25" w:name="page26"/>
    <w:bookmarkEnd w:id="25"/>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Costs to Obtain a Contract</w:t>
      </w:r>
    </w:p>
    <w:p>
      <w:pPr>
        <w:spacing w:after="0" w:line="150" w:lineRule="exact"/>
        <w:rPr>
          <w:sz w:val="20"/>
          <w:szCs w:val="20"/>
          <w:color w:val="auto"/>
        </w:rPr>
      </w:pPr>
    </w:p>
    <w:p>
      <w:pPr>
        <w:ind w:left="8" w:right="40" w:firstLine="432"/>
        <w:spacing w:after="0" w:line="263" w:lineRule="auto"/>
        <w:rPr>
          <w:sz w:val="20"/>
          <w:szCs w:val="20"/>
          <w:color w:val="auto"/>
        </w:rPr>
      </w:pPr>
      <w:r>
        <w:rPr>
          <w:rFonts w:ascii="Arial" w:cs="Arial" w:eastAsia="Arial" w:hAnsi="Arial"/>
          <w:sz w:val="12"/>
          <w:szCs w:val="12"/>
          <w:color w:val="auto"/>
        </w:rPr>
        <w:t>The Company capitalizes referral fees paid to partners and sales commission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22" w:lineRule="exact"/>
        <w:rPr>
          <w:sz w:val="20"/>
          <w:szCs w:val="20"/>
          <w:color w:val="auto"/>
        </w:rPr>
      </w:pPr>
    </w:p>
    <w:p>
      <w:pPr>
        <w:ind w:left="8" w:right="80" w:firstLine="432"/>
        <w:spacing w:after="0" w:line="281" w:lineRule="auto"/>
        <w:rPr>
          <w:sz w:val="20"/>
          <w:szCs w:val="20"/>
          <w:color w:val="auto"/>
        </w:rPr>
      </w:pPr>
      <w:r>
        <w:rPr>
          <w:rFonts w:ascii="Arial" w:cs="Arial" w:eastAsia="Arial" w:hAnsi="Arial"/>
          <w:sz w:val="11"/>
          <w:szCs w:val="11"/>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earned upon the initial acquisition of a contract or subsequent upsell are amortized over an estimated period of benefit of 4 years while commissions earned for renewal contracts are amortized over the contractual term of the renewals. Sales commissions associated with professional service contracts are amortized ratably over an estimated period of benefit of six months and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nine months ended October 31, 2021 and October 31, 2020.</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the activity of deferred contract acquisition costs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39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Three Months Ended October 31,</w:t>
            </w: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ind w:left="600"/>
              <w:spacing w:after="0"/>
              <w:rPr>
                <w:sz w:val="20"/>
                <w:szCs w:val="20"/>
                <w:color w:val="auto"/>
              </w:rPr>
            </w:pPr>
            <w:r>
              <w:rPr>
                <w:rFonts w:ascii="Arial" w:cs="Arial" w:eastAsia="Arial" w:hAnsi="Arial"/>
                <w:sz w:val="10"/>
                <w:szCs w:val="10"/>
                <w:b w:val="1"/>
                <w:bCs w:val="1"/>
                <w:color w:val="auto"/>
                <w:w w:val="92"/>
              </w:rPr>
              <w:t>Nine Months Ended October 31,</w:t>
            </w:r>
          </w:p>
        </w:tc>
        <w:tc>
          <w:tcPr>
            <w:tcW w:w="840" w:type="dxa"/>
            <w:vAlign w:val="bottom"/>
            <w:tcBorders>
              <w:bottom w:val="single" w:sz="8" w:color="auto"/>
            </w:tcBorders>
          </w:tcPr>
          <w:p>
            <w:pPr>
              <w:spacing w:after="0"/>
              <w:rPr>
                <w:sz w:val="11"/>
                <w:szCs w:val="11"/>
                <w:color w:val="auto"/>
              </w:rPr>
            </w:pPr>
          </w:p>
        </w:tc>
      </w:tr>
      <w:tr>
        <w:trPr>
          <w:trHeight w:val="126"/>
        </w:trPr>
        <w:tc>
          <w:tcPr>
            <w:tcW w:w="39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r>
      <w:tr>
        <w:trPr>
          <w:trHeight w:val="162"/>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Beginning balance</w:t>
            </w: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235,913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135,023</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ind w:left="560"/>
              <w:spacing w:after="0"/>
              <w:rPr>
                <w:sz w:val="20"/>
                <w:szCs w:val="20"/>
                <w:color w:val="auto"/>
              </w:rPr>
            </w:pPr>
            <w:r>
              <w:rPr>
                <w:rFonts w:ascii="Arial" w:cs="Arial" w:eastAsia="Arial" w:hAnsi="Arial"/>
                <w:sz w:val="12"/>
                <w:szCs w:val="12"/>
                <w:color w:val="auto"/>
                <w:w w:val="96"/>
              </w:rPr>
              <w:t>198,756</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114,206</w:t>
            </w:r>
          </w:p>
        </w:tc>
      </w:tr>
      <w:tr>
        <w:trPr>
          <w:trHeight w:val="153"/>
        </w:trPr>
        <w:tc>
          <w:tcPr>
            <w:tcW w:w="3960" w:type="dxa"/>
            <w:vAlign w:val="bottom"/>
          </w:tcPr>
          <w:p>
            <w:pPr>
              <w:ind w:left="440"/>
              <w:spacing w:after="0"/>
              <w:rPr>
                <w:sz w:val="20"/>
                <w:szCs w:val="20"/>
                <w:color w:val="auto"/>
              </w:rPr>
            </w:pPr>
            <w:r>
              <w:rPr>
                <w:rFonts w:ascii="Arial" w:cs="Arial" w:eastAsia="Arial" w:hAnsi="Arial"/>
                <w:sz w:val="12"/>
                <w:szCs w:val="12"/>
                <w:color w:val="auto"/>
              </w:rPr>
              <w:t>Capitalization of contract acquisition costs</w:t>
            </w:r>
          </w:p>
        </w:tc>
        <w:tc>
          <w:tcPr>
            <w:tcW w:w="7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64,325</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35,753</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ind w:left="560"/>
              <w:spacing w:after="0"/>
              <w:rPr>
                <w:sz w:val="20"/>
                <w:szCs w:val="20"/>
                <w:color w:val="auto"/>
              </w:rPr>
            </w:pPr>
            <w:r>
              <w:rPr>
                <w:rFonts w:ascii="Arial" w:cs="Arial" w:eastAsia="Arial" w:hAnsi="Arial"/>
                <w:sz w:val="12"/>
                <w:szCs w:val="12"/>
                <w:color w:val="auto"/>
                <w:w w:val="96"/>
              </w:rPr>
              <w:t>151,901</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84,741</w:t>
            </w:r>
          </w:p>
        </w:tc>
      </w:tr>
      <w:tr>
        <w:trPr>
          <w:trHeight w:val="153"/>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Amortization of deferred contract acquisition costs</w:t>
            </w:r>
          </w:p>
        </w:tc>
        <w:tc>
          <w:tcPr>
            <w:tcW w:w="7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(29,293)</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(16,769)</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2"/>
                <w:szCs w:val="12"/>
                <w:color w:val="auto"/>
                <w:w w:val="89"/>
              </w:rPr>
              <w:t>(79,712)</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(44,940)</w:t>
            </w:r>
          </w:p>
        </w:tc>
      </w:tr>
      <w:tr>
        <w:trPr>
          <w:trHeight w:val="158"/>
        </w:trPr>
        <w:tc>
          <w:tcPr>
            <w:tcW w:w="39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Ending balance</w:t>
            </w: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270,945</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154,007</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w w:val="96"/>
              </w:rPr>
              <w:t>270,945</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154,007</w:t>
            </w:r>
          </w:p>
        </w:tc>
      </w:tr>
      <w:tr>
        <w:trPr>
          <w:trHeight w:val="162"/>
        </w:trPr>
        <w:tc>
          <w:tcPr>
            <w:tcW w:w="39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3"/>
        </w:trPr>
        <w:tc>
          <w:tcPr>
            <w:tcW w:w="3960" w:type="dxa"/>
            <w:vAlign w:val="bottom"/>
          </w:tcPr>
          <w:p>
            <w:pPr>
              <w:ind w:left="440"/>
              <w:spacing w:after="0"/>
              <w:rPr>
                <w:sz w:val="20"/>
                <w:szCs w:val="20"/>
                <w:color w:val="auto"/>
              </w:rPr>
            </w:pPr>
            <w:r>
              <w:rPr>
                <w:rFonts w:ascii="Arial" w:cs="Arial" w:eastAsia="Arial" w:hAnsi="Arial"/>
                <w:sz w:val="12"/>
                <w:szCs w:val="12"/>
                <w:color w:val="auto"/>
              </w:rPr>
              <w:t>Deferred contract acquisition costs, current</w:t>
            </w:r>
          </w:p>
        </w:tc>
        <w:tc>
          <w:tcPr>
            <w:tcW w:w="7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108,636</w:t>
            </w:r>
          </w:p>
        </w:tc>
        <w:tc>
          <w:tcPr>
            <w:tcW w:w="80" w:type="dxa"/>
            <w:vAlign w:val="bottom"/>
          </w:tcPr>
          <w:p>
            <w:pPr>
              <w:spacing w:after="0"/>
              <w:rPr>
                <w:sz w:val="13"/>
                <w:szCs w:val="13"/>
                <w:color w:val="auto"/>
              </w:rPr>
            </w:pPr>
          </w:p>
        </w:tc>
        <w:tc>
          <w:tcPr>
            <w:tcW w:w="94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62,422</w:t>
            </w:r>
          </w:p>
        </w:tc>
        <w:tc>
          <w:tcPr>
            <w:tcW w:w="80" w:type="dxa"/>
            <w:vAlign w:val="bottom"/>
          </w:tcPr>
          <w:p>
            <w:pPr>
              <w:spacing w:after="0"/>
              <w:rPr>
                <w:sz w:val="13"/>
                <w:szCs w:val="13"/>
                <w:color w:val="auto"/>
              </w:rPr>
            </w:pPr>
          </w:p>
        </w:tc>
        <w:tc>
          <w:tcPr>
            <w:tcW w:w="7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ind w:left="560"/>
              <w:spacing w:after="0"/>
              <w:rPr>
                <w:sz w:val="20"/>
                <w:szCs w:val="20"/>
                <w:color w:val="auto"/>
              </w:rPr>
            </w:pPr>
            <w:r>
              <w:rPr>
                <w:rFonts w:ascii="Arial" w:cs="Arial" w:eastAsia="Arial" w:hAnsi="Arial"/>
                <w:sz w:val="12"/>
                <w:szCs w:val="12"/>
                <w:color w:val="auto"/>
                <w:w w:val="96"/>
              </w:rPr>
              <w:t>108,636</w:t>
            </w:r>
          </w:p>
        </w:tc>
        <w:tc>
          <w:tcPr>
            <w:tcW w:w="80" w:type="dxa"/>
            <w:vAlign w:val="bottom"/>
          </w:tcPr>
          <w:p>
            <w:pPr>
              <w:spacing w:after="0"/>
              <w:rPr>
                <w:sz w:val="13"/>
                <w:szCs w:val="13"/>
                <w:color w:val="auto"/>
              </w:rPr>
            </w:pPr>
          </w:p>
        </w:tc>
        <w:tc>
          <w:tcPr>
            <w:tcW w:w="94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62,422</w:t>
            </w:r>
          </w:p>
        </w:tc>
      </w:tr>
      <w:tr>
        <w:trPr>
          <w:trHeight w:val="153"/>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Deferred contract acquisition costs, noncurrent</w:t>
            </w:r>
          </w:p>
        </w:tc>
        <w:tc>
          <w:tcPr>
            <w:tcW w:w="7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162,309</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91,585</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2"/>
                <w:szCs w:val="12"/>
                <w:color w:val="auto"/>
                <w:w w:val="96"/>
              </w:rPr>
              <w:t>162,309</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91,585</w:t>
            </w:r>
          </w:p>
        </w:tc>
      </w:tr>
      <w:tr>
        <w:trPr>
          <w:trHeight w:val="142"/>
        </w:trPr>
        <w:tc>
          <w:tcPr>
            <w:tcW w:w="3960" w:type="dxa"/>
            <w:vAlign w:val="bottom"/>
          </w:tcPr>
          <w:p>
            <w:pPr>
              <w:ind w:left="520"/>
              <w:spacing w:after="0"/>
              <w:rPr>
                <w:sz w:val="20"/>
                <w:szCs w:val="20"/>
                <w:color w:val="auto"/>
              </w:rPr>
            </w:pPr>
            <w:r>
              <w:rPr>
                <w:rFonts w:ascii="Arial" w:cs="Arial" w:eastAsia="Arial" w:hAnsi="Arial"/>
                <w:sz w:val="12"/>
                <w:szCs w:val="12"/>
                <w:color w:val="auto"/>
              </w:rPr>
              <w:t>Total deferred contract acquisition costs</w:t>
            </w: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270,945</w:t>
            </w:r>
          </w:p>
        </w:tc>
        <w:tc>
          <w:tcPr>
            <w:tcW w:w="80" w:type="dxa"/>
            <w:vAlign w:val="bottom"/>
          </w:tcPr>
          <w:p>
            <w:pPr>
              <w:spacing w:after="0"/>
              <w:rPr>
                <w:sz w:val="12"/>
                <w:szCs w:val="1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154,007</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w w:val="96"/>
              </w:rPr>
              <w:t>270,945</w:t>
            </w:r>
          </w:p>
        </w:tc>
        <w:tc>
          <w:tcPr>
            <w:tcW w:w="80" w:type="dxa"/>
            <w:vAlign w:val="bottom"/>
          </w:tcPr>
          <w:p>
            <w:pPr>
              <w:spacing w:after="0"/>
              <w:rPr>
                <w:sz w:val="12"/>
                <w:szCs w:val="1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154,007</w:t>
            </w:r>
          </w:p>
        </w:tc>
      </w:tr>
      <w:tr>
        <w:trPr>
          <w:trHeight w:val="20"/>
        </w:trPr>
        <w:tc>
          <w:tcPr>
            <w:tcW w:w="3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8" w:right="9400" w:hanging="428"/>
        <w:spacing w:after="0" w:line="601" w:lineRule="auto"/>
        <w:tabs>
          <w:tab w:leader="none" w:pos="266" w:val="left"/>
        </w:tabs>
        <w:numPr>
          <w:ilvl w:val="0"/>
          <w:numId w:val="17"/>
        </w:numPr>
        <w:rPr>
          <w:rFonts w:ascii="Arial" w:cs="Arial" w:eastAsia="Arial" w:hAnsi="Arial"/>
          <w:sz w:val="10"/>
          <w:szCs w:val="10"/>
          <w:b w:val="1"/>
          <w:bCs w:val="1"/>
          <w:i w:val="1"/>
          <w:iCs w:val="1"/>
          <w:color w:val="auto"/>
        </w:rPr>
      </w:pPr>
      <w:r>
        <w:rPr>
          <w:rFonts w:ascii="Arial" w:cs="Arial" w:eastAsia="Arial" w:hAnsi="Arial"/>
          <w:sz w:val="10"/>
          <w:szCs w:val="10"/>
          <w:b w:val="1"/>
          <w:bCs w:val="1"/>
          <w:i w:val="1"/>
          <w:iCs w:val="1"/>
          <w:color w:val="auto"/>
        </w:rPr>
        <w:t>Commitments and Contingencies Purchase Obligations</w:t>
      </w:r>
    </w:p>
    <w:p>
      <w:pPr>
        <w:ind w:left="8" w:right="480" w:firstLine="432"/>
        <w:spacing w:after="0" w:line="276" w:lineRule="auto"/>
        <w:rPr>
          <w:sz w:val="20"/>
          <w:szCs w:val="20"/>
          <w:color w:val="auto"/>
        </w:rPr>
      </w:pPr>
      <w:r>
        <w:rPr>
          <w:rFonts w:ascii="Arial" w:cs="Arial" w:eastAsia="Arial" w:hAnsi="Arial"/>
          <w:sz w:val="12"/>
          <w:szCs w:val="12"/>
          <w:color w:val="auto"/>
        </w:rPr>
        <w:t>The Company enters into long-term non-cancelable agreements with providers to purchase data center capacity, such as bandwidth and colocation space, for the Company’s cloud platform. As of October 31, 2021, the Company is committed to spend $52.4 million on such agreements through fiscal 2028. These obligations are included in purchase obligations below.</w:t>
      </w:r>
    </w:p>
    <w:p>
      <w:pPr>
        <w:spacing w:after="0" w:line="79" w:lineRule="exact"/>
        <w:rPr>
          <w:sz w:val="20"/>
          <w:szCs w:val="20"/>
          <w:color w:val="auto"/>
        </w:rPr>
      </w:pPr>
    </w:p>
    <w:p>
      <w:pPr>
        <w:ind w:left="8" w:right="60" w:firstLine="432"/>
        <w:spacing w:after="0" w:line="293" w:lineRule="auto"/>
        <w:rPr>
          <w:sz w:val="20"/>
          <w:szCs w:val="20"/>
          <w:color w:val="auto"/>
        </w:rPr>
      </w:pPr>
      <w:r>
        <w:rPr>
          <w:rFonts w:ascii="Arial" w:cs="Arial" w:eastAsia="Arial" w:hAnsi="Arial"/>
          <w:sz w:val="11"/>
          <w:szCs w:val="11"/>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noncancellable purchase obligations in excess of one year as of October 31, 2021 with expected date of payment is as follows (in thousands):</w:t>
      </w:r>
    </w:p>
    <w:tbl>
      <w:tblPr>
        <w:tblLayout w:type="fixed"/>
        <w:tblInd w:w="8" w:type="dxa"/>
        <w:tblCellMar>
          <w:top w:w="0" w:type="dxa"/>
          <w:left w:w="0" w:type="dxa"/>
          <w:bottom w:w="0" w:type="dxa"/>
          <w:right w:w="0" w:type="dxa"/>
        </w:tblCellMar>
      </w:tblPr>
      <w:tr>
        <w:trPr>
          <w:trHeight w:val="96"/>
        </w:trPr>
        <w:tc>
          <w:tcPr>
            <w:tcW w:w="9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20" w:type="dxa"/>
            <w:vAlign w:val="bottom"/>
          </w:tcPr>
          <w:p>
            <w:pPr>
              <w:jc w:val="right"/>
              <w:ind w:right="563"/>
              <w:spacing w:after="0" w:line="96" w:lineRule="exact"/>
              <w:rPr>
                <w:sz w:val="20"/>
                <w:szCs w:val="20"/>
                <w:color w:val="auto"/>
              </w:rPr>
            </w:pPr>
            <w:r>
              <w:rPr>
                <w:rFonts w:ascii="Arial" w:cs="Arial" w:eastAsia="Arial" w:hAnsi="Arial"/>
                <w:sz w:val="10"/>
                <w:szCs w:val="10"/>
                <w:b w:val="1"/>
                <w:bCs w:val="1"/>
                <w:color w:val="auto"/>
              </w:rPr>
              <w:t>Total</w:t>
            </w:r>
          </w:p>
        </w:tc>
      </w:tr>
      <w:tr>
        <w:trPr>
          <w:trHeight w:val="133"/>
        </w:trPr>
        <w:tc>
          <w:tcPr>
            <w:tcW w:w="94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w w:val="95"/>
              </w:rPr>
              <w:t>Commitments</w:t>
            </w:r>
          </w:p>
        </w:tc>
      </w:tr>
      <w:tr>
        <w:trPr>
          <w:trHeight w:val="162"/>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2022 (remaining three months)</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23,806</w:t>
            </w:r>
          </w:p>
        </w:tc>
      </w:tr>
      <w:tr>
        <w:trPr>
          <w:trHeight w:val="153"/>
        </w:trPr>
        <w:tc>
          <w:tcPr>
            <w:tcW w:w="9400" w:type="dxa"/>
            <w:vAlign w:val="bottom"/>
          </w:tcPr>
          <w:p>
            <w:pPr>
              <w:ind w:left="440"/>
              <w:spacing w:after="0"/>
              <w:rPr>
                <w:sz w:val="20"/>
                <w:szCs w:val="20"/>
                <w:color w:val="auto"/>
              </w:rPr>
            </w:pPr>
            <w:r>
              <w:rPr>
                <w:rFonts w:ascii="Arial" w:cs="Arial" w:eastAsia="Arial" w:hAnsi="Arial"/>
                <w:sz w:val="12"/>
                <w:szCs w:val="12"/>
                <w:color w:val="auto"/>
              </w:rPr>
              <w:t>Fiscal 2023</w:t>
            </w:r>
          </w:p>
        </w:tc>
        <w:tc>
          <w:tcPr>
            <w:tcW w:w="58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Arial" w:cs="Arial" w:eastAsia="Arial" w:hAnsi="Arial"/>
                <w:sz w:val="12"/>
                <w:szCs w:val="12"/>
                <w:color w:val="auto"/>
              </w:rPr>
              <w:t>57,566</w:t>
            </w: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2024</w:t>
            </w:r>
          </w:p>
        </w:tc>
        <w:tc>
          <w:tcPr>
            <w:tcW w:w="5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54,492</w:t>
            </w:r>
          </w:p>
        </w:tc>
      </w:tr>
      <w:tr>
        <w:trPr>
          <w:trHeight w:val="153"/>
        </w:trPr>
        <w:tc>
          <w:tcPr>
            <w:tcW w:w="9400" w:type="dxa"/>
            <w:vAlign w:val="bottom"/>
          </w:tcPr>
          <w:p>
            <w:pPr>
              <w:ind w:left="440"/>
              <w:spacing w:after="0"/>
              <w:rPr>
                <w:sz w:val="20"/>
                <w:szCs w:val="20"/>
                <w:color w:val="auto"/>
              </w:rPr>
            </w:pPr>
            <w:r>
              <w:rPr>
                <w:rFonts w:ascii="Arial" w:cs="Arial" w:eastAsia="Arial" w:hAnsi="Arial"/>
                <w:sz w:val="12"/>
                <w:szCs w:val="12"/>
                <w:color w:val="auto"/>
              </w:rPr>
              <w:t>Fiscal 2025</w:t>
            </w:r>
          </w:p>
        </w:tc>
        <w:tc>
          <w:tcPr>
            <w:tcW w:w="58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Arial" w:cs="Arial" w:eastAsia="Arial" w:hAnsi="Arial"/>
                <w:sz w:val="12"/>
                <w:szCs w:val="12"/>
                <w:color w:val="auto"/>
              </w:rPr>
              <w:t>10,047</w:t>
            </w:r>
          </w:p>
        </w:tc>
      </w:tr>
      <w:tr>
        <w:trPr>
          <w:trHeight w:val="153"/>
        </w:trPr>
        <w:tc>
          <w:tcPr>
            <w:tcW w:w="9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Fiscal 2026</w:t>
            </w:r>
          </w:p>
        </w:tc>
        <w:tc>
          <w:tcPr>
            <w:tcW w:w="5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7,299</w:t>
            </w:r>
          </w:p>
        </w:tc>
      </w:tr>
      <w:tr>
        <w:trPr>
          <w:trHeight w:val="153"/>
        </w:trPr>
        <w:tc>
          <w:tcPr>
            <w:tcW w:w="94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Thereafter</w:t>
            </w:r>
          </w:p>
        </w:tc>
        <w:tc>
          <w:tcPr>
            <w:tcW w:w="5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2,546</w:t>
            </w:r>
          </w:p>
        </w:tc>
      </w:tr>
      <w:tr>
        <w:trPr>
          <w:trHeight w:val="158"/>
        </w:trPr>
        <w:tc>
          <w:tcPr>
            <w:tcW w:w="9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 purchase commitments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155,756</w:t>
            </w:r>
          </w:p>
        </w:tc>
      </w:tr>
      <w:tr>
        <w:trPr>
          <w:trHeight w:val="666"/>
        </w:trPr>
        <w:tc>
          <w:tcPr>
            <w:tcW w:w="9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26" w:name="page27"/>
    <w:bookmarkEnd w:id="26"/>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In October 2021, the Company entered into a new private pricing addendum with Amazon Web Services (“AWS”), which provides the Company with cloud computing infrastructure. Under the new pricing addendum, the minimum commitment is $600.0 million of cloud services from AWS through September 2026. As of October 31, 2021, the Company’s remaining contractual commitment is $587.7 million, which is excluded from the table above. The Company expects to meet its remaining commitment with AWS.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Letters of Credit</w:t>
      </w:r>
    </w:p>
    <w:p>
      <w:pPr>
        <w:spacing w:after="0" w:line="150"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As of October 31, 2021 and January 31, 2021, the Company had an unused standby letter of credit for $0.4 million securing its headquarters facility in Sunnyvale, California, as well as an unused standby letter of credit for $1.0 million securing its facility in Austin, Texas.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Litigation</w:t>
      </w:r>
    </w:p>
    <w:p>
      <w:pPr>
        <w:spacing w:after="0" w:line="168" w:lineRule="exact"/>
        <w:rPr>
          <w:sz w:val="20"/>
          <w:szCs w:val="20"/>
          <w:color w:val="auto"/>
        </w:rPr>
      </w:pPr>
    </w:p>
    <w:p>
      <w:pPr>
        <w:ind w:firstLine="432"/>
        <w:spacing w:after="0" w:line="241" w:lineRule="auto"/>
        <w:rPr>
          <w:sz w:val="20"/>
          <w:szCs w:val="20"/>
          <w:color w:val="auto"/>
        </w:rPr>
      </w:pPr>
      <w:r>
        <w:rPr>
          <w:rFonts w:ascii="Arial" w:cs="Arial" w:eastAsia="Arial" w:hAnsi="Arial"/>
          <w:sz w:val="12"/>
          <w:szCs w:val="12"/>
          <w:color w:val="auto"/>
        </w:rPr>
        <w:t>In November 2016, Fair Isaac Corporation (“FICO”) filed a petition before the Trademark Trial and Appellate Board (“TTAB”) at the U.S. Patent and Trademark Office, seeking cancellation of the Company’s registration of its “CrowdStrike Falcon” trademark, and a notice of opposition of the Company’s trademark application for “Falcon OverWatch.” The Company denies that any of the relief FICO seeks is appropriate, and has itself moved to cancel, or in the alternative amend, FICO’s “Falcon” trademark registrations before the TTAB. The proceedings have been consolidated and are in the discovery phase with trial periods scheduled to begin in December 2021. The Company is vigorously defending the case, but given the early stage, although a loss may reasonably be possible, the Company is unable to predict the likelihood of success of FICO’s claims or estimate a loss or range of loss. As a result, no liability has been recorded as of October 31, 2021 or January 31, 2021.</w:t>
      </w:r>
    </w:p>
    <w:p>
      <w:pPr>
        <w:spacing w:after="0" w:line="126"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condensed consolidated financial statements.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Warranties and Indemnification</w:t>
      </w:r>
    </w:p>
    <w:p>
      <w:pPr>
        <w:spacing w:after="0" w:line="15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15"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24"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October 31, 2021 or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371475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27" w:name="page28"/>
    <w:bookmarkEnd w:id="27"/>
    <w:p>
      <w:pPr>
        <w:ind w:left="42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i w:val="1"/>
          <w:iCs w:val="1"/>
          <w:color w:val="auto"/>
        </w:rPr>
        <w:t>11.</w:t>
      </w:r>
      <w:r>
        <w:rPr>
          <w:sz w:val="20"/>
          <w:szCs w:val="20"/>
          <w:color w:val="auto"/>
        </w:rPr>
        <w:tab/>
      </w:r>
      <w:r>
        <w:rPr>
          <w:rFonts w:ascii="Arial" w:cs="Arial" w:eastAsia="Arial" w:hAnsi="Arial"/>
          <w:sz w:val="10"/>
          <w:szCs w:val="10"/>
          <w:b w:val="1"/>
          <w:bCs w:val="1"/>
          <w:i w:val="1"/>
          <w:iCs w:val="1"/>
          <w:color w:val="auto"/>
        </w:rPr>
        <w:t>Related Party Transactions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Subscription and Professional Services Revenue from Related Parties</w:t>
      </w:r>
    </w:p>
    <w:p>
      <w:pPr>
        <w:spacing w:after="0" w:line="150" w:lineRule="exact"/>
        <w:rPr>
          <w:sz w:val="20"/>
          <w:szCs w:val="20"/>
          <w:color w:val="auto"/>
        </w:rPr>
      </w:pPr>
    </w:p>
    <w:p>
      <w:pPr>
        <w:ind w:left="8" w:right="100" w:firstLine="432"/>
        <w:spacing w:after="0" w:line="259" w:lineRule="auto"/>
        <w:rPr>
          <w:sz w:val="20"/>
          <w:szCs w:val="20"/>
          <w:color w:val="auto"/>
        </w:rPr>
      </w:pPr>
      <w:r>
        <w:rPr>
          <w:rFonts w:ascii="Arial" w:cs="Arial" w:eastAsia="Arial" w:hAnsi="Arial"/>
          <w:sz w:val="12"/>
          <w:szCs w:val="12"/>
          <w:color w:val="auto"/>
        </w:rPr>
        <w:t>During the three and nine months ended October 31, 2021 and October 31, 2020, certain investors and companies with whom the Company’s Board of Directors are affiliated with, purchased subscriptions and professional services. The Company recorded revenue from subscriptions and professional services from related parties of $1.8 million and $1.1 million during the three months ended October 31, 2021 and October 31, 2020, respectively, and $5.4 million and $3.0 million during the nine months ended October 31, 2021 and October 31, 2020, respectively. Accounts receivable associated with these related parties was $0.7 million and $1.3 million as of October 31, 2021 and January 31, 2021, respectively.</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Accounts Payable to Related Parties</w:t>
      </w:r>
    </w:p>
    <w:p>
      <w:pPr>
        <w:spacing w:after="0" w:line="150" w:lineRule="exact"/>
        <w:rPr>
          <w:sz w:val="20"/>
          <w:szCs w:val="20"/>
          <w:color w:val="auto"/>
        </w:rPr>
      </w:pPr>
    </w:p>
    <w:p>
      <w:pPr>
        <w:ind w:left="8" w:right="120" w:firstLine="432"/>
        <w:spacing w:after="0" w:line="263" w:lineRule="auto"/>
        <w:rPr>
          <w:sz w:val="20"/>
          <w:szCs w:val="20"/>
          <w:color w:val="auto"/>
        </w:rPr>
      </w:pPr>
      <w:r>
        <w:rPr>
          <w:rFonts w:ascii="Arial" w:cs="Arial" w:eastAsia="Arial" w:hAnsi="Arial"/>
          <w:sz w:val="12"/>
          <w:szCs w:val="12"/>
          <w:color w:val="auto"/>
        </w:rPr>
        <w:t>The Company purchased goods and services totaling $5.0 million and $6.0 million, respectively, from certain investors and companies with whom its Board of Directors are affiliated with during the three months ended October 31, 2021 and October 31, 2020, respectively, and $18.5 million and $6.2 million during the nine months ended October 31, 2021 and October 31, 2020, respectively. The accounts payable to such vendors was immaterial as of October 31, 2021 and January 31, 2021.</w:t>
      </w:r>
    </w:p>
    <w:p>
      <w:pPr>
        <w:spacing w:after="0" w:line="122" w:lineRule="exact"/>
        <w:rPr>
          <w:sz w:val="20"/>
          <w:szCs w:val="20"/>
          <w:color w:val="auto"/>
        </w:rPr>
      </w:pPr>
    </w:p>
    <w:p>
      <w:pPr>
        <w:ind w:left="428" w:right="10120" w:hanging="428"/>
        <w:spacing w:after="0" w:line="601" w:lineRule="auto"/>
        <w:tabs>
          <w:tab w:leader="none" w:pos="261" w:val="left"/>
        </w:tabs>
        <w:numPr>
          <w:ilvl w:val="0"/>
          <w:numId w:val="18"/>
        </w:numPr>
        <w:rPr>
          <w:rFonts w:ascii="Arial" w:cs="Arial" w:eastAsia="Arial" w:hAnsi="Arial"/>
          <w:sz w:val="10"/>
          <w:szCs w:val="10"/>
          <w:b w:val="1"/>
          <w:bCs w:val="1"/>
          <w:i w:val="1"/>
          <w:iCs w:val="1"/>
          <w:color w:val="auto"/>
        </w:rPr>
      </w:pPr>
      <w:r>
        <w:rPr>
          <w:rFonts w:ascii="Arial" w:cs="Arial" w:eastAsia="Arial" w:hAnsi="Arial"/>
          <w:sz w:val="10"/>
          <w:szCs w:val="10"/>
          <w:b w:val="1"/>
          <w:bCs w:val="1"/>
          <w:i w:val="1"/>
          <w:iCs w:val="1"/>
          <w:color w:val="auto"/>
        </w:rPr>
        <w:t>Acquisitions Humio Limited</w:t>
      </w:r>
    </w:p>
    <w:p>
      <w:pPr>
        <w:ind w:left="8" w:right="100" w:firstLine="432"/>
        <w:spacing w:after="0" w:line="285" w:lineRule="auto"/>
        <w:rPr>
          <w:sz w:val="20"/>
          <w:szCs w:val="20"/>
          <w:color w:val="auto"/>
        </w:rPr>
      </w:pPr>
      <w:r>
        <w:rPr>
          <w:rFonts w:ascii="Arial" w:cs="Arial" w:eastAsia="Arial" w:hAnsi="Arial"/>
          <w:sz w:val="11"/>
          <w:szCs w:val="11"/>
          <w:color w:val="auto"/>
        </w:rPr>
        <w:t>On March 5, 2021, the Company acquired 100% of the equity interest of Humio Limited (“Humio”), a privately-held company that is a leading provider of high-performance cloud log management and observability technology. The total consideration transferred was $370.3 million which consisted of $353.8 million in cash, net of $12.5 million cash acquired, and $4.0 million representing the fair value of replacement equity awards attributable to pre-acquisition service. The purchase price was allocated, on a preliminary basis, to identified intangible assets, which include developed technology, customer relationships, and trade names, of $75.6 million, net tangible assets acquired of $3.4 million, and goodwill of $291.3 million allocated to the Company’s one reporting unit, representing the excess of the purchase price over the fair value of net tangible and intangible assets acquired. The goodwill was primarily attributable to the assembled workforce of Humio, planned growth in new markets, and synergies expected to be achieved from the integration of Humio. Goodwill is not deductible for income tax purposes.</w:t>
      </w:r>
    </w:p>
    <w:p>
      <w:pPr>
        <w:spacing w:after="0" w:line="113" w:lineRule="exact"/>
        <w:rPr>
          <w:sz w:val="20"/>
          <w:szCs w:val="20"/>
          <w:color w:val="auto"/>
        </w:rPr>
      </w:pPr>
    </w:p>
    <w:p>
      <w:pPr>
        <w:ind w:left="8" w:right="40" w:firstLine="432"/>
        <w:spacing w:after="0" w:line="285" w:lineRule="auto"/>
        <w:rPr>
          <w:sz w:val="20"/>
          <w:szCs w:val="20"/>
          <w:color w:val="auto"/>
        </w:rPr>
      </w:pPr>
      <w:r>
        <w:rPr>
          <w:rFonts w:ascii="Arial" w:cs="Arial" w:eastAsia="Arial" w:hAnsi="Arial"/>
          <w:sz w:val="11"/>
          <w:szCs w:val="11"/>
          <w:color w:val="auto"/>
        </w:rPr>
        <w:t>Per the terms of the share purchase agreement with Humio, certain unvested stock options held by Humio employees were canceled and exchanged for replacement stock options under the 2019 Plan. Additionally, certain shares of stock issued pursuant to share-based compensation awards to entities affiliated with certain Humio employees were exchanged for replacement RSAs of the Company, which are subject to future vesting. The portion of the fair value of the replacement equity awards associated with pre-acquisition service of Humio’s employees represented a component of the total purchase consideration. The remaining fair value of these issued awards is subject to the recipients’ continued service and thus were excluded from the purchase price. In addition, Humio employees were granted RSUs and PSUs under the 2019 Plan.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11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sets forth the preliminary fair value of the identifiable intangible assets acquired and their estimated useful lives as of the date of acquisition (dollar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840" w:type="dxa"/>
            <w:vAlign w:val="bottom"/>
          </w:tcPr>
          <w:p>
            <w:pPr>
              <w:spacing w:after="0"/>
              <w:rPr>
                <w:sz w:val="11"/>
                <w:szCs w:val="11"/>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Fair Value</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Useful Life</w:t>
            </w:r>
          </w:p>
        </w:tc>
      </w:tr>
      <w:tr>
        <w:trPr>
          <w:trHeight w:val="117"/>
        </w:trPr>
        <w:tc>
          <w:tcPr>
            <w:tcW w:w="7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right"/>
              <w:ind w:right="252"/>
              <w:spacing w:after="0"/>
              <w:rPr>
                <w:sz w:val="20"/>
                <w:szCs w:val="20"/>
                <w:color w:val="auto"/>
              </w:rPr>
            </w:pPr>
            <w:r>
              <w:rPr>
                <w:rFonts w:ascii="Arial" w:cs="Arial" w:eastAsia="Arial" w:hAnsi="Arial"/>
                <w:sz w:val="10"/>
                <w:szCs w:val="10"/>
                <w:color w:val="auto"/>
              </w:rPr>
              <w:t>(in months)</w:t>
            </w:r>
          </w:p>
        </w:tc>
      </w:tr>
      <w:tr>
        <w:trPr>
          <w:trHeight w:val="155"/>
        </w:trPr>
        <w:tc>
          <w:tcPr>
            <w:tcW w:w="7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Developed technology</w:t>
            </w:r>
          </w:p>
        </w:tc>
        <w:tc>
          <w:tcPr>
            <w:tcW w:w="1440" w:type="dxa"/>
            <w:vAlign w:val="bottom"/>
            <w:shd w:val="clear" w:color="auto" w:fill="CCEEFF"/>
          </w:tcPr>
          <w:p>
            <w:pPr>
              <w:jc w:val="right"/>
              <w:ind w:right="884"/>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96</w:t>
            </w:r>
          </w:p>
        </w:tc>
      </w:tr>
      <w:tr>
        <w:trPr>
          <w:trHeight w:val="153"/>
        </w:trPr>
        <w:tc>
          <w:tcPr>
            <w:tcW w:w="7840" w:type="dxa"/>
            <w:vAlign w:val="bottom"/>
          </w:tcPr>
          <w:p>
            <w:pPr>
              <w:ind w:left="440"/>
              <w:spacing w:after="0"/>
              <w:rPr>
                <w:sz w:val="20"/>
                <w:szCs w:val="20"/>
                <w:color w:val="auto"/>
              </w:rPr>
            </w:pPr>
            <w:r>
              <w:rPr>
                <w:rFonts w:ascii="Arial" w:cs="Arial" w:eastAsia="Arial" w:hAnsi="Arial"/>
                <w:sz w:val="12"/>
                <w:szCs w:val="12"/>
                <w:color w:val="auto"/>
              </w:rPr>
              <w:t>Customer relationships</w:t>
            </w:r>
          </w:p>
        </w:tc>
        <w:tc>
          <w:tcPr>
            <w:tcW w:w="14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5,400</w:t>
            </w:r>
          </w:p>
        </w:tc>
        <w:tc>
          <w:tcPr>
            <w:tcW w:w="1580" w:type="dxa"/>
            <w:vAlign w:val="bottom"/>
            <w:gridSpan w:val="2"/>
          </w:tcPr>
          <w:p>
            <w:pPr>
              <w:jc w:val="right"/>
              <w:spacing w:after="0"/>
              <w:rPr>
                <w:sz w:val="20"/>
                <w:szCs w:val="20"/>
                <w:color w:val="auto"/>
              </w:rPr>
            </w:pPr>
            <w:r>
              <w:rPr>
                <w:rFonts w:ascii="Arial" w:cs="Arial" w:eastAsia="Arial" w:hAnsi="Arial"/>
                <w:sz w:val="12"/>
                <w:szCs w:val="12"/>
                <w:color w:val="auto"/>
              </w:rPr>
              <w:t>96</w:t>
            </w:r>
          </w:p>
        </w:tc>
      </w:tr>
      <w:tr>
        <w:trPr>
          <w:trHeight w:val="153"/>
        </w:trPr>
        <w:tc>
          <w:tcPr>
            <w:tcW w:w="7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Trade names</w:t>
            </w:r>
          </w:p>
        </w:tc>
        <w:tc>
          <w:tcPr>
            <w:tcW w:w="14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w:t>
            </w:r>
          </w:p>
        </w:tc>
      </w:tr>
      <w:tr>
        <w:trPr>
          <w:trHeight w:val="142"/>
        </w:trPr>
        <w:tc>
          <w:tcPr>
            <w:tcW w:w="7840" w:type="dxa"/>
            <w:vAlign w:val="bottom"/>
          </w:tcPr>
          <w:p>
            <w:pPr>
              <w:ind w:left="440"/>
              <w:spacing w:after="0"/>
              <w:rPr>
                <w:sz w:val="20"/>
                <w:szCs w:val="20"/>
                <w:color w:val="auto"/>
              </w:rPr>
            </w:pPr>
            <w:r>
              <w:rPr>
                <w:rFonts w:ascii="Arial" w:cs="Arial" w:eastAsia="Arial" w:hAnsi="Arial"/>
                <w:sz w:val="12"/>
                <w:szCs w:val="12"/>
                <w:color w:val="auto"/>
              </w:rPr>
              <w:t>Total intangible assets acquired</w:t>
            </w:r>
          </w:p>
        </w:tc>
        <w:tc>
          <w:tcPr>
            <w:tcW w:w="1440" w:type="dxa"/>
            <w:vAlign w:val="bottom"/>
            <w:tcBorders>
              <w:bottom w:val="single" w:sz="8" w:color="auto"/>
            </w:tcBorders>
          </w:tcPr>
          <w:p>
            <w:pPr>
              <w:jc w:val="right"/>
              <w:ind w:right="884"/>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75,600</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0"/>
        </w:trPr>
        <w:tc>
          <w:tcPr>
            <w:tcW w:w="7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16" w:lineRule="exact"/>
        <w:rPr>
          <w:sz w:val="20"/>
          <w:szCs w:val="20"/>
          <w:color w:val="auto"/>
        </w:rPr>
      </w:pPr>
    </w:p>
    <w:p>
      <w:pPr>
        <w:ind w:left="8" w:right="500" w:firstLine="432"/>
        <w:spacing w:after="0" w:line="276" w:lineRule="auto"/>
        <w:rPr>
          <w:sz w:val="20"/>
          <w:szCs w:val="20"/>
          <w:color w:val="auto"/>
        </w:rPr>
      </w:pPr>
      <w:r>
        <w:rPr>
          <w:rFonts w:ascii="Arial" w:cs="Arial" w:eastAsia="Arial" w:hAnsi="Arial"/>
          <w:sz w:val="12"/>
          <w:szCs w:val="12"/>
          <w:color w:val="auto"/>
        </w:rPr>
        <w:t>The Company incurred non-consideration acquisition expense of $0.3 million and $5.0 million during the three and nine months ended October 31, 2021, respectively. The acquisition costs are recorded in general and administrative expenses in the Company’s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466090</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28" w:name="page29"/>
    <w:bookmarkEnd w:id="28"/>
    <w:p>
      <w:pPr>
        <w:ind w:left="4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The results of operations of Humio have been included in the Company’s condensed consolidated financial statements from the date of acquisition. The acquisition of Humio did not have a material impact on the Company’s condensed consolidated financial statements, and therefore historical and pro forma disclosures have not been presented.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Preempt Security, Inc.</w:t>
      </w:r>
    </w:p>
    <w:p>
      <w:pPr>
        <w:spacing w:after="0" w:line="150" w:lineRule="exact"/>
        <w:rPr>
          <w:sz w:val="20"/>
          <w:szCs w:val="20"/>
          <w:color w:val="auto"/>
        </w:rPr>
      </w:pPr>
    </w:p>
    <w:p>
      <w:pPr>
        <w:ind w:right="140" w:firstLine="432"/>
        <w:spacing w:after="0" w:line="283" w:lineRule="auto"/>
        <w:rPr>
          <w:sz w:val="20"/>
          <w:szCs w:val="20"/>
          <w:color w:val="auto"/>
        </w:rPr>
      </w:pPr>
      <w:r>
        <w:rPr>
          <w:rFonts w:ascii="Arial" w:cs="Arial" w:eastAsia="Arial" w:hAnsi="Arial"/>
          <w:sz w:val="11"/>
          <w:szCs w:val="11"/>
          <w:color w:val="auto"/>
        </w:rPr>
        <w:t>On September 30, 2020, the Company acquired 100% of the equity interest of Preempt Security, Inc. (“Preempt Security”), a privately-held Delaware corporation that developed real-time access control and threat prevention technology. The acquisition has been accounted for as a business combination. The total consideration transferred was $91.2 million which consisted of $87.4 million in cash and $3.8 million representing the fair value of replacement equity awards attributable to pre-acquisition service. The Company completed the valuation of the acquired identified intangible assets as of September 30, 2020. The purchase price was allocated to identified intangible assets, which include developed technology, customer relationships and trade names, of $16.4 million, net tangible assets acquired of $(0.5) million and goodwill of $75.3 million allocated to the Company’s one reporting segment, representing the excess of the purchase price over the fair value of net tangible and intangible assets acquired. The goodwill was primarily attributable to the assembled workforce of Preempt Security, planned growth in new markets and synergies expected to be achieved from the integration of Preempt Security. Goodwill is not deductible for income tax purposes.</w:t>
      </w:r>
    </w:p>
    <w:p>
      <w:pPr>
        <w:spacing w:after="0" w:line="113" w:lineRule="exact"/>
        <w:rPr>
          <w:sz w:val="20"/>
          <w:szCs w:val="20"/>
          <w:color w:val="auto"/>
        </w:rPr>
      </w:pPr>
    </w:p>
    <w:p>
      <w:pPr>
        <w:ind w:firstLine="432"/>
        <w:spacing w:after="0" w:line="320" w:lineRule="auto"/>
        <w:rPr>
          <w:sz w:val="20"/>
          <w:szCs w:val="20"/>
          <w:color w:val="auto"/>
        </w:rPr>
      </w:pPr>
      <w:r>
        <w:rPr>
          <w:rFonts w:ascii="Arial" w:cs="Arial" w:eastAsia="Arial" w:hAnsi="Arial"/>
          <w:sz w:val="10"/>
          <w:szCs w:val="10"/>
          <w:color w:val="auto"/>
        </w:rPr>
        <w:t>Per the terms of the merger agreement with Preempt Security, certain unvested stock options held by Preempt Security employees were canceled and exchanged for replacement stock options under the 2019 Plan. Additionally, certain shares of stock issued pursuant to share-based compensation awards to key employees of Preempt Security were canceled and exchanged for replacement RSUs of the Company, which are subject to future vesting. The portion of the fair value of the replacement equity awards associated with pre-acquisition service of Preempt Security’s employees represented a component of the total purchase consideration. The remaining fair value of these issued awards is subject to the recipients’ continued service with the Company and the achievement of specified performance targets, and thus were excluded from the purchase price.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the components of identifiable intangible assets acquired and their estimated useful lives as of the date of acquisition (dollar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840" w:type="dxa"/>
            <w:vAlign w:val="bottom"/>
          </w:tcPr>
          <w:p>
            <w:pPr>
              <w:spacing w:after="0"/>
              <w:rPr>
                <w:sz w:val="11"/>
                <w:szCs w:val="11"/>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Fair Value</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Useful Life</w:t>
            </w:r>
          </w:p>
        </w:tc>
      </w:tr>
      <w:tr>
        <w:trPr>
          <w:trHeight w:val="117"/>
        </w:trPr>
        <w:tc>
          <w:tcPr>
            <w:tcW w:w="7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right"/>
              <w:ind w:right="252"/>
              <w:spacing w:after="0"/>
              <w:rPr>
                <w:sz w:val="20"/>
                <w:szCs w:val="20"/>
                <w:color w:val="auto"/>
              </w:rPr>
            </w:pPr>
            <w:r>
              <w:rPr>
                <w:rFonts w:ascii="Arial" w:cs="Arial" w:eastAsia="Arial" w:hAnsi="Arial"/>
                <w:sz w:val="10"/>
                <w:szCs w:val="10"/>
                <w:color w:val="auto"/>
              </w:rPr>
              <w:t>(in months)</w:t>
            </w:r>
          </w:p>
        </w:tc>
      </w:tr>
      <w:tr>
        <w:trPr>
          <w:trHeight w:val="155"/>
        </w:trPr>
        <w:tc>
          <w:tcPr>
            <w:tcW w:w="7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Developed technology</w:t>
            </w:r>
          </w:p>
        </w:tc>
        <w:tc>
          <w:tcPr>
            <w:tcW w:w="1440" w:type="dxa"/>
            <w:vAlign w:val="bottom"/>
            <w:shd w:val="clear" w:color="auto" w:fill="CCEEFF"/>
          </w:tcPr>
          <w:p>
            <w:pPr>
              <w:jc w:val="right"/>
              <w:ind w:right="884"/>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w:t>
            </w:r>
          </w:p>
        </w:tc>
      </w:tr>
      <w:tr>
        <w:trPr>
          <w:trHeight w:val="153"/>
        </w:trPr>
        <w:tc>
          <w:tcPr>
            <w:tcW w:w="7840" w:type="dxa"/>
            <w:vAlign w:val="bottom"/>
          </w:tcPr>
          <w:p>
            <w:pPr>
              <w:ind w:left="440"/>
              <w:spacing w:after="0"/>
              <w:rPr>
                <w:sz w:val="20"/>
                <w:szCs w:val="20"/>
                <w:color w:val="auto"/>
              </w:rPr>
            </w:pPr>
            <w:r>
              <w:rPr>
                <w:rFonts w:ascii="Arial" w:cs="Arial" w:eastAsia="Arial" w:hAnsi="Arial"/>
                <w:sz w:val="12"/>
                <w:szCs w:val="12"/>
                <w:color w:val="auto"/>
              </w:rPr>
              <w:t>Customer relationships</w:t>
            </w:r>
          </w:p>
        </w:tc>
        <w:tc>
          <w:tcPr>
            <w:tcW w:w="14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3,100</w:t>
            </w:r>
          </w:p>
        </w:tc>
        <w:tc>
          <w:tcPr>
            <w:tcW w:w="1580" w:type="dxa"/>
            <w:vAlign w:val="bottom"/>
            <w:gridSpan w:val="2"/>
          </w:tcPr>
          <w:p>
            <w:pPr>
              <w:jc w:val="right"/>
              <w:spacing w:after="0"/>
              <w:rPr>
                <w:sz w:val="20"/>
                <w:szCs w:val="20"/>
                <w:color w:val="auto"/>
              </w:rPr>
            </w:pPr>
            <w:r>
              <w:rPr>
                <w:rFonts w:ascii="Arial" w:cs="Arial" w:eastAsia="Arial" w:hAnsi="Arial"/>
                <w:sz w:val="12"/>
                <w:szCs w:val="12"/>
                <w:color w:val="auto"/>
              </w:rPr>
              <w:t>60</w:t>
            </w:r>
          </w:p>
        </w:tc>
      </w:tr>
      <w:tr>
        <w:trPr>
          <w:trHeight w:val="153"/>
        </w:trPr>
        <w:tc>
          <w:tcPr>
            <w:tcW w:w="7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Trade names</w:t>
            </w:r>
          </w:p>
        </w:tc>
        <w:tc>
          <w:tcPr>
            <w:tcW w:w="14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w:t>
            </w:r>
          </w:p>
        </w:tc>
      </w:tr>
      <w:tr>
        <w:trPr>
          <w:trHeight w:val="142"/>
        </w:trPr>
        <w:tc>
          <w:tcPr>
            <w:tcW w:w="7840" w:type="dxa"/>
            <w:vAlign w:val="bottom"/>
          </w:tcPr>
          <w:p>
            <w:pPr>
              <w:ind w:left="440"/>
              <w:spacing w:after="0"/>
              <w:rPr>
                <w:sz w:val="20"/>
                <w:szCs w:val="20"/>
                <w:color w:val="auto"/>
              </w:rPr>
            </w:pPr>
            <w:r>
              <w:rPr>
                <w:rFonts w:ascii="Arial" w:cs="Arial" w:eastAsia="Arial" w:hAnsi="Arial"/>
                <w:sz w:val="12"/>
                <w:szCs w:val="12"/>
                <w:color w:val="auto"/>
              </w:rPr>
              <w:t>Total intangible assets acquired</w:t>
            </w:r>
          </w:p>
        </w:tc>
        <w:tc>
          <w:tcPr>
            <w:tcW w:w="1440" w:type="dxa"/>
            <w:vAlign w:val="bottom"/>
            <w:tcBorders>
              <w:bottom w:val="single" w:sz="8" w:color="auto"/>
            </w:tcBorders>
          </w:tcPr>
          <w:p>
            <w:pPr>
              <w:jc w:val="right"/>
              <w:ind w:right="884"/>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16,385</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0"/>
        </w:trPr>
        <w:tc>
          <w:tcPr>
            <w:tcW w:w="7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The Company did not incur non-consideration acquisition expense during the three months ended October 31, 2021. The Company incurred non-consideration acquisition expense of $0.3 million during the nine months ended October 31, 2021. The acquisition costs are recorded in general and administrative expenses in the Company’s condensed consolidated statement of operations.</w:t>
      </w:r>
    </w:p>
    <w:p>
      <w:pPr>
        <w:spacing w:after="0" w:line="115"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The results of operations of Preempt Security have been included in the Company’s condensed consolidated financial statements from the date of acquisition. The acquisition of Preempt Security did not have a material impact on the Company’s condensed consolidated financial statements, and therefore historical and pro forma disclosures have not been presented.</w:t>
      </w:r>
    </w:p>
    <w:p>
      <w:pPr>
        <w:spacing w:after="0" w:line="11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i w:val="1"/>
          <w:iCs w:val="1"/>
          <w:color w:val="auto"/>
        </w:rPr>
        <w:t>13.</w:t>
      </w:r>
      <w:r>
        <w:rPr>
          <w:sz w:val="20"/>
          <w:szCs w:val="20"/>
          <w:color w:val="auto"/>
        </w:rPr>
        <w:tab/>
      </w:r>
      <w:r>
        <w:rPr>
          <w:rFonts w:ascii="Arial" w:cs="Arial" w:eastAsia="Arial" w:hAnsi="Arial"/>
          <w:sz w:val="10"/>
          <w:szCs w:val="10"/>
          <w:b w:val="1"/>
          <w:bCs w:val="1"/>
          <w:i w:val="1"/>
          <w:iCs w:val="1"/>
          <w:color w:val="auto"/>
        </w:rPr>
        <w:t>Net Loss Per Share Attributable to Common Stockholders</w:t>
      </w:r>
    </w:p>
    <w:p>
      <w:pPr>
        <w:spacing w:after="0" w:line="141" w:lineRule="exact"/>
        <w:rPr>
          <w:sz w:val="20"/>
          <w:szCs w:val="20"/>
          <w:color w:val="auto"/>
        </w:rPr>
      </w:pPr>
    </w:p>
    <w:p>
      <w:pPr>
        <w:ind w:right="160" w:firstLine="432"/>
        <w:spacing w:after="0" w:line="234" w:lineRule="auto"/>
        <w:rPr>
          <w:sz w:val="20"/>
          <w:szCs w:val="20"/>
          <w:color w:val="auto"/>
        </w:rPr>
      </w:pPr>
      <w:r>
        <w:rPr>
          <w:rFonts w:ascii="Arial" w:cs="Arial" w:eastAsia="Arial" w:hAnsi="Arial"/>
          <w:sz w:val="12"/>
          <w:szCs w:val="12"/>
          <w:color w:val="auto"/>
        </w:rPr>
        <w:t>Basic and diluted net loss per share attributable to CrowdStrike’s common stockholders is computed in conformity with the two-class method required for participating securities. Basic net loss per share attributable to CrowdStrike common stockholders is computed by dividing the net loss attributable to CrowdStrike by the weighted-average number of shares of common stock outstanding during the period. Diluted net loss per share is the same as basic net loss per share because the effects of potentially dilutive items were antidilutive given the Company’s net loss position in the periods presented.</w:t>
      </w:r>
    </w:p>
    <w:p>
      <w:pPr>
        <w:spacing w:after="0" w:line="118" w:lineRule="exact"/>
        <w:rPr>
          <w:sz w:val="20"/>
          <w:szCs w:val="20"/>
          <w:color w:val="auto"/>
        </w:rPr>
      </w:pPr>
    </w:p>
    <w:p>
      <w:pPr>
        <w:ind w:right="220" w:firstLine="432"/>
        <w:spacing w:after="0" w:line="289" w:lineRule="auto"/>
        <w:rPr>
          <w:sz w:val="20"/>
          <w:szCs w:val="20"/>
          <w:color w:val="auto"/>
        </w:rPr>
      </w:pPr>
      <w:r>
        <w:rPr>
          <w:rFonts w:ascii="Arial" w:cs="Arial" w:eastAsia="Arial" w:hAnsi="Arial"/>
          <w:sz w:val="11"/>
          <w:szCs w:val="11"/>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loss per share attributable to CrowdStrike common stockholders are the same for shares of Class A and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353695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9" w:name="page30"/>
    <w:bookmarkEnd w:id="29"/>
    <w:p>
      <w:pPr>
        <w:ind w:left="428"/>
        <w:spacing w:after="0"/>
        <w:rPr>
          <w:sz w:val="20"/>
          <w:szCs w:val="20"/>
          <w:color w:val="auto"/>
        </w:rPr>
      </w:pPr>
      <w:r>
        <w:rPr>
          <w:rFonts w:ascii="Arial" w:cs="Arial" w:eastAsia="Arial" w:hAnsi="Arial"/>
          <w:sz w:val="12"/>
          <w:szCs w:val="12"/>
          <w:color w:val="auto"/>
        </w:rPr>
        <w:t>The following table sets forth the computation of basic and diluted net loss per share attributable to CrowdStrike common stockholders (in thousands, except per share data):</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5000" w:type="dxa"/>
            <w:vAlign w:val="bottom"/>
          </w:tcPr>
          <w:p>
            <w:pPr>
              <w:spacing w:after="0"/>
              <w:rPr>
                <w:sz w:val="11"/>
                <w:szCs w:val="11"/>
                <w:color w:val="auto"/>
              </w:rPr>
            </w:pPr>
          </w:p>
        </w:tc>
        <w:tc>
          <w:tcPr>
            <w:tcW w:w="25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0"/>
                <w:szCs w:val="10"/>
                <w:b w:val="1"/>
                <w:bCs w:val="1"/>
                <w:color w:val="auto"/>
              </w:rPr>
              <w:t>Three Months Ended October 31,</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4"/>
          </w:tcPr>
          <w:p>
            <w:pPr>
              <w:jc w:val="right"/>
              <w:ind w:right="787"/>
              <w:spacing w:after="0"/>
              <w:rPr>
                <w:sz w:val="20"/>
                <w:szCs w:val="20"/>
                <w:color w:val="auto"/>
              </w:rPr>
            </w:pPr>
            <w:r>
              <w:rPr>
                <w:rFonts w:ascii="Arial" w:cs="Arial" w:eastAsia="Arial" w:hAnsi="Arial"/>
                <w:sz w:val="10"/>
                <w:szCs w:val="10"/>
                <w:b w:val="1"/>
                <w:bCs w:val="1"/>
                <w:color w:val="auto"/>
              </w:rPr>
              <w:t>Nine Months Ended October 31,</w:t>
            </w:r>
          </w:p>
        </w:tc>
        <w:tc>
          <w:tcPr>
            <w:tcW w:w="0" w:type="dxa"/>
            <w:vAlign w:val="bottom"/>
          </w:tcPr>
          <w:p>
            <w:pPr>
              <w:spacing w:after="0"/>
              <w:rPr>
                <w:sz w:val="1"/>
                <w:szCs w:val="1"/>
                <w:color w:val="auto"/>
              </w:rPr>
            </w:pPr>
          </w:p>
        </w:tc>
      </w:tr>
      <w:tr>
        <w:trPr>
          <w:trHeight w:val="125"/>
        </w:trPr>
        <w:tc>
          <w:tcPr>
            <w:tcW w:w="500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07"/>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07"/>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Numerator:</w:t>
            </w: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000" w:type="dxa"/>
            <w:vAlign w:val="bottom"/>
          </w:tcPr>
          <w:p>
            <w:pPr>
              <w:ind w:left="80"/>
              <w:spacing w:after="0"/>
              <w:rPr>
                <w:sz w:val="20"/>
                <w:szCs w:val="20"/>
                <w:color w:val="auto"/>
              </w:rPr>
            </w:pPr>
            <w:r>
              <w:rPr>
                <w:rFonts w:ascii="Arial" w:cs="Arial" w:eastAsia="Arial" w:hAnsi="Arial"/>
                <w:sz w:val="11"/>
                <w:szCs w:val="11"/>
                <w:color w:val="auto"/>
              </w:rPr>
              <w:t>Net loss attributable to Class A and Class B CrowdStrike common stockholders</w:t>
            </w:r>
          </w:p>
        </w:tc>
        <w:tc>
          <w:tcPr>
            <w:tcW w:w="980" w:type="dxa"/>
            <w:vAlign w:val="bottom"/>
          </w:tcPr>
          <w:p>
            <w:pPr>
              <w:jc w:val="right"/>
              <w:ind w:right="87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(50,455)</w:t>
            </w:r>
          </w:p>
        </w:tc>
        <w:tc>
          <w:tcPr>
            <w:tcW w:w="100" w:type="dxa"/>
            <w:vAlign w:val="bottom"/>
          </w:tcPr>
          <w:p>
            <w:pPr>
              <w:spacing w:after="0"/>
              <w:rPr>
                <w:sz w:val="12"/>
                <w:szCs w:val="12"/>
                <w:color w:val="auto"/>
              </w:rPr>
            </w:pP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(24,531)</w:t>
            </w:r>
          </w:p>
        </w:tc>
        <w:tc>
          <w:tcPr>
            <w:tcW w:w="100" w:type="dxa"/>
            <w:vAlign w:val="bottom"/>
          </w:tcPr>
          <w:p>
            <w:pPr>
              <w:spacing w:after="0"/>
              <w:rPr>
                <w:sz w:val="12"/>
                <w:szCs w:val="12"/>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(192,822)</w:t>
            </w:r>
          </w:p>
        </w:tc>
        <w:tc>
          <w:tcPr>
            <w:tcW w:w="60" w:type="dxa"/>
            <w:vAlign w:val="bottom"/>
          </w:tcPr>
          <w:p>
            <w:pPr>
              <w:spacing w:after="0"/>
              <w:rPr>
                <w:sz w:val="12"/>
                <w:szCs w:val="12"/>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(73,627)</w:t>
            </w:r>
          </w:p>
        </w:tc>
        <w:tc>
          <w:tcPr>
            <w:tcW w:w="0" w:type="dxa"/>
            <w:vAlign w:val="bottom"/>
          </w:tcPr>
          <w:p>
            <w:pPr>
              <w:spacing w:after="0"/>
              <w:rPr>
                <w:sz w:val="1"/>
                <w:szCs w:val="1"/>
                <w:color w:val="auto"/>
              </w:rPr>
            </w:pPr>
          </w:p>
        </w:tc>
      </w:tr>
      <w:tr>
        <w:trPr>
          <w:trHeight w:val="146"/>
        </w:trPr>
        <w:tc>
          <w:tcPr>
            <w:tcW w:w="5000" w:type="dxa"/>
            <w:vAlign w:val="bottom"/>
            <w:shd w:val="clear" w:color="auto" w:fill="CCEEFF"/>
          </w:tcPr>
          <w:p>
            <w:pPr>
              <w:spacing w:after="0"/>
              <w:rPr>
                <w:sz w:val="20"/>
                <w:szCs w:val="20"/>
                <w:color w:val="auto"/>
              </w:rPr>
            </w:pPr>
            <w:r>
              <w:rPr>
                <w:rFonts w:ascii="Arial" w:cs="Arial" w:eastAsia="Arial" w:hAnsi="Arial"/>
                <w:sz w:val="11"/>
                <w:szCs w:val="11"/>
                <w:color w:val="auto"/>
              </w:rPr>
              <w:t>Denominator:</w:t>
            </w: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5000" w:type="dxa"/>
            <w:vAlign w:val="bottom"/>
          </w:tcPr>
          <w:p>
            <w:pPr>
              <w:ind w:left="80"/>
              <w:spacing w:after="0" w:line="112" w:lineRule="exact"/>
              <w:rPr>
                <w:sz w:val="20"/>
                <w:szCs w:val="20"/>
                <w:color w:val="auto"/>
              </w:rPr>
            </w:pPr>
            <w:r>
              <w:rPr>
                <w:rFonts w:ascii="Arial" w:cs="Arial" w:eastAsia="Arial" w:hAnsi="Arial"/>
                <w:sz w:val="11"/>
                <w:szCs w:val="11"/>
                <w:color w:val="auto"/>
                <w:w w:val="99"/>
              </w:rPr>
              <w:t>Weighted-average shares used in computing net loss per share attributable to Class A and Class B of</w:t>
            </w:r>
          </w:p>
        </w:tc>
        <w:tc>
          <w:tcPr>
            <w:tcW w:w="9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228,293</w:t>
            </w: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219,401</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vMerge w:val="restart"/>
          </w:tcPr>
          <w:p>
            <w:pPr>
              <w:jc w:val="right"/>
              <w:ind w:right="7"/>
              <w:spacing w:after="0"/>
              <w:rPr>
                <w:sz w:val="20"/>
                <w:szCs w:val="20"/>
                <w:color w:val="auto"/>
              </w:rPr>
            </w:pPr>
            <w:r>
              <w:rPr>
                <w:rFonts w:ascii="Arial" w:cs="Arial" w:eastAsia="Arial" w:hAnsi="Arial"/>
                <w:sz w:val="11"/>
                <w:szCs w:val="11"/>
                <w:color w:val="auto"/>
              </w:rPr>
              <w:t>226,292</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Arial" w:cs="Arial" w:eastAsia="Arial" w:hAnsi="Arial"/>
                <w:sz w:val="11"/>
                <w:szCs w:val="11"/>
                <w:color w:val="auto"/>
              </w:rPr>
              <w:t>216,432</w:t>
            </w:r>
          </w:p>
        </w:tc>
        <w:tc>
          <w:tcPr>
            <w:tcW w:w="0" w:type="dxa"/>
            <w:vAlign w:val="bottom"/>
          </w:tcPr>
          <w:p>
            <w:pPr>
              <w:spacing w:after="0"/>
              <w:rPr>
                <w:sz w:val="1"/>
                <w:szCs w:val="1"/>
                <w:color w:val="auto"/>
              </w:rPr>
            </w:pPr>
          </w:p>
        </w:tc>
      </w:tr>
      <w:tr>
        <w:trPr>
          <w:trHeight w:val="138"/>
        </w:trPr>
        <w:tc>
          <w:tcPr>
            <w:tcW w:w="500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CrowdStrike common stockholders, basic and diluted</w:t>
            </w: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w w:val="95"/>
              </w:rPr>
              <w:t>Net loss per share attributable to Class A and Class B CrowdStrike common stockholders, basic and diluted</w:t>
            </w:r>
          </w:p>
        </w:tc>
        <w:tc>
          <w:tcPr>
            <w:tcW w:w="9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(0.22)</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(0.11)</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(0.85)</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(0.34)</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8" w:right="100" w:firstLine="432"/>
        <w:spacing w:after="0" w:line="269" w:lineRule="auto"/>
        <w:rPr>
          <w:sz w:val="20"/>
          <w:szCs w:val="20"/>
          <w:color w:val="auto"/>
        </w:rPr>
      </w:pPr>
      <w:r>
        <w:rPr>
          <w:rFonts w:ascii="Arial" w:cs="Arial" w:eastAsia="Arial" w:hAnsi="Arial"/>
          <w:sz w:val="12"/>
          <w:szCs w:val="12"/>
          <w:color w:val="auto"/>
        </w:rPr>
        <w:t>The potential shares of common stock that were excluded from the computation of diluted net loss per share attributable to common stockholders for the periods presented because including them would have been antidilutive are as follows (in thousands):</w:t>
      </w:r>
    </w:p>
    <w:tbl>
      <w:tblPr>
        <w:tblLayout w:type="fixed"/>
        <w:tblInd w:w="8" w:type="dxa"/>
        <w:tblCellMar>
          <w:top w:w="0" w:type="dxa"/>
          <w:left w:w="0" w:type="dxa"/>
          <w:bottom w:w="0" w:type="dxa"/>
          <w:right w:w="0" w:type="dxa"/>
        </w:tblCellMar>
      </w:tblPr>
      <w:tr>
        <w:trPr>
          <w:trHeight w:val="96"/>
        </w:trPr>
        <w:tc>
          <w:tcPr>
            <w:tcW w:w="8180" w:type="dxa"/>
            <w:vAlign w:val="bottom"/>
          </w:tcPr>
          <w:p>
            <w:pPr>
              <w:spacing w:after="0"/>
              <w:rPr>
                <w:sz w:val="8"/>
                <w:szCs w:val="8"/>
                <w:color w:val="auto"/>
              </w:rPr>
            </w:pPr>
          </w:p>
        </w:tc>
        <w:tc>
          <w:tcPr>
            <w:tcW w:w="1600" w:type="dxa"/>
            <w:vAlign w:val="bottom"/>
            <w:gridSpan w:val="2"/>
          </w:tcPr>
          <w:p>
            <w:pPr>
              <w:ind w:left="740"/>
              <w:spacing w:after="0" w:line="96" w:lineRule="exact"/>
              <w:rPr>
                <w:sz w:val="20"/>
                <w:szCs w:val="20"/>
                <w:color w:val="auto"/>
              </w:rPr>
            </w:pPr>
            <w:r>
              <w:rPr>
                <w:rFonts w:ascii="Arial" w:cs="Arial" w:eastAsia="Arial" w:hAnsi="Arial"/>
                <w:sz w:val="10"/>
                <w:szCs w:val="10"/>
                <w:b w:val="1"/>
                <w:bCs w:val="1"/>
                <w:color w:val="auto"/>
              </w:rPr>
              <w:t>October 31,</w:t>
            </w:r>
          </w:p>
        </w:tc>
        <w:tc>
          <w:tcPr>
            <w:tcW w:w="1520" w:type="dxa"/>
            <w:vAlign w:val="bottom"/>
          </w:tcPr>
          <w:p>
            <w:pPr>
              <w:jc w:val="right"/>
              <w:ind w:right="243"/>
              <w:spacing w:after="0" w:line="96" w:lineRule="exact"/>
              <w:rPr>
                <w:sz w:val="20"/>
                <w:szCs w:val="20"/>
                <w:color w:val="auto"/>
              </w:rPr>
            </w:pPr>
            <w:r>
              <w:rPr>
                <w:rFonts w:ascii="Arial" w:cs="Arial" w:eastAsia="Arial" w:hAnsi="Arial"/>
                <w:sz w:val="10"/>
                <w:szCs w:val="10"/>
                <w:b w:val="1"/>
                <w:bCs w:val="1"/>
                <w:color w:val="auto"/>
              </w:rPr>
              <w:t>October 31,</w:t>
            </w:r>
          </w:p>
        </w:tc>
      </w:tr>
      <w:tr>
        <w:trPr>
          <w:trHeight w:val="133"/>
        </w:trPr>
        <w:tc>
          <w:tcPr>
            <w:tcW w:w="8180" w:type="dxa"/>
            <w:vAlign w:val="bottom"/>
          </w:tcPr>
          <w:p>
            <w:pPr>
              <w:spacing w:after="0"/>
              <w:rPr>
                <w:sz w:val="11"/>
                <w:szCs w:val="11"/>
                <w:color w:val="auto"/>
              </w:rPr>
            </w:pPr>
          </w:p>
        </w:tc>
        <w:tc>
          <w:tcPr>
            <w:tcW w:w="152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1"/>
                <w:szCs w:val="11"/>
                <w:color w:val="auto"/>
              </w:rPr>
            </w:pPr>
          </w:p>
        </w:tc>
        <w:tc>
          <w:tcPr>
            <w:tcW w:w="152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2020</w:t>
            </w:r>
          </w:p>
        </w:tc>
      </w:tr>
      <w:tr>
        <w:trPr>
          <w:trHeight w:val="162"/>
        </w:trPr>
        <w:tc>
          <w:tcPr>
            <w:tcW w:w="81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Shares of common stock subject to repurchase from outstanding stock options</w:t>
            </w: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279</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638</w:t>
            </w:r>
          </w:p>
        </w:tc>
      </w:tr>
      <w:tr>
        <w:trPr>
          <w:trHeight w:val="153"/>
        </w:trPr>
        <w:tc>
          <w:tcPr>
            <w:tcW w:w="8180" w:type="dxa"/>
            <w:vAlign w:val="bottom"/>
          </w:tcPr>
          <w:p>
            <w:pPr>
              <w:ind w:left="440"/>
              <w:spacing w:after="0"/>
              <w:rPr>
                <w:sz w:val="20"/>
                <w:szCs w:val="20"/>
                <w:color w:val="auto"/>
              </w:rPr>
            </w:pPr>
            <w:r>
              <w:rPr>
                <w:rFonts w:ascii="Arial" w:cs="Arial" w:eastAsia="Arial" w:hAnsi="Arial"/>
                <w:sz w:val="12"/>
                <w:szCs w:val="12"/>
                <w:color w:val="auto"/>
              </w:rPr>
              <w:t>RSUs and PSUs subject to future vesting</w:t>
            </w:r>
          </w:p>
        </w:tc>
        <w:tc>
          <w:tcPr>
            <w:tcW w:w="1520" w:type="dxa"/>
            <w:vAlign w:val="bottom"/>
          </w:tcPr>
          <w:p>
            <w:pPr>
              <w:jc w:val="right"/>
              <w:ind w:right="3"/>
              <w:spacing w:after="0"/>
              <w:rPr>
                <w:sz w:val="20"/>
                <w:szCs w:val="20"/>
                <w:color w:val="auto"/>
              </w:rPr>
            </w:pPr>
            <w:r>
              <w:rPr>
                <w:rFonts w:ascii="Arial" w:cs="Arial" w:eastAsia="Arial" w:hAnsi="Arial"/>
                <w:sz w:val="12"/>
                <w:szCs w:val="12"/>
                <w:color w:val="auto"/>
              </w:rPr>
              <w:t>8,472</w:t>
            </w:r>
          </w:p>
        </w:tc>
        <w:tc>
          <w:tcPr>
            <w:tcW w:w="8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2"/>
                <w:szCs w:val="12"/>
                <w:color w:val="auto"/>
              </w:rPr>
              <w:t>8,747</w:t>
            </w:r>
          </w:p>
        </w:tc>
      </w:tr>
      <w:tr>
        <w:trPr>
          <w:trHeight w:val="153"/>
        </w:trPr>
        <w:tc>
          <w:tcPr>
            <w:tcW w:w="81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Shares of common stock issuable from stock options</w:t>
            </w: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4,421</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8,521</w:t>
            </w:r>
          </w:p>
        </w:tc>
      </w:tr>
      <w:tr>
        <w:trPr>
          <w:trHeight w:val="153"/>
        </w:trPr>
        <w:tc>
          <w:tcPr>
            <w:tcW w:w="81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Share purchase rights under the employee stock purchase plan</w:t>
            </w:r>
          </w:p>
        </w:tc>
        <w:tc>
          <w:tcPr>
            <w:tcW w:w="15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558</w:t>
            </w: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1,131</w:t>
            </w:r>
          </w:p>
        </w:tc>
      </w:tr>
      <w:tr>
        <w:trPr>
          <w:trHeight w:val="158"/>
        </w:trPr>
        <w:tc>
          <w:tcPr>
            <w:tcW w:w="8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Potential common shares excluded from diluted net loss per share</w:t>
            </w: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13,730</w:t>
            </w:r>
          </w:p>
        </w:tc>
        <w:tc>
          <w:tcPr>
            <w:tcW w:w="8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19,037</w:t>
            </w:r>
          </w:p>
        </w:tc>
      </w:tr>
    </w:tbl>
    <w:p>
      <w:pPr>
        <w:spacing w:after="0" w:line="234" w:lineRule="exact"/>
        <w:rPr>
          <w:sz w:val="20"/>
          <w:szCs w:val="20"/>
          <w:color w:val="auto"/>
        </w:rPr>
      </w:pPr>
    </w:p>
    <w:p>
      <w:pPr>
        <w:jc w:val="both"/>
        <w:ind w:left="8" w:right="240" w:firstLine="432"/>
        <w:spacing w:after="0" w:line="234" w:lineRule="auto"/>
        <w:rPr>
          <w:sz w:val="20"/>
          <w:szCs w:val="20"/>
          <w:color w:val="auto"/>
        </w:rPr>
      </w:pPr>
      <w:r>
        <w:rPr>
          <w:rFonts w:ascii="Arial" w:cs="Arial" w:eastAsia="Arial" w:hAnsi="Arial"/>
          <w:sz w:val="12"/>
          <w:szCs w:val="12"/>
          <w:color w:val="auto"/>
        </w:rPr>
        <w:t>The above table excludes founder holdbacks related to business combinations. A variable number of shares will be issued upon vesting to settle a fixed monetary amount of $8.5 million, of which such shares are contingent upon continued employment with the Company for two years. The share price will be determined based on the Company’s average stock price 5 days prior to each vesting date. As of October 31, 2021, 11,313 shares were issued to settle founder holdbacks at a weighted average price of $253.42 per share.</w:t>
      </w:r>
    </w:p>
    <w:p>
      <w:pPr>
        <w:spacing w:after="0" w:line="127" w:lineRule="exact"/>
        <w:rPr>
          <w:sz w:val="20"/>
          <w:szCs w:val="20"/>
          <w:color w:val="auto"/>
        </w:rPr>
      </w:pPr>
    </w:p>
    <w:p>
      <w:pPr>
        <w:ind w:left="308" w:hanging="308"/>
        <w:spacing w:after="0"/>
        <w:tabs>
          <w:tab w:leader="none" w:pos="308" w:val="left"/>
        </w:tabs>
        <w:numPr>
          <w:ilvl w:val="0"/>
          <w:numId w:val="1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Subsequent Events</w:t>
      </w:r>
    </w:p>
    <w:p>
      <w:pPr>
        <w:spacing w:after="0" w:line="150" w:lineRule="exact"/>
        <w:rPr>
          <w:sz w:val="20"/>
          <w:szCs w:val="20"/>
          <w:color w:val="auto"/>
        </w:rPr>
      </w:pPr>
    </w:p>
    <w:p>
      <w:pPr>
        <w:ind w:left="8" w:right="40" w:firstLine="432"/>
        <w:spacing w:after="0" w:line="289" w:lineRule="auto"/>
        <w:rPr>
          <w:sz w:val="20"/>
          <w:szCs w:val="20"/>
          <w:color w:val="auto"/>
        </w:rPr>
      </w:pPr>
      <w:r>
        <w:rPr>
          <w:rFonts w:ascii="Arial" w:cs="Arial" w:eastAsia="Arial" w:hAnsi="Arial"/>
          <w:sz w:val="11"/>
          <w:szCs w:val="11"/>
          <w:color w:val="auto"/>
        </w:rPr>
        <w:t>On October 29, 2021, the Company entered into an agreement to acquire all of the ownership interests in Secure Circle LLC (“Secure Circle”), a SaaS-based cybersecurity service that extends Zero Trust security to data on the endpoint. The acquisition of Secure Circle closed on November 29, 2021 and the Company paid approximately $60.8 million in cash subject to customary net working capital and purchase price adjustments. Due to the proximity of the closing date and the issuance of these condensed consolidated financial statements, the initial accounting for the acquisition of Secure Circle is incomplete, and therefore the Company is unable to disclose certain information required by ASC 805, including any provisional amounts recognized as of the acquisition date for each major class of assets acquired, liabilities assumed,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360680</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5" w:right="2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54"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2021,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 Our fiscal year end is January 31, and our fiscal quarters end on April 30, July 31, October 31, and January 31.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22" w:lineRule="exact"/>
        <w:rPr>
          <w:sz w:val="20"/>
          <w:szCs w:val="20"/>
          <w:color w:val="auto"/>
        </w:rPr>
      </w:pPr>
    </w:p>
    <w:p>
      <w:pPr>
        <w:ind w:firstLine="432"/>
        <w:spacing w:after="0" w:line="310" w:lineRule="auto"/>
        <w:rPr>
          <w:sz w:val="20"/>
          <w:szCs w:val="20"/>
          <w:color w:val="auto"/>
        </w:rPr>
      </w:pPr>
      <w:r>
        <w:rPr>
          <w:rFonts w:ascii="Arial" w:cs="Arial" w:eastAsia="Arial" w:hAnsi="Arial"/>
          <w:sz w:val="10"/>
          <w:szCs w:val="10"/>
          <w:color w:val="auto"/>
        </w:rPr>
        <w:t>We believe we are defining a new category called the Security Cloud, with the power to transform the security industry much the same way the cloud has transformed the customer relationship management, human resources,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cloud workloads, cloud containers, mobile,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Our single lightweight agent is installed on each endpoint or the cloud workload host and provides local detection and prevention capabilities while also intelligently collecting and streaming high fidelity data to our platform for real-time decision-making. Our Threat Graph processes, correlates, and analyzes this data in the cloud using a combination of AI and behavioral pattern-matching techniques. By analyzing and correlating information across our massive, crowdsourced dataset, we are able to deploy our AI algorithms at cloud-scale and build a more intelligent, effective solution to detect threats and stop breaches that on-premise or single instance cloud products cannot match. Today we provide a leading cloud-delivered solution for next-generation endpoint and cloud workload protection via a SaaS subscription-based model that spans multiple security markets, including corporate workload security, security and vulnerability management, managed security services, IT operations management, threat intelligence services, identity protection and log management.</w:t>
      </w:r>
    </w:p>
    <w:p>
      <w:pPr>
        <w:spacing w:after="0" w:line="112" w:lineRule="exact"/>
        <w:rPr>
          <w:sz w:val="20"/>
          <w:szCs w:val="20"/>
          <w:color w:val="auto"/>
        </w:rPr>
      </w:pPr>
    </w:p>
    <w:p>
      <w:pPr>
        <w:ind w:right="280" w:firstLine="432"/>
        <w:spacing w:after="0" w:line="282" w:lineRule="auto"/>
        <w:rPr>
          <w:sz w:val="20"/>
          <w:szCs w:val="20"/>
          <w:color w:val="auto"/>
        </w:rPr>
      </w:pPr>
      <w:r>
        <w:rPr>
          <w:rFonts w:ascii="Arial" w:cs="Arial" w:eastAsia="Arial" w:hAnsi="Arial"/>
          <w:sz w:val="10"/>
          <w:szCs w:val="10"/>
          <w:color w:val="auto"/>
        </w:rPr>
        <w:t>In March 2020, the World Health Organization declared the COVID-19 outbreak to be a pandemic. Since then, the COVID-19 pandemic has rapidly spread across the globe and has already resulted in significant volatility, uncertainty, and economic disruption. Since the pandemic commenced, we have implemented several measures to help ensure the health and safety of our employees around the globe. In addition, in response to the uncertain macroeconomic environment, we converted all of our marketable securities to cash and cash equivalents during the three months ended April 30, 2020 and all of our investments were classified as cash and cash equivalents as of October 31, 2021. Thus far, the impact of the pandemic has been modest with respect to some customers, particularly in heavily impacted industries, requesting special billing or payment terms. Our gross retention rate for the third quarter of fiscal 2022 remained consistently high and our dollar-based net retention rate was once again above 100 percent as we continued to expand the number of endpoints and modules within existing customers.</w:t>
      </w:r>
    </w:p>
    <w:p>
      <w:pPr>
        <w:spacing w:after="0" w:line="125" w:lineRule="exact"/>
        <w:rPr>
          <w:sz w:val="20"/>
          <w:szCs w:val="20"/>
          <w:color w:val="auto"/>
        </w:rPr>
      </w:pPr>
    </w:p>
    <w:p>
      <w:pPr>
        <w:jc w:val="both"/>
        <w:ind w:right="160" w:firstLine="432"/>
        <w:spacing w:after="0" w:line="289" w:lineRule="auto"/>
        <w:rPr>
          <w:sz w:val="20"/>
          <w:szCs w:val="20"/>
          <w:color w:val="auto"/>
        </w:rPr>
      </w:pPr>
      <w:r>
        <w:rPr>
          <w:rFonts w:ascii="Arial" w:cs="Arial" w:eastAsia="Arial" w:hAnsi="Arial"/>
          <w:sz w:val="11"/>
          <w:szCs w:val="11"/>
          <w:color w:val="auto"/>
        </w:rPr>
        <w:t>We have gradually resumed certain pre-pandemic activities, such as employee travel, working in the office, customer interactions, and marketing events, among other things.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The extent to which the COVID-19 pandemic may impact our longer-term operational and financial performance remains uncertain. Furthermore, due to our subscription-based business model, the effect of the COVID-19 pandemic may not be fully reflected in our results of operations until future periods, if at all. The extent of the impact of the COVID-19 pandemic will depend on several factors, including the pace of reopening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360680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7" w:right="299" w:bottom="1440" w:gutter="0" w:footer="0" w:header="0"/>
        </w:sectPr>
      </w:pPr>
    </w:p>
    <w:bookmarkStart w:id="31" w:name="page32"/>
    <w:bookmarkEnd w:id="31"/>
    <w:p>
      <w:pPr>
        <w:spacing w:after="0" w:line="379" w:lineRule="auto"/>
        <w:rPr>
          <w:sz w:val="20"/>
          <w:szCs w:val="20"/>
          <w:color w:val="auto"/>
        </w:rPr>
      </w:pPr>
      <w:r>
        <w:rPr>
          <w:rFonts w:ascii="Arial" w:cs="Arial" w:eastAsia="Arial" w:hAnsi="Arial"/>
          <w:sz w:val="10"/>
          <w:szCs w:val="10"/>
          <w:color w:val="auto"/>
        </w:rPr>
        <w:t>economy around the world; the possible resurgence in the spread of the virus; the development cycle of therapeutics and vaccines; the impact on our customers and our sales cycles; the impact on our customer, employee, and industry events; and the effect on our vendors. Please see Part II, Item IA, “Risk Factors” in this Quarterly Report on Form 10-Q for a further description of the material risks we currently face, including risks related to the COVID-19 pandemic.</w:t>
      </w:r>
    </w:p>
    <w:p>
      <w:pPr>
        <w:spacing w:after="0" w:line="69"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On March 5, 2021, the Company acquired 100% of the equity interest of Humio Limited (“Humio”), a privately-held company that is a leading provider of high-performance cloud log management and observability technology. The acquisition has been accounted for as a business combination. The total consideration transferred was $370.3 million which consisted of $353.8 million in cash, net of $12.5 million cash acquired, and $4.0 million representing the fair value of replacement equity awards attributable to pre-acquisition service. The purchase price was allocated, on a preliminary basis, to identified intangible assets, which include developed technology, customer relationships and trade names, of $75.6 million, net tangible assets acquired of $3.4 million and goodwill of $291.3 million allocated to the Company’s one reporting unit, representing the excess of the purchase price over the fair value of net tangible and intangible assets acquired. The goodwill was primarily attributable to the assembled workforce of Humio, planned growth in new markets and synergies expected to be achieved from the integration of Humio. Goodwill is not deductible for income tax purposes.</w:t>
      </w:r>
    </w:p>
    <w:p>
      <w:pPr>
        <w:spacing w:after="0" w:line="124"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Our Go-To-Market Strategy</w:t>
      </w:r>
    </w:p>
    <w:p>
      <w:pPr>
        <w:spacing w:after="0" w:line="154"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15"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We have a low friction land-and-expand sales strategy. When customers deploy our Falcon platform, they can start with any number of cloud modules and we can activate additional cloud modules in real time on the same agent already deployed on the endpoint. This architecture has also allowed us to begin to offer a free trial of our Falcon Prevent module directly from our website or the AWS Marketplace, and we plan to extend this capability to additional modules in the future.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28" w:lineRule="exact"/>
        <w:rPr>
          <w:sz w:val="20"/>
          <w:szCs w:val="20"/>
          <w:color w:val="auto"/>
        </w:rPr>
      </w:pPr>
    </w:p>
    <w:p>
      <w:pPr>
        <w:ind w:right="440" w:firstLine="432"/>
        <w:spacing w:after="0" w:line="323" w:lineRule="auto"/>
        <w:rPr>
          <w:sz w:val="20"/>
          <w:szCs w:val="20"/>
          <w:color w:val="auto"/>
        </w:rPr>
      </w:pPr>
      <w:r>
        <w:rPr>
          <w:rFonts w:ascii="Arial" w:cs="Arial" w:eastAsia="Arial" w:hAnsi="Arial"/>
          <w:sz w:val="11"/>
          <w:szCs w:val="11"/>
          <w:color w:val="auto"/>
        </w:rPr>
        <w:t>We began as a solution for large enterprises, but the flexibility and scalability of our Falcon platform has enabled us to seamlessly offer our solution to customers of any size—from those with hundreds of thousands of endpoints to as few as three. We have expanded our sales focus to include any organization without the need to modify our Falcon platform for small and medium sized businesses.</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18"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Certain Factors Affecting Our Performance</w:t>
      </w:r>
    </w:p>
    <w:p>
      <w:pPr>
        <w:spacing w:after="0" w:line="154" w:lineRule="exact"/>
        <w:rPr>
          <w:sz w:val="20"/>
          <w:szCs w:val="20"/>
          <w:color w:val="auto"/>
        </w:rPr>
      </w:pPr>
    </w:p>
    <w:p>
      <w:pPr>
        <w:ind w:right="260" w:firstLine="432"/>
        <w:spacing w:after="0" w:line="379" w:lineRule="auto"/>
        <w:rPr>
          <w:sz w:val="20"/>
          <w:szCs w:val="20"/>
          <w:color w:val="auto"/>
        </w:rPr>
      </w:pPr>
      <w:r>
        <w:rPr>
          <w:rFonts w:ascii="Arial" w:cs="Arial" w:eastAsia="Arial" w:hAnsi="Arial"/>
          <w:sz w:val="10"/>
          <w:szCs w:val="10"/>
          <w:b w:val="1"/>
          <w:bCs w:val="1"/>
          <w:i w:val="1"/>
          <w:iCs w:val="1"/>
          <w:color w:val="auto"/>
        </w:rPr>
        <w:t xml:space="preserve">Adoption of Our Solutions. </w:t>
      </w:r>
      <w:r>
        <w:rPr>
          <w:rFonts w:ascii="Arial" w:cs="Arial" w:eastAsia="Arial" w:hAnsi="Arial"/>
          <w:sz w:val="10"/>
          <w:szCs w:val="10"/>
          <w:color w:val="auto"/>
        </w:rPr>
        <w:t>We believe our future success depends in large part on the growth in the market for cloud-based SaaS-delivered 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6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b w:val="1"/>
          <w:bCs w:val="1"/>
          <w:i w:val="1"/>
          <w:iCs w:val="1"/>
          <w:color w:val="auto"/>
        </w:rPr>
        <w:t xml:space="preserve">New Customer Acquisition. </w:t>
      </w:r>
      <w:r>
        <w:rPr>
          <w:rFonts w:ascii="Arial" w:cs="Arial" w:eastAsia="Arial" w:hAnsi="Arial"/>
          <w:sz w:val="12"/>
          <w:szCs w:val="12"/>
          <w:color w:val="auto"/>
        </w:rPr>
        <w:t>Our future growth depends in large part on our ability to acquire new customers. If our efforts to attract new customers are not successful, our revenue and rate of revenue growth may decline.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460375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71" w:right="319" w:bottom="1440" w:gutter="0" w:footer="0" w:header="0"/>
        </w:sectPr>
      </w:pPr>
    </w:p>
    <w:bookmarkStart w:id="32" w:name="page33"/>
    <w:bookmarkEnd w:id="32"/>
    <w:p>
      <w:pPr>
        <w:ind w:right="80" w:firstLine="432"/>
        <w:spacing w:after="0" w:line="281" w:lineRule="auto"/>
        <w:rPr>
          <w:sz w:val="20"/>
          <w:szCs w:val="20"/>
          <w:color w:val="auto"/>
        </w:rPr>
      </w:pPr>
      <w:r>
        <w:rPr>
          <w:rFonts w:ascii="Arial" w:cs="Arial" w:eastAsia="Arial" w:hAnsi="Arial"/>
          <w:sz w:val="11"/>
          <w:szCs w:val="11"/>
          <w:b w:val="1"/>
          <w:bCs w:val="1"/>
          <w:i w:val="1"/>
          <w:iCs w:val="1"/>
          <w:color w:val="auto"/>
        </w:rPr>
        <w:t xml:space="preserve">Maintain Customer Retention and Increase Sales. </w:t>
      </w:r>
      <w:r>
        <w:rPr>
          <w:rFonts w:ascii="Arial" w:cs="Arial" w:eastAsia="Arial" w:hAnsi="Arial"/>
          <w:sz w:val="11"/>
          <w:szCs w:val="11"/>
          <w:color w:val="auto"/>
        </w:rPr>
        <w:t>Our ability to increase revenue depends in large part on our ability to retain our existing customers and increase the ARR of their subscriptions. We focus on increasing sales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to our existing customers by expanding their deployments to more endpoints and selling additional cloud modules for increased functionality. Over time we have transitioned our platform from a single offering into highly-integrated offerings of multiple SKU cloud modules. We initially launched this strategy with our IT hygiene, next-generation antivirus, EDR, managed threat hunting, and intelligence modules.</w:t>
      </w:r>
    </w:p>
    <w:p>
      <w:pPr>
        <w:spacing w:after="0" w:line="105"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b w:val="1"/>
          <w:bCs w:val="1"/>
          <w:i w:val="1"/>
          <w:iCs w:val="1"/>
          <w:color w:val="auto"/>
        </w:rPr>
        <w:t xml:space="preserve">Invest in Growth. </w:t>
      </w:r>
      <w:r>
        <w:rPr>
          <w:rFonts w:ascii="Arial" w:cs="Arial" w:eastAsia="Arial" w:hAnsi="Arial"/>
          <w:sz w:val="12"/>
          <w:szCs w:val="12"/>
          <w:color w:val="auto"/>
        </w:rPr>
        <w:t>We believe that our market opportunity is large and requires us to continue to invest significantly in sales and marketing efforts to further grow our customer base, both domestically and internationally.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24"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Key Metrics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monitor the following key metrics to help us evaluate our business, identify trends affecting our business, formulate business plans, and make strategic decisions.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Subscription Customers</w:t>
      </w:r>
    </w:p>
    <w:p>
      <w:pPr>
        <w:spacing w:after="0" w:line="150"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the number of our subscription customers as of the dates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300" w:type="dxa"/>
            <w:vAlign w:val="bottom"/>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b w:val="1"/>
                <w:bCs w:val="1"/>
                <w:color w:val="auto"/>
              </w:rPr>
              <w:t>As of October 31,</w:t>
            </w:r>
          </w:p>
        </w:tc>
        <w:tc>
          <w:tcPr>
            <w:tcW w:w="8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r>
      <w:tr>
        <w:trPr>
          <w:trHeight w:val="118"/>
        </w:trPr>
        <w:tc>
          <w:tcPr>
            <w:tcW w:w="7300" w:type="dxa"/>
            <w:vAlign w:val="bottom"/>
            <w:tcBorders>
              <w:bottom w:val="single" w:sz="8" w:color="CCEEFF"/>
            </w:tcBorders>
          </w:tcPr>
          <w:p>
            <w:pPr>
              <w:spacing w:after="0"/>
              <w:rPr>
                <w:sz w:val="10"/>
                <w:szCs w:val="10"/>
                <w:color w:val="auto"/>
              </w:rPr>
            </w:pPr>
          </w:p>
        </w:tc>
        <w:tc>
          <w:tcPr>
            <w:tcW w:w="164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r>
      <w:tr>
        <w:trPr>
          <w:trHeight w:val="143"/>
        </w:trPr>
        <w:tc>
          <w:tcPr>
            <w:tcW w:w="73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 customers</w:t>
            </w:r>
          </w:p>
        </w:tc>
        <w:tc>
          <w:tcPr>
            <w:tcW w:w="164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14,687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8,416</w:t>
            </w:r>
          </w:p>
        </w:tc>
        <w:tc>
          <w:tcPr>
            <w:tcW w:w="340" w:type="dxa"/>
            <w:vAlign w:val="bottom"/>
            <w:shd w:val="clear" w:color="auto" w:fill="CCEEFF"/>
          </w:tcPr>
          <w:p>
            <w:pPr>
              <w:spacing w:after="0"/>
              <w:rPr>
                <w:sz w:val="12"/>
                <w:szCs w:val="12"/>
                <w:color w:val="auto"/>
              </w:rPr>
            </w:pPr>
          </w:p>
        </w:tc>
      </w:tr>
      <w:tr>
        <w:trPr>
          <w:trHeight w:val="153"/>
        </w:trPr>
        <w:tc>
          <w:tcPr>
            <w:tcW w:w="7300" w:type="dxa"/>
            <w:vAlign w:val="bottom"/>
          </w:tcPr>
          <w:p>
            <w:pPr>
              <w:ind w:left="440"/>
              <w:spacing w:after="0"/>
              <w:rPr>
                <w:sz w:val="20"/>
                <w:szCs w:val="20"/>
                <w:color w:val="auto"/>
              </w:rPr>
            </w:pPr>
            <w:r>
              <w:rPr>
                <w:rFonts w:ascii="Arial" w:cs="Arial" w:eastAsia="Arial" w:hAnsi="Arial"/>
                <w:sz w:val="12"/>
                <w:szCs w:val="12"/>
                <w:color w:val="auto"/>
              </w:rPr>
              <w:t>Year-over-year growth</w:t>
            </w:r>
          </w:p>
        </w:tc>
        <w:tc>
          <w:tcPr>
            <w:tcW w:w="1640" w:type="dxa"/>
            <w:vAlign w:val="bottom"/>
          </w:tcPr>
          <w:p>
            <w:pPr>
              <w:jc w:val="right"/>
              <w:ind w:right="184"/>
              <w:spacing w:after="0"/>
              <w:rPr>
                <w:sz w:val="20"/>
                <w:szCs w:val="20"/>
                <w:color w:val="auto"/>
              </w:rPr>
            </w:pPr>
            <w:r>
              <w:rPr>
                <w:rFonts w:ascii="Arial" w:cs="Arial" w:eastAsia="Arial" w:hAnsi="Arial"/>
                <w:sz w:val="12"/>
                <w:szCs w:val="12"/>
                <w:color w:val="auto"/>
              </w:rPr>
              <w:t>75</w:t>
            </w:r>
          </w:p>
        </w:tc>
        <w:tc>
          <w:tcPr>
            <w:tcW w:w="340" w:type="dxa"/>
            <w:vAlign w:val="bottom"/>
          </w:tcPr>
          <w:p>
            <w:pPr>
              <w:ind w:left="220"/>
              <w:spacing w:after="0"/>
              <w:rPr>
                <w:sz w:val="20"/>
                <w:szCs w:val="20"/>
                <w:color w:val="auto"/>
              </w:rPr>
            </w:pPr>
            <w:r>
              <w:rPr>
                <w:rFonts w:ascii="Arial" w:cs="Arial" w:eastAsia="Arial" w:hAnsi="Arial"/>
                <w:sz w:val="12"/>
                <w:szCs w:val="12"/>
                <w:color w:val="auto"/>
                <w:w w:val="93"/>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jc w:val="right"/>
              <w:ind w:right="184"/>
              <w:spacing w:after="0"/>
              <w:rPr>
                <w:sz w:val="20"/>
                <w:szCs w:val="20"/>
                <w:color w:val="auto"/>
              </w:rPr>
            </w:pPr>
            <w:r>
              <w:rPr>
                <w:rFonts w:ascii="Arial" w:cs="Arial" w:eastAsia="Arial" w:hAnsi="Arial"/>
                <w:sz w:val="12"/>
                <w:szCs w:val="12"/>
                <w:color w:val="auto"/>
              </w:rPr>
              <w:t>85</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98"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We added 1,607 and 4,791 net new subscription customers during the three and nine months ended October 31, 2021, respectively, for a total of 14,687 subscription customers as of October 31, 2021, representing 75% growth year-over-year. We added 1,186 and 2,985 net new subscription customers during the three and nine months ended October 31, 2020, for a total of 8,416 subscription customers as of October 31, 2020, representing 85% growth year-over-year.</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Annual Recurring Revenue (“ARR”)</w:t>
      </w:r>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our ARR as of the dates presented (dollar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b w:val="1"/>
                <w:bCs w:val="1"/>
                <w:color w:val="auto"/>
              </w:rPr>
              <w:t>As of October 31,</w:t>
            </w:r>
          </w:p>
        </w:tc>
        <w:tc>
          <w:tcPr>
            <w:tcW w:w="10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r>
      <w:tr>
        <w:trPr>
          <w:trHeight w:val="126"/>
        </w:trPr>
        <w:tc>
          <w:tcPr>
            <w:tcW w:w="654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r>
      <w:tr>
        <w:trPr>
          <w:trHeight w:val="162"/>
        </w:trPr>
        <w:tc>
          <w:tcPr>
            <w:tcW w:w="65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Annual recurring revenue</w:t>
            </w: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1,514,453</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907,391</w:t>
            </w:r>
          </w:p>
        </w:tc>
        <w:tc>
          <w:tcPr>
            <w:tcW w:w="340" w:type="dxa"/>
            <w:vAlign w:val="bottom"/>
            <w:shd w:val="clear" w:color="auto" w:fill="CCEEFF"/>
          </w:tcPr>
          <w:p>
            <w:pPr>
              <w:spacing w:after="0"/>
              <w:rPr>
                <w:sz w:val="14"/>
                <w:szCs w:val="14"/>
                <w:color w:val="auto"/>
              </w:rPr>
            </w:pPr>
          </w:p>
        </w:tc>
      </w:tr>
      <w:tr>
        <w:trPr>
          <w:trHeight w:val="153"/>
        </w:trPr>
        <w:tc>
          <w:tcPr>
            <w:tcW w:w="6540" w:type="dxa"/>
            <w:vAlign w:val="bottom"/>
          </w:tcPr>
          <w:p>
            <w:pPr>
              <w:ind w:left="440"/>
              <w:spacing w:after="0"/>
              <w:rPr>
                <w:sz w:val="20"/>
                <w:szCs w:val="20"/>
                <w:color w:val="auto"/>
              </w:rPr>
            </w:pPr>
            <w:r>
              <w:rPr>
                <w:rFonts w:ascii="Arial" w:cs="Arial" w:eastAsia="Arial" w:hAnsi="Arial"/>
                <w:sz w:val="12"/>
                <w:szCs w:val="12"/>
                <w:color w:val="auto"/>
              </w:rPr>
              <w:t>Year-over-year growth</w:t>
            </w:r>
          </w:p>
        </w:tc>
        <w:tc>
          <w:tcPr>
            <w:tcW w:w="900" w:type="dxa"/>
            <w:vAlign w:val="bottom"/>
          </w:tcPr>
          <w:p>
            <w:pPr>
              <w:spacing w:after="0"/>
              <w:rPr>
                <w:sz w:val="13"/>
                <w:szCs w:val="13"/>
                <w:color w:val="auto"/>
              </w:rPr>
            </w:pPr>
          </w:p>
        </w:tc>
        <w:tc>
          <w:tcPr>
            <w:tcW w:w="1100" w:type="dxa"/>
            <w:vAlign w:val="bottom"/>
          </w:tcPr>
          <w:p>
            <w:pPr>
              <w:jc w:val="right"/>
              <w:ind w:right="184"/>
              <w:spacing w:after="0"/>
              <w:rPr>
                <w:sz w:val="20"/>
                <w:szCs w:val="20"/>
                <w:color w:val="auto"/>
              </w:rPr>
            </w:pPr>
            <w:r>
              <w:rPr>
                <w:rFonts w:ascii="Arial" w:cs="Arial" w:eastAsia="Arial" w:hAnsi="Arial"/>
                <w:sz w:val="12"/>
                <w:szCs w:val="12"/>
                <w:color w:val="auto"/>
              </w:rPr>
              <w:t>67</w:t>
            </w:r>
          </w:p>
        </w:tc>
        <w:tc>
          <w:tcPr>
            <w:tcW w:w="340" w:type="dxa"/>
            <w:vAlign w:val="bottom"/>
          </w:tcPr>
          <w:p>
            <w:pPr>
              <w:ind w:left="240"/>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jc w:val="right"/>
              <w:ind w:right="184"/>
              <w:spacing w:after="0"/>
              <w:rPr>
                <w:sz w:val="20"/>
                <w:szCs w:val="20"/>
                <w:color w:val="auto"/>
              </w:rPr>
            </w:pPr>
            <w:r>
              <w:rPr>
                <w:rFonts w:ascii="Arial" w:cs="Arial" w:eastAsia="Arial" w:hAnsi="Arial"/>
                <w:sz w:val="12"/>
                <w:szCs w:val="12"/>
                <w:color w:val="auto"/>
              </w:rPr>
              <w:t>81</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89"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ARR grew to $1.5 billion as of October 31, 2021, of which $170.0 million and $464.4 million was net new ARR added for the three and nine months ended October 31, 2021, respectively. ARR grew to $907.4 million as of October 31, 2020,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363220</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33" w:name="page34"/>
    <w:bookmarkEnd w:id="33"/>
    <w:p>
      <w:pPr>
        <w:spacing w:after="0"/>
        <w:rPr>
          <w:sz w:val="20"/>
          <w:szCs w:val="20"/>
          <w:color w:val="auto"/>
        </w:rPr>
      </w:pPr>
      <w:r>
        <w:rPr>
          <w:rFonts w:ascii="Arial" w:cs="Arial" w:eastAsia="Arial" w:hAnsi="Arial"/>
          <w:sz w:val="12"/>
          <w:szCs w:val="12"/>
          <w:color w:val="auto"/>
        </w:rPr>
        <w:t>which $116.8 million and $306.9 million was net new ARR added for three and nine months ended October 31, 2020, respectively.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Dollar-Based Net Retention Rate</w:t>
      </w:r>
    </w:p>
    <w:p>
      <w:pPr>
        <w:spacing w:after="0" w:line="150" w:lineRule="exact"/>
        <w:rPr>
          <w:sz w:val="20"/>
          <w:szCs w:val="20"/>
          <w:color w:val="auto"/>
        </w:rPr>
      </w:pPr>
    </w:p>
    <w:p>
      <w:pPr>
        <w:jc w:val="both"/>
        <w:ind w:right="240" w:firstLine="432"/>
        <w:spacing w:after="0" w:line="256" w:lineRule="auto"/>
        <w:rPr>
          <w:sz w:val="20"/>
          <w:szCs w:val="20"/>
          <w:color w:val="auto"/>
        </w:rPr>
      </w:pPr>
      <w:r>
        <w:rPr>
          <w:rFonts w:ascii="Arial" w:cs="Arial" w:eastAsia="Arial" w:hAnsi="Arial"/>
          <w:sz w:val="12"/>
          <w:szCs w:val="12"/>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128"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Since January 2016, our dollar-based net retention rate has consistently exceeded 100% which is primarily attributable to an expansion of endpoints within, and cross-selling additional cloud modules to, our existing subscription customers.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22"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Our dollar-based net retention rate has varied from quarter to quarter due to a number of factors and we expect that trend to continue.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118"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i w:val="1"/>
          <w:iCs w:val="1"/>
          <w:color w:val="auto"/>
        </w:rPr>
        <w:t xml:space="preserve">Subscription Revenue. </w:t>
      </w:r>
      <w:r>
        <w:rPr>
          <w:rFonts w:ascii="Arial" w:cs="Arial" w:eastAsia="Arial" w:hAnsi="Arial"/>
          <w:sz w:val="11"/>
          <w:szCs w:val="11"/>
          <w:color w:val="auto"/>
        </w:rPr>
        <w:t>Subscription revenue primarily consists of subscription fees for our Falcon platform and additional cloud modules that are supported by our cloud-based platform. Subscription revenue is driven primarily</w:t>
      </w:r>
      <w:r>
        <w:rPr>
          <w:rFonts w:ascii="Arial" w:cs="Arial" w:eastAsia="Arial" w:hAnsi="Arial"/>
          <w:sz w:val="11"/>
          <w:szCs w:val="11"/>
          <w:i w:val="1"/>
          <w:iCs w:val="1"/>
          <w:color w:val="auto"/>
        </w:rPr>
        <w:t xml:space="preserve"> </w:t>
      </w:r>
      <w:r>
        <w:rPr>
          <w:rFonts w:ascii="Arial" w:cs="Arial" w:eastAsia="Arial" w:hAnsi="Arial"/>
          <w:sz w:val="11"/>
          <w:szCs w:val="11"/>
          <w:color w:val="auto"/>
        </w:rPr>
        <w:t>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11"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2"/>
          <w:szCs w:val="12"/>
          <w:i w:val="1"/>
          <w:iCs w:val="1"/>
          <w:color w:val="auto"/>
        </w:rPr>
        <w:t xml:space="preserve">Professional Services Revenue. </w:t>
      </w:r>
      <w:r>
        <w:rPr>
          <w:rFonts w:ascii="Arial" w:cs="Arial" w:eastAsia="Arial" w:hAnsi="Arial"/>
          <w:sz w:val="12"/>
          <w:szCs w:val="12"/>
          <w:color w:val="auto"/>
        </w:rPr>
        <w:t>Professional services revenue includes incident response and proactive services, forensic and malware analysis, and attribution analysis. Professional services are generally sold separately from</w:t>
      </w:r>
      <w:r>
        <w:rPr>
          <w:rFonts w:ascii="Arial" w:cs="Arial" w:eastAsia="Arial" w:hAnsi="Arial"/>
          <w:sz w:val="12"/>
          <w:szCs w:val="12"/>
          <w:i w:val="1"/>
          <w:iCs w:val="1"/>
          <w:color w:val="auto"/>
        </w:rPr>
        <w:t xml:space="preserve"> </w:t>
      </w:r>
      <w:r>
        <w:rPr>
          <w:rFonts w:ascii="Arial" w:cs="Arial" w:eastAsia="Arial" w:hAnsi="Arial"/>
          <w:sz w:val="12"/>
          <w:szCs w:val="12"/>
          <w:color w:val="auto"/>
        </w:rPr>
        <w:t>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Cost of Revenue</w:t>
      </w:r>
    </w:p>
    <w:p>
      <w:pPr>
        <w:spacing w:after="0" w:line="150"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i w:val="1"/>
          <w:iCs w:val="1"/>
          <w:color w:val="auto"/>
        </w:rPr>
        <w:t xml:space="preserve">Subscription Cost of Revenue. </w:t>
      </w:r>
      <w:r>
        <w:rPr>
          <w:rFonts w:ascii="Arial" w:cs="Arial" w:eastAsia="Arial" w:hAnsi="Arial"/>
          <w:sz w:val="12"/>
          <w:szCs w:val="12"/>
          <w:color w:val="auto"/>
        </w:rPr>
        <w:t>Subscription cost of revenue consists primarily of costs related to hosting our cloud-based Falcon platform in data centers, amortization of our capitalized internal-use software, employee-related</w:t>
      </w:r>
      <w:r>
        <w:rPr>
          <w:rFonts w:ascii="Arial" w:cs="Arial" w:eastAsia="Arial" w:hAnsi="Arial"/>
          <w:sz w:val="12"/>
          <w:szCs w:val="12"/>
          <w:i w:val="1"/>
          <w:iCs w:val="1"/>
          <w:color w:val="auto"/>
        </w:rPr>
        <w:t xml:space="preserve"> </w:t>
      </w:r>
      <w:r>
        <w:rPr>
          <w:rFonts w:ascii="Arial" w:cs="Arial" w:eastAsia="Arial" w:hAnsi="Arial"/>
          <w:sz w:val="12"/>
          <w:szCs w:val="12"/>
          <w:color w:val="auto"/>
        </w:rPr>
        <w:t>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2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363220</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34" w:name="page35"/>
    <w:bookmarkEnd w:id="34"/>
    <w:p>
      <w:pPr>
        <w:spacing w:after="0"/>
        <w:rPr>
          <w:sz w:val="20"/>
          <w:szCs w:val="20"/>
          <w:color w:val="auto"/>
        </w:rPr>
      </w:pPr>
      <w:r>
        <w:rPr>
          <w:rFonts w:ascii="Arial" w:cs="Arial" w:eastAsia="Arial" w:hAnsi="Arial"/>
          <w:sz w:val="11"/>
          <w:szCs w:val="11"/>
          <w:color w:val="auto"/>
        </w:rPr>
        <w:t>continue to invest additional resources in our cloud platform and our customer support organizations as we grow our business. The level and timing of investment in these areas could affect our cost of revenue in the future.</w:t>
      </w:r>
    </w:p>
    <w:p>
      <w:pPr>
        <w:spacing w:after="0" w:line="162"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i w:val="1"/>
          <w:iCs w:val="1"/>
          <w:color w:val="auto"/>
        </w:rPr>
        <w:t xml:space="preserve">Professional Services Cost of Revenue. </w:t>
      </w:r>
      <w:r>
        <w:rPr>
          <w:rFonts w:ascii="Arial" w:cs="Arial" w:eastAsia="Arial" w:hAnsi="Arial"/>
          <w:sz w:val="12"/>
          <w:szCs w:val="12"/>
          <w:color w:val="auto"/>
        </w:rPr>
        <w:t>Professional services cost of revenue consists primarily of employee-related costs, such as salaries and bonuses, stock-based compensation expense, technology, property and equipment</w:t>
      </w:r>
      <w:r>
        <w:rPr>
          <w:rFonts w:ascii="Arial" w:cs="Arial" w:eastAsia="Arial" w:hAnsi="Arial"/>
          <w:sz w:val="12"/>
          <w:szCs w:val="12"/>
          <w:i w:val="1"/>
          <w:iCs w:val="1"/>
          <w:color w:val="auto"/>
        </w:rPr>
        <w:t xml:space="preserve"> </w:t>
      </w:r>
      <w:r>
        <w:rPr>
          <w:rFonts w:ascii="Arial" w:cs="Arial" w:eastAsia="Arial" w:hAnsi="Arial"/>
          <w:sz w:val="12"/>
          <w:szCs w:val="12"/>
          <w:color w:val="auto"/>
        </w:rPr>
        <w:t>depreciation, and an allocated portion of facilities and administrative costs.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Gross Profit and Gross Margin</w:t>
      </w:r>
    </w:p>
    <w:p>
      <w:pPr>
        <w:spacing w:after="0" w:line="150" w:lineRule="exact"/>
        <w:rPr>
          <w:sz w:val="20"/>
          <w:szCs w:val="20"/>
          <w:color w:val="auto"/>
        </w:rPr>
      </w:pPr>
    </w:p>
    <w:p>
      <w:pPr>
        <w:ind w:right="80" w:firstLine="432"/>
        <w:spacing w:after="0" w:line="255" w:lineRule="auto"/>
        <w:rPr>
          <w:sz w:val="20"/>
          <w:szCs w:val="20"/>
          <w:color w:val="auto"/>
        </w:rPr>
      </w:pPr>
      <w:r>
        <w:rPr>
          <w:rFonts w:ascii="Arial" w:cs="Arial" w:eastAsia="Arial" w:hAnsi="Arial"/>
          <w:sz w:val="12"/>
          <w:szCs w:val="12"/>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5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15" w:lineRule="exact"/>
        <w:rPr>
          <w:sz w:val="20"/>
          <w:szCs w:val="20"/>
          <w:color w:val="auto"/>
        </w:rPr>
      </w:pPr>
    </w:p>
    <w:p>
      <w:pPr>
        <w:ind w:right="40" w:firstLine="432"/>
        <w:spacing w:after="0" w:line="289" w:lineRule="auto"/>
        <w:rPr>
          <w:sz w:val="20"/>
          <w:szCs w:val="20"/>
          <w:color w:val="auto"/>
        </w:rPr>
      </w:pPr>
      <w:r>
        <w:rPr>
          <w:rFonts w:ascii="Arial" w:cs="Arial" w:eastAsia="Arial" w:hAnsi="Arial"/>
          <w:sz w:val="11"/>
          <w:szCs w:val="11"/>
          <w:i w:val="1"/>
          <w:iCs w:val="1"/>
          <w:color w:val="auto"/>
        </w:rPr>
        <w:t xml:space="preserve">Sales and Marketing. </w:t>
      </w:r>
      <w:r>
        <w:rPr>
          <w:rFonts w:ascii="Arial" w:cs="Arial" w:eastAsia="Arial" w:hAnsi="Arial"/>
          <w:sz w:val="11"/>
          <w:szCs w:val="11"/>
          <w:color w:val="auto"/>
        </w:rPr>
        <w:t>Sales and marketing expenses primarily consist of employee-related expenses such as salaries, commissions, and bonuses. Sales and marketing expenses also include stock-based compensation; expenses</w:t>
      </w:r>
      <w:r>
        <w:rPr>
          <w:rFonts w:ascii="Arial" w:cs="Arial" w:eastAsia="Arial" w:hAnsi="Arial"/>
          <w:sz w:val="11"/>
          <w:szCs w:val="11"/>
          <w:i w:val="1"/>
          <w:iCs w:val="1"/>
          <w:color w:val="auto"/>
        </w:rPr>
        <w:t xml:space="preserve"> </w:t>
      </w:r>
      <w:r>
        <w:rPr>
          <w:rFonts w:ascii="Arial" w:cs="Arial" w:eastAsia="Arial" w:hAnsi="Arial"/>
          <w:sz w:val="11"/>
          <w:szCs w:val="11"/>
          <w:color w:val="auto"/>
        </w:rPr>
        <w:t>related to our Fal.Con customer conference and other marketing events; an allocated portion of facilities and administrative expenses; amortization of acquired intangibles, and cloud hosting and related services costs related to proof of value efforts. We capitalize and amortize sales commissions and any other incremental payments made upon the initial acquisition of a subscription or upsells to existing customers to sales and marketing expense over the estimated customer life, and amortize any such expenses paid for the renewal of a subscription to sales and marketing expense over the term of the renewal.</w:t>
      </w:r>
    </w:p>
    <w:p>
      <w:pPr>
        <w:spacing w:after="0" w:line="111"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period-to-period depending on the timing of these expenses.</w:t>
      </w:r>
    </w:p>
    <w:p>
      <w:pPr>
        <w:spacing w:after="0" w:line="122"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expenses primarily consist of employee-related expenses such as salaries and bonuses; stock-based compensation, consulting expenses related to the design;</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22" w:lineRule="exact"/>
        <w:rPr>
          <w:sz w:val="20"/>
          <w:szCs w:val="20"/>
          <w:color w:val="auto"/>
        </w:rPr>
      </w:pPr>
    </w:p>
    <w:p>
      <w:pPr>
        <w:ind w:right="60" w:firstLine="432"/>
        <w:spacing w:after="0" w:line="379" w:lineRule="auto"/>
        <w:rPr>
          <w:sz w:val="20"/>
          <w:szCs w:val="20"/>
          <w:color w:val="auto"/>
        </w:rPr>
      </w:pPr>
      <w:r>
        <w:rPr>
          <w:rFonts w:ascii="Arial" w:cs="Arial" w:eastAsia="Arial" w:hAnsi="Arial"/>
          <w:sz w:val="10"/>
          <w:szCs w:val="10"/>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69" w:lineRule="exact"/>
        <w:rPr>
          <w:sz w:val="20"/>
          <w:szCs w:val="20"/>
          <w:color w:val="auto"/>
        </w:rPr>
      </w:pPr>
    </w:p>
    <w:p>
      <w:pPr>
        <w:ind w:right="460" w:firstLine="432"/>
        <w:spacing w:after="0" w:line="323" w:lineRule="auto"/>
        <w:rPr>
          <w:sz w:val="20"/>
          <w:szCs w:val="20"/>
          <w:color w:val="auto"/>
        </w:rPr>
      </w:pPr>
      <w:r>
        <w:rPr>
          <w:rFonts w:ascii="Arial" w:cs="Arial" w:eastAsia="Arial" w:hAnsi="Arial"/>
          <w:sz w:val="11"/>
          <w:szCs w:val="11"/>
          <w:i w:val="1"/>
          <w:iCs w:val="1"/>
          <w:color w:val="auto"/>
        </w:rPr>
        <w:t xml:space="preserve">General and Administrative. </w:t>
      </w:r>
      <w:r>
        <w:rPr>
          <w:rFonts w:ascii="Arial" w:cs="Arial" w:eastAsia="Arial" w:hAnsi="Arial"/>
          <w:sz w:val="11"/>
          <w:szCs w:val="11"/>
          <w:color w:val="auto"/>
        </w:rPr>
        <w:t>General and administrative expenses consist of employee-related expenses such as salaries and bonuses; stock-based compensation; and related expenses for our executive, finance, human</w:t>
      </w:r>
      <w:r>
        <w:rPr>
          <w:rFonts w:ascii="Arial" w:cs="Arial" w:eastAsia="Arial" w:hAnsi="Arial"/>
          <w:sz w:val="11"/>
          <w:szCs w:val="11"/>
          <w:i w:val="1"/>
          <w:iCs w:val="1"/>
          <w:color w:val="auto"/>
        </w:rPr>
        <w:t xml:space="preserve"> </w:t>
      </w:r>
      <w:r>
        <w:rPr>
          <w:rFonts w:ascii="Arial" w:cs="Arial" w:eastAsia="Arial" w:hAnsi="Arial"/>
          <w:sz w:val="11"/>
          <w:szCs w:val="11"/>
          <w:color w:val="auto"/>
        </w:rPr>
        <w:t>resources, and legal organizations. In addition, general and administrative expenses include outside legal, accounting, and other professional fees; and an allocated portion of facilities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35" w:name="page36"/>
    <w:bookmarkEnd w:id="35"/>
    <w:p>
      <w:pPr>
        <w:ind w:right="260" w:firstLine="432"/>
        <w:spacing w:after="0" w:line="276" w:lineRule="auto"/>
        <w:rPr>
          <w:sz w:val="20"/>
          <w:szCs w:val="20"/>
          <w:color w:val="auto"/>
        </w:rPr>
      </w:pPr>
      <w:r>
        <w:rPr>
          <w:rFonts w:ascii="Arial" w:cs="Arial" w:eastAsia="Arial" w:hAnsi="Arial"/>
          <w:sz w:val="12"/>
          <w:szCs w:val="12"/>
          <w:color w:val="auto"/>
        </w:rPr>
        <w:t>As a public company, 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period-to-period depending on the timing of these expenses.</w:t>
      </w:r>
    </w:p>
    <w:p>
      <w:pPr>
        <w:spacing w:after="0" w:line="115"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i w:val="1"/>
          <w:iCs w:val="1"/>
          <w:color w:val="auto"/>
        </w:rPr>
        <w:t>Interest Expense</w:t>
      </w:r>
      <w:r>
        <w:rPr>
          <w:rFonts w:ascii="Arial" w:cs="Arial" w:eastAsia="Arial" w:hAnsi="Arial"/>
          <w:sz w:val="12"/>
          <w:szCs w:val="12"/>
          <w:color w:val="auto"/>
        </w:rPr>
        <w:t>: Interest Expense consists primarily of interest expense from amortization of debt issuance costs, contractual interest expense for our Senior Notes issued in January 2021, and amortization of debt issuance</w:t>
      </w:r>
      <w:r>
        <w:rPr>
          <w:rFonts w:ascii="Arial" w:cs="Arial" w:eastAsia="Arial" w:hAnsi="Arial"/>
          <w:sz w:val="12"/>
          <w:szCs w:val="12"/>
          <w:i w:val="1"/>
          <w:iCs w:val="1"/>
          <w:color w:val="auto"/>
        </w:rPr>
        <w:t xml:space="preserve"> </w:t>
      </w:r>
      <w:r>
        <w:rPr>
          <w:rFonts w:ascii="Arial" w:cs="Arial" w:eastAsia="Arial" w:hAnsi="Arial"/>
          <w:sz w:val="12"/>
          <w:szCs w:val="12"/>
          <w:color w:val="auto"/>
        </w:rPr>
        <w:t>costs on our secured revolving credit facility. We expect interest expense to increase in fiscal 2022 as a result of the issuance of our Senior Notes.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Other Income, Net. </w:t>
      </w:r>
      <w:r>
        <w:rPr>
          <w:rFonts w:ascii="Arial" w:cs="Arial" w:eastAsia="Arial" w:hAnsi="Arial"/>
          <w:sz w:val="12"/>
          <w:szCs w:val="12"/>
          <w:color w:val="auto"/>
        </w:rPr>
        <w:t>Other income, net, consists primarily of income earned on our cash and cash equivalents, if any; gain (loss) on strategic investments and foreign currency transaction gains and losses.</w:t>
      </w:r>
    </w:p>
    <w:p>
      <w:pPr>
        <w:spacing w:after="0" w:line="150"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i w:val="1"/>
          <w:iCs w:val="1"/>
          <w:color w:val="auto"/>
        </w:rPr>
        <w:t xml:space="preserve">Provision for Income Taxes. </w:t>
      </w:r>
      <w:r>
        <w:rPr>
          <w:rFonts w:ascii="Arial" w:cs="Arial" w:eastAsia="Arial" w:hAnsi="Arial"/>
          <w:sz w:val="12"/>
          <w:szCs w:val="12"/>
          <w:color w:val="auto"/>
        </w:rPr>
        <w:t>Provision for income taxes consists of state income taxes in the United States, foreign income taxes including taxes related to the intercompany sale of intellectual property from Humio and</w:t>
      </w:r>
      <w:r>
        <w:rPr>
          <w:rFonts w:ascii="Arial" w:cs="Arial" w:eastAsia="Arial" w:hAnsi="Arial"/>
          <w:sz w:val="12"/>
          <w:szCs w:val="12"/>
          <w:i w:val="1"/>
          <w:iCs w:val="1"/>
          <w:color w:val="auto"/>
        </w:rPr>
        <w:t xml:space="preserve"> </w:t>
      </w:r>
      <w:r>
        <w:rPr>
          <w:rFonts w:ascii="Arial" w:cs="Arial" w:eastAsia="Arial" w:hAnsi="Arial"/>
          <w:sz w:val="12"/>
          <w:szCs w:val="12"/>
          <w:color w:val="auto"/>
        </w:rPr>
        <w:t>withholding taxes related to customer payments in certain foreign jurisdictions in which we conduct business. We maintain a full valuation allowance on our U.S. federal and state and UK deferred tax assets that we have determined are not realizable on a more likely than not basis.</w:t>
      </w:r>
    </w:p>
    <w:p>
      <w:pPr>
        <w:spacing w:after="0" w:line="122"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i w:val="1"/>
          <w:iCs w:val="1"/>
          <w:color w:val="auto"/>
        </w:rPr>
        <w:t xml:space="preserve">Net Income Attributable to Non-controlling Interest. </w:t>
      </w:r>
      <w:r>
        <w:rPr>
          <w:rFonts w:ascii="Arial" w:cs="Arial" w:eastAsia="Arial" w:hAnsi="Arial"/>
          <w:sz w:val="12"/>
          <w:szCs w:val="12"/>
          <w:color w:val="auto"/>
        </w:rPr>
        <w:t>Net income attributable to non-controlling interest consists of Falcon Fund’s non-controlling interest share of mark-to-market gains and interest income from our strategic</w:t>
      </w:r>
      <w:r>
        <w:rPr>
          <w:rFonts w:ascii="Arial" w:cs="Arial" w:eastAsia="Arial" w:hAnsi="Arial"/>
          <w:sz w:val="12"/>
          <w:szCs w:val="12"/>
          <w:i w:val="1"/>
          <w:iCs w:val="1"/>
          <w:color w:val="auto"/>
        </w:rPr>
        <w:t xml:space="preserve"> </w:t>
      </w:r>
      <w:r>
        <w:rPr>
          <w:rFonts w:ascii="Arial" w:cs="Arial" w:eastAsia="Arial" w:hAnsi="Arial"/>
          <w:sz w:val="12"/>
          <w:szCs w:val="12"/>
          <w:color w:val="auto"/>
        </w:rPr>
        <w:t>investments.</w:t>
      </w:r>
    </w:p>
    <w:p>
      <w:pPr>
        <w:spacing w:after="0" w:line="111"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set forth our condensed consolidated statements of operations for each period presented (dollar in thousands, except percentages):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tcPr>
          <w:p>
            <w:pPr>
              <w:jc w:val="right"/>
              <w:ind w:right="406"/>
              <w:spacing w:after="0"/>
              <w:rPr>
                <w:sz w:val="20"/>
                <w:szCs w:val="20"/>
                <w:color w:val="auto"/>
              </w:rPr>
            </w:pPr>
            <w:r>
              <w:rPr>
                <w:rFonts w:ascii="Arial" w:cs="Arial" w:eastAsia="Arial" w:hAnsi="Arial"/>
                <w:sz w:val="10"/>
                <w:szCs w:val="10"/>
                <w:b w:val="1"/>
                <w:bCs w:val="1"/>
                <w:color w:val="auto"/>
              </w:rPr>
              <w:t>Three Months Ended October 31,</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gridSpan w:val="2"/>
          </w:tcPr>
          <w:p>
            <w:pPr>
              <w:ind w:left="160"/>
              <w:spacing w:after="0"/>
              <w:rPr>
                <w:sz w:val="20"/>
                <w:szCs w:val="20"/>
                <w:color w:val="auto"/>
              </w:rPr>
            </w:pPr>
            <w:r>
              <w:rPr>
                <w:rFonts w:ascii="Arial" w:cs="Arial" w:eastAsia="Arial" w:hAnsi="Arial"/>
                <w:sz w:val="10"/>
                <w:szCs w:val="10"/>
                <w:b w:val="1"/>
                <w:bCs w:val="1"/>
                <w:color w:val="auto"/>
              </w:rPr>
              <w:t>Change</w:t>
            </w:r>
          </w:p>
        </w:tc>
        <w:tc>
          <w:tcPr>
            <w:tcW w:w="6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Change</w:t>
            </w:r>
          </w:p>
        </w:tc>
        <w:tc>
          <w:tcPr>
            <w:tcW w:w="64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4"/>
          </w:tcPr>
          <w:p>
            <w:pPr>
              <w:jc w:val="right"/>
              <w:ind w:right="446"/>
              <w:spacing w:after="0"/>
              <w:rPr>
                <w:sz w:val="20"/>
                <w:szCs w:val="20"/>
                <w:color w:val="auto"/>
              </w:rPr>
            </w:pPr>
            <w:r>
              <w:rPr>
                <w:rFonts w:ascii="Arial" w:cs="Arial" w:eastAsia="Arial" w:hAnsi="Arial"/>
                <w:sz w:val="10"/>
                <w:szCs w:val="10"/>
                <w:b w:val="1"/>
                <w:bCs w:val="1"/>
                <w:color w:val="auto"/>
              </w:rPr>
              <w:t>Nine Months Ended October 31,</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tcPr>
          <w:p>
            <w:pPr>
              <w:ind w:left="16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87"/>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607"/>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1"/>
                <w:szCs w:val="11"/>
                <w:color w:val="auto"/>
              </w:rPr>
              <w:t>Revenue</w:t>
            </w: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1"/>
                <w:szCs w:val="11"/>
                <w:color w:val="auto"/>
              </w:rPr>
              <w:t>Subscription</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357,030</w:t>
            </w:r>
          </w:p>
        </w:tc>
        <w:tc>
          <w:tcPr>
            <w:tcW w:w="4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213,530</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143,500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954,094</w:t>
            </w:r>
          </w:p>
        </w:tc>
        <w:tc>
          <w:tcPr>
            <w:tcW w:w="60" w:type="dxa"/>
            <w:vAlign w:val="bottom"/>
          </w:tcPr>
          <w:p>
            <w:pPr>
              <w:spacing w:after="0"/>
              <w:rPr>
                <w:sz w:val="12"/>
                <w:szCs w:val="12"/>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560,008</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394,086</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vMerge w:val="restart"/>
            <w:shd w:val="clear" w:color="auto" w:fill="CCEEFF"/>
          </w:tcPr>
          <w:p>
            <w:pPr>
              <w:ind w:left="80"/>
              <w:spacing w:after="0"/>
              <w:rPr>
                <w:sz w:val="20"/>
                <w:szCs w:val="20"/>
                <w:color w:val="auto"/>
              </w:rPr>
            </w:pPr>
            <w:r>
              <w:rPr>
                <w:rFonts w:ascii="Arial" w:cs="Arial" w:eastAsia="Arial" w:hAnsi="Arial"/>
                <w:sz w:val="11"/>
                <w:szCs w:val="11"/>
                <w:color w:val="auto"/>
                <w:w w:val="84"/>
              </w:rPr>
              <w:t>services</w:t>
            </w:r>
          </w:p>
        </w:tc>
        <w:tc>
          <w:tcPr>
            <w:tcW w:w="7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Professional</w:t>
            </w:r>
          </w:p>
        </w:tc>
        <w:tc>
          <w:tcPr>
            <w:tcW w:w="6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23,021</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18,930</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4,091</w:t>
            </w:r>
          </w:p>
        </w:tc>
        <w:tc>
          <w:tcPr>
            <w:tcW w:w="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66,490</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49,501</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16,989</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40" w:type="dxa"/>
            <w:vAlign w:val="bottom"/>
            <w:vMerge w:val="continue"/>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4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w w:val="86"/>
              </w:rPr>
              <w:t>Total revenue</w:t>
            </w: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380,051</w:t>
            </w:r>
          </w:p>
        </w:tc>
        <w:tc>
          <w:tcPr>
            <w:tcW w:w="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232,460</w:t>
            </w:r>
          </w:p>
        </w:tc>
        <w:tc>
          <w:tcPr>
            <w:tcW w:w="6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147,591</w:t>
            </w:r>
          </w:p>
        </w:tc>
        <w:tc>
          <w:tcPr>
            <w:tcW w:w="6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63</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1,020,584</w:t>
            </w:r>
          </w:p>
        </w:tc>
        <w:tc>
          <w:tcPr>
            <w:tcW w:w="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609,509</w:t>
            </w:r>
          </w:p>
        </w:tc>
        <w:tc>
          <w:tcPr>
            <w:tcW w:w="4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411,075</w:t>
            </w:r>
          </w:p>
        </w:tc>
        <w:tc>
          <w:tcPr>
            <w:tcW w:w="6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2"/>
              </w:rPr>
              <w:t>Cost of revenue</w:t>
            </w:r>
          </w:p>
        </w:tc>
        <w:tc>
          <w:tcPr>
            <w:tcW w:w="6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vMerge w:val="restart"/>
          </w:tcPr>
          <w:p>
            <w:pPr>
              <w:ind w:left="80"/>
              <w:spacing w:after="0"/>
              <w:rPr>
                <w:sz w:val="20"/>
                <w:szCs w:val="20"/>
                <w:color w:val="auto"/>
              </w:rPr>
            </w:pPr>
            <w:r>
              <w:rPr>
                <w:rFonts w:ascii="Arial" w:cs="Arial" w:eastAsia="Arial" w:hAnsi="Arial"/>
                <w:sz w:val="7"/>
                <w:szCs w:val="7"/>
                <w:color w:val="auto"/>
              </w:rPr>
              <w:t>(2)</w:t>
            </w:r>
          </w:p>
        </w:tc>
        <w:tc>
          <w:tcPr>
            <w:tcW w:w="740" w:type="dxa"/>
            <w:vAlign w:val="bottom"/>
          </w:tcPr>
          <w:p>
            <w:pPr>
              <w:ind w:left="80"/>
              <w:spacing w:after="0"/>
              <w:rPr>
                <w:sz w:val="20"/>
                <w:szCs w:val="20"/>
                <w:color w:val="auto"/>
              </w:rPr>
            </w:pPr>
            <w:r>
              <w:rPr>
                <w:rFonts w:ascii="Arial" w:cs="Arial" w:eastAsia="Arial" w:hAnsi="Arial"/>
                <w:sz w:val="11"/>
                <w:szCs w:val="11"/>
                <w:color w:val="auto"/>
                <w:w w:val="85"/>
              </w:rPr>
              <w:t xml:space="preserve">Subscription </w:t>
            </w:r>
            <w:r>
              <w:rPr>
                <w:rFonts w:ascii="Arial" w:cs="Arial" w:eastAsia="Arial" w:hAnsi="Arial"/>
                <w:sz w:val="14"/>
                <w:szCs w:val="14"/>
                <w:color w:val="auto"/>
                <w:w w:val="85"/>
                <w:vertAlign w:val="superscript"/>
              </w:rPr>
              <w:t>(1)</w:t>
            </w:r>
          </w:p>
        </w:tc>
        <w:tc>
          <w:tcPr>
            <w:tcW w:w="64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auto"/>
              </w:rPr>
              <w:t>85,464</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49,583</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35,881</w:t>
            </w:r>
          </w:p>
        </w:tc>
        <w:tc>
          <w:tcPr>
            <w:tcW w:w="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72</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226,360</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130,864</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95,496</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440" w:type="dxa"/>
            <w:vAlign w:val="bottom"/>
            <w:shd w:val="clear" w:color="auto" w:fill="CCEEFF"/>
          </w:tcPr>
          <w:p>
            <w:pPr>
              <w:spacing w:after="0"/>
              <w:rPr>
                <w:sz w:val="9"/>
                <w:szCs w:val="9"/>
                <w:color w:val="auto"/>
              </w:rPr>
            </w:pPr>
          </w:p>
        </w:tc>
        <w:tc>
          <w:tcPr>
            <w:tcW w:w="740" w:type="dxa"/>
            <w:vAlign w:val="bottom"/>
            <w:shd w:val="clear" w:color="auto" w:fill="CCEEFF"/>
          </w:tcPr>
          <w:p>
            <w:pPr>
              <w:ind w:left="80"/>
              <w:spacing w:after="0" w:line="114" w:lineRule="exact"/>
              <w:rPr>
                <w:sz w:val="20"/>
                <w:szCs w:val="20"/>
                <w:color w:val="auto"/>
              </w:rPr>
            </w:pPr>
            <w:r>
              <w:rPr>
                <w:rFonts w:ascii="Arial" w:cs="Arial" w:eastAsia="Arial" w:hAnsi="Arial"/>
                <w:sz w:val="11"/>
                <w:szCs w:val="11"/>
                <w:color w:val="auto"/>
              </w:rPr>
              <w:t>Professional</w:t>
            </w: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16,200</w:t>
            </w: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11,944</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4,256</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44,241</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31,949</w:t>
            </w: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12,292</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1"/>
                <w:szCs w:val="11"/>
                <w:color w:val="auto"/>
              </w:rPr>
              <w:t xml:space="preserve">services </w:t>
            </w:r>
            <w:r>
              <w:rPr>
                <w:rFonts w:ascii="Arial" w:cs="Arial" w:eastAsia="Arial" w:hAnsi="Arial"/>
                <w:sz w:val="14"/>
                <w:szCs w:val="14"/>
                <w:color w:val="auto"/>
                <w:vertAlign w:val="superscript"/>
              </w:rPr>
              <w:t>(1)</w:t>
            </w: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40" w:type="dxa"/>
            <w:vAlign w:val="bottom"/>
          </w:tcPr>
          <w:p>
            <w:pPr>
              <w:spacing w:after="0"/>
              <w:rPr>
                <w:sz w:val="7"/>
                <w:szCs w:val="7"/>
                <w:color w:val="auto"/>
              </w:rPr>
            </w:pPr>
          </w:p>
        </w:tc>
        <w:tc>
          <w:tcPr>
            <w:tcW w:w="740" w:type="dxa"/>
            <w:vAlign w:val="bottom"/>
          </w:tcPr>
          <w:p>
            <w:pPr>
              <w:ind w:left="140"/>
              <w:spacing w:after="0" w:line="92" w:lineRule="exact"/>
              <w:rPr>
                <w:sz w:val="20"/>
                <w:szCs w:val="20"/>
                <w:color w:val="auto"/>
              </w:rPr>
            </w:pPr>
            <w:r>
              <w:rPr>
                <w:rFonts w:ascii="Arial" w:cs="Arial" w:eastAsia="Arial" w:hAnsi="Arial"/>
                <w:sz w:val="10"/>
                <w:szCs w:val="10"/>
                <w:color w:val="auto"/>
              </w:rPr>
              <w:t>Total cost of</w:t>
            </w:r>
          </w:p>
        </w:tc>
        <w:tc>
          <w:tcPr>
            <w:tcW w:w="640" w:type="dxa"/>
            <w:vAlign w:val="bottom"/>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auto"/>
              </w:rPr>
              <w:t>101,664</w:t>
            </w: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61,527</w:t>
            </w: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40,137</w:t>
            </w:r>
          </w:p>
        </w:tc>
        <w:tc>
          <w:tcPr>
            <w:tcW w:w="6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65</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270,601</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162,813</w:t>
            </w: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107,788</w:t>
            </w: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revenue</w:t>
            </w: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1"/>
                <w:szCs w:val="11"/>
                <w:color w:val="auto"/>
              </w:rPr>
              <w:t>Gross profit</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278,387</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170,933</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107,454</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749,983</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446,696</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303,287</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40" w:type="dxa"/>
            <w:vAlign w:val="bottom"/>
            <w:vMerge w:val="restart"/>
          </w:tcPr>
          <w:p>
            <w:pPr>
              <w:spacing w:after="0"/>
              <w:rPr>
                <w:sz w:val="20"/>
                <w:szCs w:val="20"/>
                <w:color w:val="auto"/>
              </w:rPr>
            </w:pPr>
            <w:r>
              <w:rPr>
                <w:rFonts w:ascii="Arial" w:cs="Arial" w:eastAsia="Arial" w:hAnsi="Arial"/>
                <w:sz w:val="11"/>
                <w:szCs w:val="11"/>
                <w:color w:val="auto"/>
                <w:w w:val="89"/>
              </w:rPr>
              <w:t>expenses</w:t>
            </w:r>
          </w:p>
        </w:tc>
        <w:tc>
          <w:tcPr>
            <w:tcW w:w="740" w:type="dxa"/>
            <w:vAlign w:val="bottom"/>
          </w:tcPr>
          <w:p>
            <w:pPr>
              <w:spacing w:after="0"/>
              <w:rPr>
                <w:sz w:val="20"/>
                <w:szCs w:val="20"/>
                <w:color w:val="auto"/>
              </w:rPr>
            </w:pPr>
            <w:r>
              <w:rPr>
                <w:rFonts w:ascii="Arial" w:cs="Arial" w:eastAsia="Arial" w:hAnsi="Arial"/>
                <w:sz w:val="11"/>
                <w:szCs w:val="11"/>
                <w:color w:val="auto"/>
              </w:rPr>
              <w:t>Operating</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40" w:type="dxa"/>
            <w:vAlign w:val="bottom"/>
            <w:shd w:val="clear" w:color="auto" w:fill="CCEEFF"/>
          </w:tcPr>
          <w:p>
            <w:pPr>
              <w:spacing w:after="0"/>
              <w:rPr>
                <w:sz w:val="9"/>
                <w:szCs w:val="9"/>
                <w:color w:val="auto"/>
              </w:rPr>
            </w:pPr>
          </w:p>
        </w:tc>
        <w:tc>
          <w:tcPr>
            <w:tcW w:w="740" w:type="dxa"/>
            <w:vAlign w:val="bottom"/>
            <w:shd w:val="clear" w:color="auto" w:fill="CCEEFF"/>
          </w:tcPr>
          <w:p>
            <w:pPr>
              <w:ind w:left="80"/>
              <w:spacing w:after="0" w:line="114" w:lineRule="exact"/>
              <w:rPr>
                <w:sz w:val="20"/>
                <w:szCs w:val="20"/>
                <w:color w:val="auto"/>
              </w:rPr>
            </w:pPr>
            <w:r>
              <w:rPr>
                <w:rFonts w:ascii="Arial" w:cs="Arial" w:eastAsia="Arial" w:hAnsi="Arial"/>
                <w:sz w:val="11"/>
                <w:szCs w:val="11"/>
                <w:color w:val="auto"/>
              </w:rPr>
              <w:t>Sales and</w:t>
            </w: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164,960</w:t>
            </w: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105,602</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59,358</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453,952</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288,867</w:t>
            </w: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165,085</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1"/>
                <w:szCs w:val="11"/>
                <w:color w:val="auto"/>
              </w:rPr>
              <w:t xml:space="preserve">marketing </w:t>
            </w:r>
            <w:r>
              <w:rPr>
                <w:rFonts w:ascii="Arial" w:cs="Arial" w:eastAsia="Arial" w:hAnsi="Arial"/>
                <w:sz w:val="14"/>
                <w:szCs w:val="14"/>
                <w:color w:val="auto"/>
                <w:vertAlign w:val="superscript"/>
              </w:rPr>
              <w:t>(1) (2)</w:t>
            </w:r>
          </w:p>
        </w:tc>
        <w:tc>
          <w:tcPr>
            <w:tcW w:w="6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40" w:type="dxa"/>
            <w:vAlign w:val="bottom"/>
          </w:tcPr>
          <w:p>
            <w:pPr>
              <w:spacing w:after="0"/>
              <w:rPr>
                <w:sz w:val="9"/>
                <w:szCs w:val="9"/>
                <w:color w:val="auto"/>
              </w:rPr>
            </w:pPr>
          </w:p>
        </w:tc>
        <w:tc>
          <w:tcPr>
            <w:tcW w:w="740" w:type="dxa"/>
            <w:vAlign w:val="bottom"/>
          </w:tcPr>
          <w:p>
            <w:pPr>
              <w:ind w:left="80"/>
              <w:spacing w:after="0" w:line="112" w:lineRule="exact"/>
              <w:rPr>
                <w:sz w:val="20"/>
                <w:szCs w:val="20"/>
                <w:color w:val="auto"/>
              </w:rPr>
            </w:pPr>
            <w:r>
              <w:rPr>
                <w:rFonts w:ascii="Arial" w:cs="Arial" w:eastAsia="Arial" w:hAnsi="Arial"/>
                <w:sz w:val="11"/>
                <w:szCs w:val="11"/>
                <w:color w:val="auto"/>
                <w:w w:val="93"/>
              </w:rPr>
              <w:t>Research and</w:t>
            </w:r>
          </w:p>
        </w:tc>
        <w:tc>
          <w:tcPr>
            <w:tcW w:w="640" w:type="dxa"/>
            <w:vAlign w:val="bottom"/>
          </w:tcPr>
          <w:p>
            <w:pPr>
              <w:spacing w:after="0"/>
              <w:rPr>
                <w:sz w:val="9"/>
                <w:szCs w:val="9"/>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auto"/>
              </w:rPr>
              <w:t>97,630</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57,539</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40,091</w:t>
            </w:r>
          </w:p>
        </w:tc>
        <w:tc>
          <w:tcPr>
            <w:tcW w:w="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70</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266,265</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148,600</w:t>
            </w: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117,665</w:t>
            </w: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80" w:type="dxa"/>
            <w:vAlign w:val="bottom"/>
            <w:gridSpan w:val="2"/>
          </w:tcPr>
          <w:p>
            <w:pPr>
              <w:ind w:left="80"/>
              <w:spacing w:after="0" w:line="141" w:lineRule="exact"/>
              <w:rPr>
                <w:sz w:val="20"/>
                <w:szCs w:val="20"/>
                <w:color w:val="auto"/>
              </w:rPr>
            </w:pPr>
            <w:r>
              <w:rPr>
                <w:rFonts w:ascii="Arial" w:cs="Arial" w:eastAsia="Arial" w:hAnsi="Arial"/>
                <w:sz w:val="11"/>
                <w:szCs w:val="11"/>
                <w:color w:val="auto"/>
              </w:rPr>
              <w:t xml:space="preserve">development </w:t>
            </w:r>
            <w:r>
              <w:rPr>
                <w:rFonts w:ascii="Arial" w:cs="Arial" w:eastAsia="Arial" w:hAnsi="Arial"/>
                <w:sz w:val="14"/>
                <w:szCs w:val="14"/>
                <w:color w:val="auto"/>
                <w:vertAlign w:val="superscript"/>
              </w:rPr>
              <w:t>(1) (2)</w:t>
            </w: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40" w:type="dxa"/>
            <w:vAlign w:val="bottom"/>
            <w:shd w:val="clear" w:color="auto" w:fill="CCEEFF"/>
          </w:tcPr>
          <w:p>
            <w:pPr>
              <w:spacing w:after="0"/>
              <w:rPr>
                <w:sz w:val="9"/>
                <w:szCs w:val="9"/>
                <w:color w:val="auto"/>
              </w:rPr>
            </w:pPr>
          </w:p>
        </w:tc>
        <w:tc>
          <w:tcPr>
            <w:tcW w:w="7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General and</w:t>
            </w: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56,061</w:t>
            </w: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31,951</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24,110</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148,780</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85,955</w:t>
            </w: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62,825</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1"/>
                <w:szCs w:val="11"/>
                <w:color w:val="auto"/>
                <w:w w:val="86"/>
              </w:rPr>
              <w:t xml:space="preserve">administrative </w:t>
            </w:r>
            <w:r>
              <w:rPr>
                <w:rFonts w:ascii="Arial" w:cs="Arial" w:eastAsia="Arial" w:hAnsi="Arial"/>
                <w:sz w:val="14"/>
                <w:szCs w:val="14"/>
                <w:color w:val="auto"/>
                <w:w w:val="86"/>
                <w:vertAlign w:val="superscript"/>
              </w:rPr>
              <w:t>(1) (2) (3) (4)</w:t>
            </w: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40" w:type="dxa"/>
            <w:vAlign w:val="bottom"/>
            <w:vMerge w:val="restart"/>
          </w:tcPr>
          <w:p>
            <w:pPr>
              <w:spacing w:after="0"/>
              <w:rPr>
                <w:sz w:val="20"/>
                <w:szCs w:val="20"/>
                <w:color w:val="auto"/>
              </w:rPr>
            </w:pPr>
            <w:r>
              <w:rPr>
                <w:rFonts w:ascii="Arial" w:cs="Arial" w:eastAsia="Arial" w:hAnsi="Arial"/>
                <w:sz w:val="11"/>
                <w:szCs w:val="11"/>
                <w:color w:val="auto"/>
                <w:w w:val="89"/>
              </w:rPr>
              <w:t>expenses</w:t>
            </w:r>
          </w:p>
        </w:tc>
        <w:tc>
          <w:tcPr>
            <w:tcW w:w="740" w:type="dxa"/>
            <w:vAlign w:val="bottom"/>
          </w:tcPr>
          <w:p>
            <w:pPr>
              <w:spacing w:after="0" w:line="120" w:lineRule="exact"/>
              <w:rPr>
                <w:sz w:val="20"/>
                <w:szCs w:val="20"/>
                <w:color w:val="auto"/>
              </w:rPr>
            </w:pPr>
            <w:r>
              <w:rPr>
                <w:rFonts w:ascii="Arial" w:cs="Arial" w:eastAsia="Arial" w:hAnsi="Arial"/>
                <w:sz w:val="11"/>
                <w:szCs w:val="11"/>
                <w:color w:val="auto"/>
                <w:w w:val="98"/>
              </w:rPr>
              <w:t>Total operating</w:t>
            </w:r>
          </w:p>
        </w:tc>
        <w:tc>
          <w:tcPr>
            <w:tcW w:w="640" w:type="dxa"/>
            <w:vAlign w:val="bottom"/>
          </w:tcPr>
          <w:p>
            <w:pPr>
              <w:spacing w:after="0"/>
              <w:rPr>
                <w:sz w:val="10"/>
                <w:szCs w:val="10"/>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auto"/>
              </w:rPr>
              <w:t>318,651</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195,092</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123,559</w:t>
            </w: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63</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868,997</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523,422</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345,575</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40" w:type="dxa"/>
            <w:vAlign w:val="bottom"/>
            <w:tcBorders>
              <w:bottom w:val="single" w:sz="8" w:color="CCEEFF"/>
            </w:tcBorders>
            <w:vMerge w:val="continue"/>
          </w:tcPr>
          <w:p>
            <w:pPr>
              <w:spacing w:after="0"/>
              <w:rPr>
                <w:sz w:val="9"/>
                <w:szCs w:val="9"/>
                <w:color w:val="auto"/>
              </w:rPr>
            </w:pPr>
          </w:p>
        </w:tc>
        <w:tc>
          <w:tcPr>
            <w:tcW w:w="74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56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vMerge w:val="continue"/>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80" w:type="dxa"/>
            <w:vAlign w:val="bottom"/>
            <w:tcBorders>
              <w:bottom w:val="single" w:sz="8" w:color="CCEEFF"/>
            </w:tcBorders>
            <w:vMerge w:val="continue"/>
          </w:tcPr>
          <w:p>
            <w:pPr>
              <w:spacing w:after="0"/>
              <w:rPr>
                <w:sz w:val="9"/>
                <w:szCs w:val="9"/>
                <w:color w:val="auto"/>
              </w:rPr>
            </w:pPr>
          </w:p>
        </w:tc>
        <w:tc>
          <w:tcPr>
            <w:tcW w:w="580" w:type="dxa"/>
            <w:vAlign w:val="bottom"/>
            <w:tcBorders>
              <w:bottom w:val="single" w:sz="8" w:color="CCEEFF"/>
            </w:tcBorders>
            <w:vMerge w:val="continue"/>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vMerge w:val="continue"/>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4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40" w:type="dxa"/>
            <w:vAlign w:val="bottom"/>
            <w:shd w:val="clear" w:color="auto" w:fill="CCEEFF"/>
          </w:tcPr>
          <w:p>
            <w:pPr>
              <w:spacing w:after="0"/>
              <w:rPr>
                <w:sz w:val="8"/>
                <w:szCs w:val="8"/>
                <w:color w:val="auto"/>
              </w:rPr>
            </w:pPr>
          </w:p>
        </w:tc>
        <w:tc>
          <w:tcPr>
            <w:tcW w:w="740" w:type="dxa"/>
            <w:vAlign w:val="bottom"/>
            <w:shd w:val="clear" w:color="auto" w:fill="CCEEFF"/>
          </w:tcPr>
          <w:p>
            <w:pPr>
              <w:spacing w:after="0" w:line="94" w:lineRule="exact"/>
              <w:rPr>
                <w:sz w:val="20"/>
                <w:szCs w:val="20"/>
                <w:color w:val="auto"/>
              </w:rPr>
            </w:pPr>
            <w:r>
              <w:rPr>
                <w:rFonts w:ascii="Arial" w:cs="Arial" w:eastAsia="Arial" w:hAnsi="Arial"/>
                <w:sz w:val="10"/>
                <w:szCs w:val="10"/>
                <w:color w:val="auto"/>
              </w:rPr>
              <w:t>Loss from</w:t>
            </w:r>
          </w:p>
        </w:tc>
        <w:tc>
          <w:tcPr>
            <w:tcW w:w="64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(40,264)</w:t>
            </w: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(24,159)</w:t>
            </w: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(16,105)</w:t>
            </w:r>
          </w:p>
        </w:tc>
        <w:tc>
          <w:tcPr>
            <w:tcW w:w="6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(119,014)</w:t>
            </w: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(76,726)</w:t>
            </w: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(42,288)</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operations</w:t>
            </w:r>
          </w:p>
        </w:tc>
        <w:tc>
          <w:tcPr>
            <w:tcW w:w="6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40" w:type="dxa"/>
            <w:vAlign w:val="bottom"/>
          </w:tcPr>
          <w:p>
            <w:pPr>
              <w:spacing w:after="0"/>
              <w:rPr>
                <w:sz w:val="9"/>
                <w:szCs w:val="9"/>
                <w:color w:val="auto"/>
              </w:rPr>
            </w:pPr>
          </w:p>
        </w:tc>
        <w:tc>
          <w:tcPr>
            <w:tcW w:w="740" w:type="dxa"/>
            <w:vAlign w:val="bottom"/>
          </w:tcPr>
          <w:p>
            <w:pPr>
              <w:ind w:left="80"/>
              <w:spacing w:after="0" w:line="112" w:lineRule="exact"/>
              <w:rPr>
                <w:sz w:val="20"/>
                <w:szCs w:val="20"/>
                <w:color w:val="auto"/>
              </w:rPr>
            </w:pPr>
            <w:r>
              <w:rPr>
                <w:rFonts w:ascii="Arial" w:cs="Arial" w:eastAsia="Arial" w:hAnsi="Arial"/>
                <w:sz w:val="11"/>
                <w:szCs w:val="11"/>
                <w:color w:val="auto"/>
              </w:rPr>
              <w:t>Interest</w:t>
            </w:r>
          </w:p>
        </w:tc>
        <w:tc>
          <w:tcPr>
            <w:tcW w:w="6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(6,403)</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(193)</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(6,210)</w:t>
            </w:r>
          </w:p>
        </w:tc>
        <w:tc>
          <w:tcPr>
            <w:tcW w:w="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3,218</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(18,929)</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(510)</w:t>
            </w: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(18,419)</w:t>
            </w: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80" w:type="dxa"/>
            <w:vAlign w:val="bottom"/>
            <w:gridSpan w:val="2"/>
          </w:tcPr>
          <w:p>
            <w:pPr>
              <w:ind w:left="80"/>
              <w:spacing w:after="0" w:line="141" w:lineRule="exact"/>
              <w:rPr>
                <w:sz w:val="20"/>
                <w:szCs w:val="20"/>
                <w:color w:val="auto"/>
              </w:rPr>
            </w:pPr>
            <w:r>
              <w:rPr>
                <w:rFonts w:ascii="Arial" w:cs="Arial" w:eastAsia="Arial" w:hAnsi="Arial"/>
                <w:sz w:val="11"/>
                <w:szCs w:val="11"/>
                <w:color w:val="auto"/>
              </w:rPr>
              <w:t xml:space="preserve">expense </w:t>
            </w:r>
            <w:r>
              <w:rPr>
                <w:rFonts w:ascii="Arial" w:cs="Arial" w:eastAsia="Arial" w:hAnsi="Arial"/>
                <w:sz w:val="14"/>
                <w:szCs w:val="14"/>
                <w:color w:val="auto"/>
                <w:vertAlign w:val="superscript"/>
              </w:rPr>
              <w:t>(5)</w:t>
            </w: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0" w:type="dxa"/>
            <w:vAlign w:val="bottom"/>
            <w:vMerge w:val="restart"/>
            <w:shd w:val="clear" w:color="auto" w:fill="CCEEFF"/>
          </w:tcPr>
          <w:p>
            <w:pPr>
              <w:ind w:left="80"/>
              <w:spacing w:after="0"/>
              <w:rPr>
                <w:sz w:val="20"/>
                <w:szCs w:val="20"/>
                <w:color w:val="auto"/>
              </w:rPr>
            </w:pPr>
            <w:r>
              <w:rPr>
                <w:rFonts w:ascii="Arial" w:cs="Arial" w:eastAsia="Arial" w:hAnsi="Arial"/>
                <w:sz w:val="21"/>
                <w:szCs w:val="21"/>
                <w:color w:val="auto"/>
                <w:vertAlign w:val="subscript"/>
              </w:rPr>
              <w:t>net</w:t>
            </w:r>
            <w:r>
              <w:rPr>
                <w:rFonts w:ascii="Arial" w:cs="Arial" w:eastAsia="Arial" w:hAnsi="Arial"/>
                <w:sz w:val="7"/>
                <w:szCs w:val="7"/>
                <w:color w:val="auto"/>
              </w:rPr>
              <w:t xml:space="preserve"> (6)</w:t>
            </w:r>
          </w:p>
        </w:tc>
        <w:tc>
          <w:tcPr>
            <w:tcW w:w="740" w:type="dxa"/>
            <w:vAlign w:val="bottom"/>
            <w:shd w:val="clear" w:color="auto" w:fill="CCEEFF"/>
          </w:tcPr>
          <w:p>
            <w:pPr>
              <w:ind w:left="80"/>
              <w:spacing w:after="0"/>
              <w:rPr>
                <w:sz w:val="20"/>
                <w:szCs w:val="20"/>
                <w:color w:val="auto"/>
              </w:rPr>
            </w:pPr>
            <w:r>
              <w:rPr>
                <w:rFonts w:ascii="Arial" w:cs="Arial" w:eastAsia="Arial" w:hAnsi="Arial"/>
                <w:sz w:val="11"/>
                <w:szCs w:val="11"/>
                <w:color w:val="auto"/>
                <w:w w:val="92"/>
              </w:rPr>
              <w:t>Other income,</w:t>
            </w:r>
          </w:p>
        </w:tc>
        <w:tc>
          <w:tcPr>
            <w:tcW w:w="6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690</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272</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418</w:t>
            </w:r>
          </w:p>
        </w:tc>
        <w:tc>
          <w:tcPr>
            <w:tcW w:w="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154</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6,077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5,537</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40" w:type="dxa"/>
            <w:vAlign w:val="bottom"/>
            <w:vMerge w:val="continue"/>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40" w:type="dxa"/>
            <w:vAlign w:val="bottom"/>
          </w:tcPr>
          <w:p>
            <w:pPr>
              <w:spacing w:after="0"/>
              <w:rPr>
                <w:sz w:val="7"/>
                <w:szCs w:val="7"/>
                <w:color w:val="auto"/>
              </w:rPr>
            </w:pPr>
          </w:p>
        </w:tc>
        <w:tc>
          <w:tcPr>
            <w:tcW w:w="740" w:type="dxa"/>
            <w:vAlign w:val="bottom"/>
          </w:tcPr>
          <w:p>
            <w:pPr>
              <w:spacing w:after="0" w:line="92" w:lineRule="exact"/>
              <w:rPr>
                <w:sz w:val="20"/>
                <w:szCs w:val="20"/>
                <w:color w:val="auto"/>
              </w:rPr>
            </w:pPr>
            <w:r>
              <w:rPr>
                <w:rFonts w:ascii="Arial" w:cs="Arial" w:eastAsia="Arial" w:hAnsi="Arial"/>
                <w:sz w:val="10"/>
                <w:szCs w:val="10"/>
                <w:color w:val="auto"/>
              </w:rPr>
              <w:t>Loss before</w:t>
            </w:r>
          </w:p>
        </w:tc>
        <w:tc>
          <w:tcPr>
            <w:tcW w:w="64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(45,977)</w:t>
            </w: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(24,080)</w:t>
            </w: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(21,897)</w:t>
            </w:r>
          </w:p>
        </w:tc>
        <w:tc>
          <w:tcPr>
            <w:tcW w:w="6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91</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(131,866)</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(71,699)</w:t>
            </w: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(60,167)</w:t>
            </w: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180" w:type="dxa"/>
            <w:vAlign w:val="bottom"/>
            <w:gridSpan w:val="2"/>
          </w:tcPr>
          <w:p>
            <w:pPr>
              <w:spacing w:after="0"/>
              <w:rPr>
                <w:sz w:val="20"/>
                <w:szCs w:val="20"/>
                <w:color w:val="auto"/>
              </w:rPr>
            </w:pPr>
            <w:r>
              <w:rPr>
                <w:rFonts w:ascii="Arial" w:cs="Arial" w:eastAsia="Arial" w:hAnsi="Arial"/>
                <w:sz w:val="11"/>
                <w:szCs w:val="11"/>
                <w:color w:val="auto"/>
                <w:w w:val="90"/>
              </w:rPr>
              <w:t>provision for income taxes</w:t>
            </w: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440" w:type="dxa"/>
            <w:vAlign w:val="bottom"/>
            <w:shd w:val="clear" w:color="auto" w:fill="CCEEFF"/>
          </w:tcPr>
          <w:p>
            <w:pPr>
              <w:spacing w:after="0"/>
              <w:rPr>
                <w:sz w:val="9"/>
                <w:szCs w:val="9"/>
                <w:color w:val="auto"/>
              </w:rPr>
            </w:pPr>
          </w:p>
        </w:tc>
        <w:tc>
          <w:tcPr>
            <w:tcW w:w="740" w:type="dxa"/>
            <w:vAlign w:val="bottom"/>
            <w:shd w:val="clear" w:color="auto" w:fill="CCEEFF"/>
          </w:tcPr>
          <w:p>
            <w:pPr>
              <w:ind w:left="80"/>
              <w:spacing w:after="0" w:line="114" w:lineRule="exact"/>
              <w:rPr>
                <w:sz w:val="20"/>
                <w:szCs w:val="20"/>
                <w:color w:val="auto"/>
              </w:rPr>
            </w:pPr>
            <w:r>
              <w:rPr>
                <w:rFonts w:ascii="Arial" w:cs="Arial" w:eastAsia="Arial" w:hAnsi="Arial"/>
                <w:sz w:val="11"/>
                <w:szCs w:val="11"/>
                <w:color w:val="auto"/>
              </w:rPr>
              <w:t>Provision for</w:t>
            </w: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4,473</w:t>
            </w: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451</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4,022</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892</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58,773</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1,928</w:t>
            </w: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56,845</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1"/>
                <w:szCs w:val="11"/>
                <w:color w:val="auto"/>
              </w:rPr>
              <w:t>income taxes</w:t>
            </w:r>
            <w:r>
              <w:rPr>
                <w:rFonts w:ascii="Arial" w:cs="Arial" w:eastAsia="Arial" w:hAnsi="Arial"/>
                <w:sz w:val="14"/>
                <w:szCs w:val="14"/>
                <w:color w:val="auto"/>
                <w:vertAlign w:val="superscript"/>
              </w:rPr>
              <w:t>(7)</w:t>
            </w: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color w:val="auto"/>
              </w:rPr>
              <w:t>Net loss</w:t>
            </w:r>
          </w:p>
        </w:tc>
        <w:tc>
          <w:tcPr>
            <w:tcW w:w="6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(50,450)</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(24,531)</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(25,919)</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106</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(190,639)</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(73,627)</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(117,012)</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40" w:type="dxa"/>
            <w:vAlign w:val="bottom"/>
            <w:shd w:val="clear" w:color="auto" w:fill="CCEEFF"/>
          </w:tcPr>
          <w:p>
            <w:pPr>
              <w:spacing w:after="0"/>
              <w:rPr>
                <w:sz w:val="9"/>
                <w:szCs w:val="9"/>
                <w:color w:val="auto"/>
              </w:rPr>
            </w:pPr>
          </w:p>
        </w:tc>
        <w:tc>
          <w:tcPr>
            <w:tcW w:w="74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Net income</w:t>
            </w:r>
          </w:p>
        </w:tc>
        <w:tc>
          <w:tcPr>
            <w:tcW w:w="6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color w:val="auto"/>
              </w:rPr>
              <w:t>attributable to</w:t>
            </w: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5</w:t>
            </w: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2,183</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2,183</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noncontrolling interest</w:t>
            </w: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40" w:type="dxa"/>
            <w:vAlign w:val="bottom"/>
          </w:tcPr>
          <w:p>
            <w:pPr>
              <w:spacing w:after="0"/>
              <w:rPr>
                <w:sz w:val="7"/>
                <w:szCs w:val="7"/>
                <w:color w:val="auto"/>
              </w:rPr>
            </w:pPr>
          </w:p>
        </w:tc>
        <w:tc>
          <w:tcPr>
            <w:tcW w:w="740" w:type="dxa"/>
            <w:vAlign w:val="bottom"/>
          </w:tcPr>
          <w:p>
            <w:pPr>
              <w:spacing w:after="0" w:line="92" w:lineRule="exact"/>
              <w:rPr>
                <w:sz w:val="20"/>
                <w:szCs w:val="20"/>
                <w:color w:val="auto"/>
              </w:rPr>
            </w:pPr>
            <w:r>
              <w:rPr>
                <w:rFonts w:ascii="Arial" w:cs="Arial" w:eastAsia="Arial" w:hAnsi="Arial"/>
                <w:sz w:val="10"/>
                <w:szCs w:val="10"/>
                <w:color w:val="auto"/>
              </w:rPr>
              <w:t>Net loss</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80" w:type="dxa"/>
            <w:vAlign w:val="bottom"/>
            <w:gridSpan w:val="2"/>
          </w:tcPr>
          <w:p>
            <w:pPr>
              <w:spacing w:after="0" w:line="108" w:lineRule="exact"/>
              <w:rPr>
                <w:sz w:val="20"/>
                <w:szCs w:val="20"/>
                <w:color w:val="auto"/>
              </w:rPr>
            </w:pPr>
            <w:r>
              <w:rPr>
                <w:rFonts w:ascii="Arial" w:cs="Arial" w:eastAsia="Arial" w:hAnsi="Arial"/>
                <w:sz w:val="11"/>
                <w:szCs w:val="11"/>
                <w:color w:val="auto"/>
              </w:rPr>
              <w:t>attributable to</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(50,455)</w:t>
            </w:r>
          </w:p>
        </w:tc>
        <w:tc>
          <w:tcPr>
            <w:tcW w:w="40" w:type="dxa"/>
            <w:vAlign w:val="bottom"/>
          </w:tcPr>
          <w:p>
            <w:pPr>
              <w:spacing w:after="0"/>
              <w:rPr>
                <w:sz w:val="9"/>
                <w:szCs w:val="9"/>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(24,531)</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(25,924)</w:t>
            </w:r>
          </w:p>
        </w:tc>
        <w:tc>
          <w:tcPr>
            <w:tcW w:w="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106</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(192,822)</w:t>
            </w:r>
          </w:p>
        </w:tc>
        <w:tc>
          <w:tcPr>
            <w:tcW w:w="60" w:type="dxa"/>
            <w:vAlign w:val="bottom"/>
          </w:tcPr>
          <w:p>
            <w:pPr>
              <w:spacing w:after="0"/>
              <w:rPr>
                <w:sz w:val="9"/>
                <w:szCs w:val="9"/>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(73,627)</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(119,195)</w:t>
            </w: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80" w:type="dxa"/>
            <w:vAlign w:val="bottom"/>
            <w:gridSpan w:val="2"/>
          </w:tcPr>
          <w:p>
            <w:pPr>
              <w:spacing w:after="0" w:line="122" w:lineRule="exact"/>
              <w:rPr>
                <w:sz w:val="20"/>
                <w:szCs w:val="20"/>
                <w:color w:val="auto"/>
              </w:rPr>
            </w:pPr>
            <w:r>
              <w:rPr>
                <w:rFonts w:ascii="Arial" w:cs="Arial" w:eastAsia="Arial" w:hAnsi="Arial"/>
                <w:sz w:val="11"/>
                <w:szCs w:val="11"/>
                <w:color w:val="auto"/>
              </w:rPr>
              <w:t>CrowdStrike</w:t>
            </w:r>
          </w:p>
        </w:tc>
        <w:tc>
          <w:tcPr>
            <w:tcW w:w="64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385445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815" w:right="239" w:bottom="1440" w:gutter="0" w:footer="0" w:header="0"/>
        </w:sectPr>
      </w:pPr>
    </w:p>
    <w:bookmarkStart w:id="36" w:name="page37"/>
    <w:bookmarkEnd w:id="36"/>
    <w:p>
      <w:pPr>
        <w:ind w:left="860" w:hanging="436"/>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October 31,</w:t>
            </w: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Nine Months Ended October 31,</w:t>
            </w:r>
          </w:p>
        </w:tc>
        <w:tc>
          <w:tcPr>
            <w:tcW w:w="840" w:type="dxa"/>
            <w:vAlign w:val="bottom"/>
            <w:tcBorders>
              <w:bottom w:val="single" w:sz="8" w:color="auto"/>
            </w:tcBorders>
          </w:tcPr>
          <w:p>
            <w:pPr>
              <w:spacing w:after="0"/>
              <w:rPr>
                <w:sz w:val="11"/>
                <w:szCs w:val="11"/>
                <w:color w:val="auto"/>
              </w:rPr>
            </w:pPr>
          </w:p>
        </w:tc>
      </w:tr>
      <w:tr>
        <w:trPr>
          <w:trHeight w:val="126"/>
        </w:trPr>
        <w:tc>
          <w:tcPr>
            <w:tcW w:w="39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2020</w:t>
            </w:r>
          </w:p>
        </w:tc>
      </w:tr>
      <w:tr>
        <w:trPr>
          <w:trHeight w:val="162"/>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 cost of revenue</w:t>
            </w: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5,969</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3,226</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15,548</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7,856</w:t>
            </w:r>
          </w:p>
        </w:tc>
      </w:tr>
      <w:tr>
        <w:trPr>
          <w:trHeight w:val="153"/>
        </w:trPr>
        <w:tc>
          <w:tcPr>
            <w:tcW w:w="3960" w:type="dxa"/>
            <w:vAlign w:val="bottom"/>
          </w:tcPr>
          <w:p>
            <w:pPr>
              <w:ind w:left="440"/>
              <w:spacing w:after="0"/>
              <w:rPr>
                <w:sz w:val="20"/>
                <w:szCs w:val="20"/>
                <w:color w:val="auto"/>
              </w:rPr>
            </w:pPr>
            <w:r>
              <w:rPr>
                <w:rFonts w:ascii="Arial" w:cs="Arial" w:eastAsia="Arial" w:hAnsi="Arial"/>
                <w:sz w:val="12"/>
                <w:szCs w:val="12"/>
                <w:color w:val="auto"/>
              </w:rPr>
              <w:t>Professional services cost of revenue</w:t>
            </w:r>
          </w:p>
        </w:tc>
        <w:tc>
          <w:tcPr>
            <w:tcW w:w="7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2"/>
                <w:szCs w:val="12"/>
                <w:color w:val="auto"/>
              </w:rPr>
              <w:t>2,546</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1,551</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2"/>
                <w:szCs w:val="12"/>
                <w:color w:val="auto"/>
              </w:rPr>
              <w:t>6,963</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3,947</w:t>
            </w:r>
          </w:p>
        </w:tc>
      </w:tr>
      <w:tr>
        <w:trPr>
          <w:trHeight w:val="153"/>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Sales and marketing</w:t>
            </w:r>
          </w:p>
        </w:tc>
        <w:tc>
          <w:tcPr>
            <w:tcW w:w="7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25,499</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12,811</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68,178</w:t>
            </w: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35,101</w:t>
            </w:r>
          </w:p>
        </w:tc>
      </w:tr>
      <w:tr>
        <w:trPr>
          <w:trHeight w:val="153"/>
        </w:trPr>
        <w:tc>
          <w:tcPr>
            <w:tcW w:w="3960" w:type="dxa"/>
            <w:vAlign w:val="bottom"/>
          </w:tcPr>
          <w:p>
            <w:pPr>
              <w:ind w:left="440"/>
              <w:spacing w:after="0"/>
              <w:rPr>
                <w:sz w:val="20"/>
                <w:szCs w:val="20"/>
                <w:color w:val="auto"/>
              </w:rPr>
            </w:pPr>
            <w:r>
              <w:rPr>
                <w:rFonts w:ascii="Arial" w:cs="Arial" w:eastAsia="Arial" w:hAnsi="Arial"/>
                <w:sz w:val="12"/>
                <w:szCs w:val="12"/>
                <w:color w:val="auto"/>
              </w:rPr>
              <w:t>Research and development</w:t>
            </w:r>
          </w:p>
        </w:tc>
        <w:tc>
          <w:tcPr>
            <w:tcW w:w="7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2"/>
                <w:szCs w:val="12"/>
                <w:color w:val="auto"/>
              </w:rPr>
              <w:t>27,333</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11,771</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2"/>
                <w:szCs w:val="12"/>
                <w:color w:val="auto"/>
              </w:rPr>
              <w:t>70,942</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25,700</w:t>
            </w:r>
          </w:p>
        </w:tc>
      </w:tr>
      <w:tr>
        <w:trPr>
          <w:trHeight w:val="153"/>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General and administrative</w:t>
            </w:r>
          </w:p>
        </w:tc>
        <w:tc>
          <w:tcPr>
            <w:tcW w:w="7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25,319</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11,251</w:t>
            </w:r>
          </w:p>
        </w:tc>
        <w:tc>
          <w:tcPr>
            <w:tcW w:w="6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55,684</w:t>
            </w:r>
          </w:p>
        </w:tc>
        <w:tc>
          <w:tcPr>
            <w:tcW w:w="6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29,357</w:t>
            </w:r>
          </w:p>
        </w:tc>
      </w:tr>
      <w:tr>
        <w:trPr>
          <w:trHeight w:val="142"/>
        </w:trPr>
        <w:tc>
          <w:tcPr>
            <w:tcW w:w="3960" w:type="dxa"/>
            <w:vAlign w:val="bottom"/>
          </w:tcPr>
          <w:p>
            <w:pPr>
              <w:ind w:left="520"/>
              <w:spacing w:after="0"/>
              <w:rPr>
                <w:sz w:val="20"/>
                <w:szCs w:val="20"/>
                <w:color w:val="auto"/>
              </w:rPr>
            </w:pPr>
            <w:r>
              <w:rPr>
                <w:rFonts w:ascii="Arial" w:cs="Arial" w:eastAsia="Arial" w:hAnsi="Arial"/>
                <w:sz w:val="12"/>
                <w:szCs w:val="12"/>
                <w:color w:val="auto"/>
              </w:rPr>
              <w:t>Total stock-based compensation expense</w:t>
            </w: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86,666</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40,610</w:t>
            </w:r>
          </w:p>
        </w:tc>
        <w:tc>
          <w:tcPr>
            <w:tcW w:w="60" w:type="dxa"/>
            <w:vAlign w:val="bottom"/>
          </w:tcPr>
          <w:p>
            <w:pPr>
              <w:spacing w:after="0"/>
              <w:rPr>
                <w:sz w:val="12"/>
                <w:szCs w:val="12"/>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217,315</w:t>
            </w:r>
          </w:p>
        </w:tc>
        <w:tc>
          <w:tcPr>
            <w:tcW w:w="60" w:type="dxa"/>
            <w:vAlign w:val="bottom"/>
          </w:tcPr>
          <w:p>
            <w:pPr>
              <w:spacing w:after="0"/>
              <w:rPr>
                <w:sz w:val="12"/>
                <w:szCs w:val="1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101,961</w:t>
            </w:r>
          </w:p>
        </w:tc>
      </w:tr>
      <w:tr>
        <w:trPr>
          <w:trHeight w:val="20"/>
        </w:trPr>
        <w:tc>
          <w:tcPr>
            <w:tcW w:w="3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60" w:hanging="436"/>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Includes amortization of acquired intangible assets, including purchased patents,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Three Months Ended October 31,</w:t>
            </w: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Nine Months Ended October 31,</w:t>
            </w:r>
          </w:p>
        </w:tc>
        <w:tc>
          <w:tcPr>
            <w:tcW w:w="820" w:type="dxa"/>
            <w:vAlign w:val="bottom"/>
            <w:tcBorders>
              <w:bottom w:val="single" w:sz="8" w:color="auto"/>
            </w:tcBorders>
          </w:tcPr>
          <w:p>
            <w:pPr>
              <w:spacing w:after="0"/>
              <w:rPr>
                <w:sz w:val="11"/>
                <w:szCs w:val="11"/>
                <w:color w:val="auto"/>
              </w:rPr>
            </w:pPr>
          </w:p>
        </w:tc>
      </w:tr>
      <w:tr>
        <w:trPr>
          <w:trHeight w:val="126"/>
        </w:trPr>
        <w:tc>
          <w:tcPr>
            <w:tcW w:w="40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2020</w:t>
            </w:r>
          </w:p>
        </w:tc>
      </w:tr>
      <w:tr>
        <w:trPr>
          <w:trHeight w:val="162"/>
        </w:trPr>
        <w:tc>
          <w:tcPr>
            <w:tcW w:w="40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 cost of revenue</w:t>
            </w: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7,550</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w:t>
            </w:r>
          </w:p>
        </w:tc>
      </w:tr>
      <w:tr>
        <w:trPr>
          <w:trHeight w:val="153"/>
        </w:trPr>
        <w:tc>
          <w:tcPr>
            <w:tcW w:w="4040" w:type="dxa"/>
            <w:vAlign w:val="bottom"/>
          </w:tcPr>
          <w:p>
            <w:pPr>
              <w:ind w:left="440"/>
              <w:spacing w:after="0"/>
              <w:rPr>
                <w:sz w:val="20"/>
                <w:szCs w:val="20"/>
                <w:color w:val="auto"/>
              </w:rPr>
            </w:pPr>
            <w:r>
              <w:rPr>
                <w:rFonts w:ascii="Arial" w:cs="Arial" w:eastAsia="Arial" w:hAnsi="Arial"/>
                <w:sz w:val="12"/>
                <w:szCs w:val="12"/>
                <w:color w:val="auto"/>
              </w:rPr>
              <w:t>Sales and marketing</w:t>
            </w:r>
          </w:p>
        </w:tc>
        <w:tc>
          <w:tcPr>
            <w:tcW w:w="7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540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91</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2"/>
                <w:szCs w:val="12"/>
                <w:color w:val="auto"/>
              </w:rPr>
              <w:t>1,509</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153</w:t>
            </w:r>
          </w:p>
        </w:tc>
      </w:tr>
      <w:tr>
        <w:trPr>
          <w:trHeight w:val="153"/>
        </w:trPr>
        <w:tc>
          <w:tcPr>
            <w:tcW w:w="40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Research and development</w:t>
            </w:r>
          </w:p>
        </w:tc>
        <w:tc>
          <w:tcPr>
            <w:tcW w:w="7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r>
      <w:tr>
        <w:trPr>
          <w:trHeight w:val="153"/>
        </w:trPr>
        <w:tc>
          <w:tcPr>
            <w:tcW w:w="4040" w:type="dxa"/>
            <w:vAlign w:val="bottom"/>
          </w:tcPr>
          <w:p>
            <w:pPr>
              <w:ind w:left="440"/>
              <w:spacing w:after="0"/>
              <w:rPr>
                <w:sz w:val="20"/>
                <w:szCs w:val="20"/>
                <w:color w:val="auto"/>
              </w:rPr>
            </w:pPr>
            <w:r>
              <w:rPr>
                <w:rFonts w:ascii="Arial" w:cs="Arial" w:eastAsia="Arial" w:hAnsi="Arial"/>
                <w:sz w:val="12"/>
                <w:szCs w:val="12"/>
                <w:color w:val="auto"/>
              </w:rPr>
              <w:t>General and administrative</w:t>
            </w:r>
          </w:p>
        </w:tc>
        <w:tc>
          <w:tcPr>
            <w:tcW w:w="7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2"/>
                <w:szCs w:val="12"/>
                <w:color w:val="auto"/>
              </w:rPr>
              <w:t>13</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40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 amortization of acquired intangibles</w:t>
            </w:r>
          </w:p>
        </w:tc>
        <w:tc>
          <w:tcPr>
            <w:tcW w:w="7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3,337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9,072</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579</w:t>
            </w:r>
          </w:p>
        </w:tc>
      </w:tr>
    </w:tbl>
    <w:p>
      <w:pPr>
        <w:spacing w:after="0" w:line="189" w:lineRule="exact"/>
        <w:rPr>
          <w:sz w:val="20"/>
          <w:szCs w:val="20"/>
          <w:color w:val="auto"/>
        </w:rPr>
      </w:pPr>
    </w:p>
    <w:p>
      <w:pPr>
        <w:ind w:left="860" w:hanging="436"/>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Includes acquisition-related expenses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8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0"/>
                <w:szCs w:val="10"/>
                <w:b w:val="1"/>
                <w:bCs w:val="1"/>
                <w:color w:val="auto"/>
                <w:w w:val="90"/>
              </w:rPr>
              <w:t>Three Months Ended October 31,</w:t>
            </w: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91"/>
              </w:rPr>
              <w:t>Nine Months Ended October 31,</w:t>
            </w:r>
          </w:p>
        </w:tc>
        <w:tc>
          <w:tcPr>
            <w:tcW w:w="840" w:type="dxa"/>
            <w:vAlign w:val="bottom"/>
            <w:tcBorders>
              <w:bottom w:val="single" w:sz="8" w:color="auto"/>
            </w:tcBorders>
          </w:tcPr>
          <w:p>
            <w:pPr>
              <w:spacing w:after="0"/>
              <w:rPr>
                <w:sz w:val="11"/>
                <w:szCs w:val="11"/>
                <w:color w:val="auto"/>
              </w:rPr>
            </w:pPr>
          </w:p>
        </w:tc>
      </w:tr>
      <w:tr>
        <w:trPr>
          <w:trHeight w:val="126"/>
        </w:trPr>
        <w:tc>
          <w:tcPr>
            <w:tcW w:w="3980" w:type="dxa"/>
            <w:vAlign w:val="bottom"/>
          </w:tcPr>
          <w:p>
            <w:pPr>
              <w:spacing w:after="0"/>
              <w:rPr>
                <w:sz w:val="10"/>
                <w:szCs w:val="10"/>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2020</w:t>
            </w:r>
          </w:p>
        </w:tc>
      </w:tr>
      <w:tr>
        <w:trPr>
          <w:trHeight w:val="162"/>
        </w:trPr>
        <w:tc>
          <w:tcPr>
            <w:tcW w:w="39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General and administrative</w:t>
            </w:r>
          </w:p>
        </w:tc>
        <w:tc>
          <w:tcPr>
            <w:tcW w:w="12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971</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2,119</w:t>
            </w:r>
          </w:p>
        </w:tc>
        <w:tc>
          <w:tcPr>
            <w:tcW w:w="10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5,912</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2,119</w:t>
            </w:r>
          </w:p>
        </w:tc>
      </w:tr>
      <w:tr>
        <w:trPr>
          <w:trHeight w:val="142"/>
        </w:trPr>
        <w:tc>
          <w:tcPr>
            <w:tcW w:w="3980" w:type="dxa"/>
            <w:vAlign w:val="bottom"/>
          </w:tcPr>
          <w:p>
            <w:pPr>
              <w:ind w:left="520"/>
              <w:spacing w:after="0"/>
              <w:rPr>
                <w:sz w:val="20"/>
                <w:szCs w:val="20"/>
                <w:color w:val="auto"/>
              </w:rPr>
            </w:pPr>
            <w:r>
              <w:rPr>
                <w:rFonts w:ascii="Arial" w:cs="Arial" w:eastAsia="Arial" w:hAnsi="Arial"/>
                <w:sz w:val="12"/>
                <w:szCs w:val="12"/>
                <w:color w:val="auto"/>
              </w:rPr>
              <w:t>Total acquisition-related expenses</w:t>
            </w:r>
          </w:p>
        </w:tc>
        <w:tc>
          <w:tcPr>
            <w:tcW w:w="1260" w:type="dxa"/>
            <w:vAlign w:val="bottom"/>
            <w:tcBorders>
              <w:bottom w:val="single" w:sz="8" w:color="auto"/>
            </w:tcBorders>
          </w:tcPr>
          <w:p>
            <w:pPr>
              <w:jc w:val="right"/>
              <w:ind w:right="68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971</w:t>
            </w: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right"/>
              <w:ind w:right="764"/>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2,119</w:t>
            </w:r>
          </w:p>
        </w:tc>
        <w:tc>
          <w:tcPr>
            <w:tcW w:w="100" w:type="dxa"/>
            <w:vAlign w:val="bottom"/>
          </w:tcPr>
          <w:p>
            <w:pPr>
              <w:spacing w:after="0"/>
              <w:rPr>
                <w:sz w:val="12"/>
                <w:szCs w:val="12"/>
                <w:color w:val="auto"/>
              </w:rPr>
            </w:pP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5,912</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2,119</w:t>
            </w:r>
          </w:p>
        </w:tc>
      </w:tr>
      <w:tr>
        <w:trPr>
          <w:trHeight w:val="20"/>
        </w:trPr>
        <w:tc>
          <w:tcPr>
            <w:tcW w:w="3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60" w:hanging="436"/>
        <w:spacing w:after="0"/>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legal reserve and settlement charges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4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0"/>
                <w:szCs w:val="10"/>
                <w:b w:val="1"/>
                <w:bCs w:val="1"/>
                <w:color w:val="auto"/>
                <w:w w:val="90"/>
              </w:rPr>
              <w:t>Three Months Ended October 31,</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Nine Months Ended October 31,</w:t>
            </w:r>
          </w:p>
        </w:tc>
        <w:tc>
          <w:tcPr>
            <w:tcW w:w="840" w:type="dxa"/>
            <w:vAlign w:val="bottom"/>
            <w:tcBorders>
              <w:bottom w:val="single" w:sz="8" w:color="auto"/>
            </w:tcBorders>
          </w:tcPr>
          <w:p>
            <w:pPr>
              <w:spacing w:after="0"/>
              <w:rPr>
                <w:sz w:val="11"/>
                <w:szCs w:val="11"/>
                <w:color w:val="auto"/>
              </w:rPr>
            </w:pPr>
          </w:p>
        </w:tc>
      </w:tr>
      <w:tr>
        <w:trPr>
          <w:trHeight w:val="126"/>
        </w:trPr>
        <w:tc>
          <w:tcPr>
            <w:tcW w:w="4040" w:type="dxa"/>
            <w:vAlign w:val="bottom"/>
          </w:tcPr>
          <w:p>
            <w:pPr>
              <w:spacing w:after="0"/>
              <w:rPr>
                <w:sz w:val="10"/>
                <w:szCs w:val="10"/>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2020</w:t>
            </w:r>
          </w:p>
        </w:tc>
      </w:tr>
      <w:tr>
        <w:trPr>
          <w:trHeight w:val="162"/>
        </w:trPr>
        <w:tc>
          <w:tcPr>
            <w:tcW w:w="40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General and administrative</w:t>
            </w:r>
          </w:p>
        </w:tc>
        <w:tc>
          <w:tcPr>
            <w:tcW w:w="124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2,500</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2"/>
                <w:szCs w:val="12"/>
                <w:color w:val="auto"/>
              </w:rPr>
              <w:t>—</w:t>
            </w:r>
          </w:p>
        </w:tc>
      </w:tr>
      <w:tr>
        <w:trPr>
          <w:trHeight w:val="142"/>
        </w:trPr>
        <w:tc>
          <w:tcPr>
            <w:tcW w:w="4040" w:type="dxa"/>
            <w:vAlign w:val="bottom"/>
          </w:tcPr>
          <w:p>
            <w:pPr>
              <w:ind w:left="520"/>
              <w:spacing w:after="0"/>
              <w:rPr>
                <w:sz w:val="20"/>
                <w:szCs w:val="20"/>
                <w:color w:val="auto"/>
              </w:rPr>
            </w:pPr>
            <w:r>
              <w:rPr>
                <w:rFonts w:ascii="Arial" w:cs="Arial" w:eastAsia="Arial" w:hAnsi="Arial"/>
                <w:sz w:val="12"/>
                <w:szCs w:val="12"/>
                <w:color w:val="auto"/>
              </w:rPr>
              <w:t>Total legal reserve and settlement charges</w:t>
            </w:r>
          </w:p>
        </w:tc>
        <w:tc>
          <w:tcPr>
            <w:tcW w:w="1240" w:type="dxa"/>
            <w:vAlign w:val="bottom"/>
          </w:tcPr>
          <w:p>
            <w:pPr>
              <w:jc w:val="right"/>
              <w:ind w:right="684"/>
              <w:spacing w:after="0"/>
              <w:rPr>
                <w:sz w:val="20"/>
                <w:szCs w:val="20"/>
                <w:color w:val="auto"/>
              </w:rPr>
            </w:pPr>
            <w:r>
              <w:rPr>
                <w:rFonts w:ascii="Arial" w:cs="Arial" w:eastAsia="Arial" w:hAnsi="Arial"/>
                <w:sz w:val="12"/>
                <w:szCs w:val="12"/>
                <w:color w:val="auto"/>
              </w:rPr>
              <w:t>$</w:t>
            </w:r>
          </w:p>
        </w:tc>
        <w:tc>
          <w:tcPr>
            <w:tcW w:w="5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824"/>
              <w:spacing w:after="0"/>
              <w:rPr>
                <w:sz w:val="20"/>
                <w:szCs w:val="20"/>
                <w:color w:val="auto"/>
              </w:rPr>
            </w:pPr>
            <w:r>
              <w:rPr>
                <w:rFonts w:ascii="Arial" w:cs="Arial" w:eastAsia="Arial" w:hAnsi="Arial"/>
                <w:sz w:val="12"/>
                <w:szCs w:val="12"/>
                <w:color w:val="auto"/>
              </w:rPr>
              <w:t>$</w:t>
            </w:r>
          </w:p>
        </w:tc>
        <w:tc>
          <w:tcPr>
            <w:tcW w:w="44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
              <w:spacing w:after="0"/>
              <w:rPr>
                <w:sz w:val="20"/>
                <w:szCs w:val="20"/>
                <w:color w:val="auto"/>
              </w:rPr>
            </w:pPr>
            <w:r>
              <w:rPr>
                <w:rFonts w:ascii="Arial" w:cs="Arial" w:eastAsia="Arial" w:hAnsi="Arial"/>
                <w:sz w:val="12"/>
                <w:szCs w:val="12"/>
                <w:color w:val="auto"/>
              </w:rPr>
              <w:t>2,500</w:t>
            </w:r>
          </w:p>
        </w:tc>
        <w:tc>
          <w:tcPr>
            <w:tcW w:w="80" w:type="dxa"/>
            <w:vAlign w:val="bottom"/>
          </w:tcPr>
          <w:p>
            <w:pPr>
              <w:spacing w:after="0"/>
              <w:rPr>
                <w:sz w:val="12"/>
                <w:szCs w:val="12"/>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Pr>
          <w:p>
            <w:pPr>
              <w:ind w:left="680"/>
              <w:spacing w:after="0"/>
              <w:rPr>
                <w:sz w:val="20"/>
                <w:szCs w:val="20"/>
                <w:color w:val="auto"/>
              </w:rPr>
            </w:pPr>
            <w:r>
              <w:rPr>
                <w:rFonts w:ascii="Arial" w:cs="Arial" w:eastAsia="Arial" w:hAnsi="Arial"/>
                <w:sz w:val="12"/>
                <w:szCs w:val="12"/>
                <w:color w:val="auto"/>
              </w:rPr>
              <w:t>—</w:t>
            </w:r>
          </w:p>
        </w:tc>
      </w:tr>
      <w:tr>
        <w:trPr>
          <w:trHeight w:val="20"/>
        </w:trPr>
        <w:tc>
          <w:tcPr>
            <w:tcW w:w="40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60" w:hanging="436"/>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Includes amortization of debt issuance costs and discount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4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0"/>
                <w:szCs w:val="10"/>
                <w:b w:val="1"/>
                <w:bCs w:val="1"/>
                <w:color w:val="auto"/>
                <w:w w:val="90"/>
              </w:rPr>
              <w:t>Three Months Ended October 31,</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Nine Months Ended October 31,</w:t>
            </w:r>
          </w:p>
        </w:tc>
        <w:tc>
          <w:tcPr>
            <w:tcW w:w="840" w:type="dxa"/>
            <w:vAlign w:val="bottom"/>
            <w:tcBorders>
              <w:bottom w:val="single" w:sz="8" w:color="auto"/>
            </w:tcBorders>
          </w:tcPr>
          <w:p>
            <w:pPr>
              <w:spacing w:after="0"/>
              <w:rPr>
                <w:sz w:val="11"/>
                <w:szCs w:val="11"/>
                <w:color w:val="auto"/>
              </w:rPr>
            </w:pPr>
          </w:p>
        </w:tc>
      </w:tr>
      <w:tr>
        <w:trPr>
          <w:trHeight w:val="126"/>
        </w:trPr>
        <w:tc>
          <w:tcPr>
            <w:tcW w:w="4040" w:type="dxa"/>
            <w:vAlign w:val="bottom"/>
          </w:tcPr>
          <w:p>
            <w:pPr>
              <w:spacing w:after="0"/>
              <w:rPr>
                <w:sz w:val="10"/>
                <w:szCs w:val="10"/>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2020</w:t>
            </w:r>
          </w:p>
        </w:tc>
      </w:tr>
      <w:tr>
        <w:trPr>
          <w:trHeight w:val="162"/>
        </w:trPr>
        <w:tc>
          <w:tcPr>
            <w:tcW w:w="40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Interest expense</w:t>
            </w:r>
          </w:p>
        </w:tc>
        <w:tc>
          <w:tcPr>
            <w:tcW w:w="124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546</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1,639</w:t>
            </w: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2"/>
                <w:szCs w:val="12"/>
                <w:color w:val="auto"/>
              </w:rPr>
              <w:t>—</w:t>
            </w:r>
          </w:p>
        </w:tc>
      </w:tr>
      <w:tr>
        <w:trPr>
          <w:trHeight w:val="142"/>
        </w:trPr>
        <w:tc>
          <w:tcPr>
            <w:tcW w:w="4040" w:type="dxa"/>
            <w:vAlign w:val="bottom"/>
          </w:tcPr>
          <w:p>
            <w:pPr>
              <w:ind w:left="520"/>
              <w:spacing w:after="0"/>
              <w:rPr>
                <w:sz w:val="20"/>
                <w:szCs w:val="20"/>
                <w:color w:val="auto"/>
              </w:rPr>
            </w:pPr>
            <w:r>
              <w:rPr>
                <w:rFonts w:ascii="Arial" w:cs="Arial" w:eastAsia="Arial" w:hAnsi="Arial"/>
                <w:sz w:val="12"/>
                <w:szCs w:val="12"/>
                <w:color w:val="auto"/>
              </w:rPr>
              <w:t>Total amortization of debt issuance costs and discount</w:t>
            </w:r>
          </w:p>
        </w:tc>
        <w:tc>
          <w:tcPr>
            <w:tcW w:w="1240" w:type="dxa"/>
            <w:vAlign w:val="bottom"/>
          </w:tcPr>
          <w:p>
            <w:pPr>
              <w:jc w:val="right"/>
              <w:ind w:right="684"/>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546</w:t>
            </w:r>
          </w:p>
        </w:tc>
        <w:tc>
          <w:tcPr>
            <w:tcW w:w="80" w:type="dxa"/>
            <w:vAlign w:val="bottom"/>
          </w:tcPr>
          <w:p>
            <w:pPr>
              <w:spacing w:after="0"/>
              <w:rPr>
                <w:sz w:val="12"/>
                <w:szCs w:val="12"/>
                <w:color w:val="auto"/>
              </w:rPr>
            </w:pPr>
          </w:p>
        </w:tc>
        <w:tc>
          <w:tcPr>
            <w:tcW w:w="1380" w:type="dxa"/>
            <w:vAlign w:val="bottom"/>
          </w:tcPr>
          <w:p>
            <w:pPr>
              <w:jc w:val="right"/>
              <w:ind w:right="804"/>
              <w:spacing w:after="0"/>
              <w:rPr>
                <w:sz w:val="20"/>
                <w:szCs w:val="20"/>
                <w:color w:val="auto"/>
              </w:rPr>
            </w:pPr>
            <w:r>
              <w:rPr>
                <w:rFonts w:ascii="Arial" w:cs="Arial" w:eastAsia="Arial" w:hAnsi="Arial"/>
                <w:sz w:val="12"/>
                <w:szCs w:val="12"/>
                <w:color w:val="auto"/>
              </w:rPr>
              <w:t>$</w:t>
            </w:r>
          </w:p>
        </w:tc>
        <w:tc>
          <w:tcPr>
            <w:tcW w:w="44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
              <w:spacing w:after="0"/>
              <w:rPr>
                <w:sz w:val="20"/>
                <w:szCs w:val="20"/>
                <w:color w:val="auto"/>
              </w:rPr>
            </w:pPr>
            <w:r>
              <w:rPr>
                <w:rFonts w:ascii="Arial" w:cs="Arial" w:eastAsia="Arial" w:hAnsi="Arial"/>
                <w:sz w:val="12"/>
                <w:szCs w:val="12"/>
                <w:color w:val="auto"/>
              </w:rPr>
              <w:t>1,639</w:t>
            </w:r>
          </w:p>
        </w:tc>
        <w:tc>
          <w:tcPr>
            <w:tcW w:w="80" w:type="dxa"/>
            <w:vAlign w:val="bottom"/>
          </w:tcPr>
          <w:p>
            <w:pPr>
              <w:spacing w:after="0"/>
              <w:rPr>
                <w:sz w:val="12"/>
                <w:szCs w:val="12"/>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Pr>
          <w:p>
            <w:pPr>
              <w:ind w:left="680"/>
              <w:spacing w:after="0"/>
              <w:rPr>
                <w:sz w:val="20"/>
                <w:szCs w:val="20"/>
                <w:color w:val="auto"/>
              </w:rPr>
            </w:pPr>
            <w:r>
              <w:rPr>
                <w:rFonts w:ascii="Arial" w:cs="Arial" w:eastAsia="Arial" w:hAnsi="Arial"/>
                <w:sz w:val="12"/>
                <w:szCs w:val="12"/>
                <w:color w:val="auto"/>
              </w:rPr>
              <w:t>—</w:t>
            </w:r>
          </w:p>
        </w:tc>
      </w:tr>
      <w:tr>
        <w:trPr>
          <w:trHeight w:val="20"/>
        </w:trPr>
        <w:tc>
          <w:tcPr>
            <w:tcW w:w="40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860" w:hanging="436"/>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gains and other income from strategic investments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4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0"/>
                <w:szCs w:val="10"/>
                <w:b w:val="1"/>
                <w:bCs w:val="1"/>
                <w:color w:val="auto"/>
                <w:w w:val="90"/>
              </w:rPr>
              <w:t>Three Months Ended October 31,</w:t>
            </w: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Nine Months Ended October 31,</w:t>
            </w: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6"/>
        </w:trPr>
        <w:tc>
          <w:tcPr>
            <w:tcW w:w="4040" w:type="dxa"/>
            <w:vAlign w:val="bottom"/>
          </w:tcPr>
          <w:p>
            <w:pPr>
              <w:spacing w:after="0"/>
              <w:rPr>
                <w:sz w:val="10"/>
                <w:szCs w:val="10"/>
                <w:color w:val="auto"/>
              </w:rPr>
            </w:pP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0"/>
                <w:szCs w:val="10"/>
                <w:color w:val="auto"/>
              </w:rPr>
            </w:pPr>
          </w:p>
        </w:tc>
      </w:tr>
      <w:tr>
        <w:trPr>
          <w:trHeight w:val="162"/>
        </w:trPr>
        <w:tc>
          <w:tcPr>
            <w:tcW w:w="40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Other income, net</w:t>
            </w:r>
          </w:p>
        </w:tc>
        <w:tc>
          <w:tcPr>
            <w:tcW w:w="124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4,366</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r>
      <w:tr>
        <w:trPr>
          <w:trHeight w:val="142"/>
        </w:trPr>
        <w:tc>
          <w:tcPr>
            <w:tcW w:w="4040" w:type="dxa"/>
            <w:vAlign w:val="bottom"/>
          </w:tcPr>
          <w:p>
            <w:pPr>
              <w:ind w:left="520"/>
              <w:spacing w:after="0"/>
              <w:rPr>
                <w:sz w:val="20"/>
                <w:szCs w:val="20"/>
                <w:color w:val="auto"/>
              </w:rPr>
            </w:pPr>
            <w:r>
              <w:rPr>
                <w:rFonts w:ascii="Arial" w:cs="Arial" w:eastAsia="Arial" w:hAnsi="Arial"/>
                <w:sz w:val="12"/>
                <w:szCs w:val="12"/>
                <w:color w:val="auto"/>
              </w:rPr>
              <w:t>Total gains and other income from strategic investments</w:t>
            </w:r>
          </w:p>
        </w:tc>
        <w:tc>
          <w:tcPr>
            <w:tcW w:w="1240" w:type="dxa"/>
            <w:vAlign w:val="bottom"/>
          </w:tcPr>
          <w:p>
            <w:pPr>
              <w:jc w:val="right"/>
              <w:ind w:right="684"/>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1360" w:type="dxa"/>
            <w:vAlign w:val="bottom"/>
          </w:tcPr>
          <w:p>
            <w:pPr>
              <w:jc w:val="right"/>
              <w:ind w:right="804"/>
              <w:spacing w:after="0"/>
              <w:rPr>
                <w:sz w:val="20"/>
                <w:szCs w:val="20"/>
                <w:color w:val="auto"/>
              </w:rPr>
            </w:pPr>
            <w:r>
              <w:rPr>
                <w:rFonts w:ascii="Arial" w:cs="Arial" w:eastAsia="Arial" w:hAnsi="Arial"/>
                <w:sz w:val="12"/>
                <w:szCs w:val="12"/>
                <w:color w:val="auto"/>
              </w:rPr>
              <w:t>$</w:t>
            </w: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
              <w:spacing w:after="0"/>
              <w:rPr>
                <w:sz w:val="20"/>
                <w:szCs w:val="20"/>
                <w:color w:val="auto"/>
              </w:rPr>
            </w:pPr>
            <w:r>
              <w:rPr>
                <w:rFonts w:ascii="Arial" w:cs="Arial" w:eastAsia="Arial" w:hAnsi="Arial"/>
                <w:sz w:val="12"/>
                <w:szCs w:val="12"/>
                <w:color w:val="auto"/>
              </w:rPr>
              <w:t>4,366</w:t>
            </w:r>
          </w:p>
        </w:tc>
        <w:tc>
          <w:tcPr>
            <w:tcW w:w="80" w:type="dxa"/>
            <w:vAlign w:val="bottom"/>
          </w:tcPr>
          <w:p>
            <w:pPr>
              <w:spacing w:after="0"/>
              <w:rPr>
                <w:sz w:val="12"/>
                <w:szCs w:val="12"/>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680"/>
              <w:spacing w:after="0"/>
              <w:rPr>
                <w:sz w:val="20"/>
                <w:szCs w:val="20"/>
                <w:color w:val="auto"/>
              </w:rPr>
            </w:pPr>
            <w:r>
              <w:rPr>
                <w:rFonts w:ascii="Arial" w:cs="Arial" w:eastAsia="Arial" w:hAnsi="Arial"/>
                <w:sz w:val="12"/>
                <w:szCs w:val="12"/>
                <w:color w:val="auto"/>
              </w:rPr>
              <w:t>—</w:t>
            </w:r>
          </w:p>
        </w:tc>
      </w:tr>
      <w:tr>
        <w:trPr>
          <w:trHeight w:val="20"/>
        </w:trPr>
        <w:tc>
          <w:tcPr>
            <w:tcW w:w="40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7"/>
        </w:trPr>
        <w:tc>
          <w:tcPr>
            <w:tcW w:w="40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37" w:name="page38"/>
    <w:bookmarkEnd w:id="37"/>
    <w:p>
      <w:pPr>
        <w:ind w:left="860" w:hanging="436"/>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Includes tax costs for intellectual property integration relating to the Humio acquisition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w w:val="93"/>
              </w:rPr>
              <w:t>Three Months Ended October 31,</w:t>
            </w:r>
          </w:p>
        </w:tc>
        <w:tc>
          <w:tcPr>
            <w:tcW w:w="4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87"/>
              </w:rPr>
              <w:t>Nine Months Ended October 31,</w:t>
            </w:r>
          </w:p>
        </w:tc>
        <w:tc>
          <w:tcPr>
            <w:tcW w:w="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6"/>
        </w:trPr>
        <w:tc>
          <w:tcPr>
            <w:tcW w:w="3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2"/>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Provision for income taxes</w:t>
            </w:r>
          </w:p>
        </w:tc>
        <w:tc>
          <w:tcPr>
            <w:tcW w:w="120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00" w:type="dxa"/>
            <w:vAlign w:val="bottom"/>
            <w:gridSpan w:val="2"/>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00" w:type="dxa"/>
            <w:vAlign w:val="bottom"/>
            <w:gridSpan w:val="2"/>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48,824</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r>
      <w:tr>
        <w:trPr>
          <w:trHeight w:val="142"/>
        </w:trPr>
        <w:tc>
          <w:tcPr>
            <w:tcW w:w="4040" w:type="dxa"/>
            <w:vAlign w:val="bottom"/>
            <w:gridSpan w:val="2"/>
          </w:tcPr>
          <w:p>
            <w:pPr>
              <w:ind w:left="520"/>
              <w:spacing w:after="0"/>
              <w:rPr>
                <w:sz w:val="20"/>
                <w:szCs w:val="20"/>
                <w:color w:val="auto"/>
              </w:rPr>
            </w:pPr>
            <w:r>
              <w:rPr>
                <w:rFonts w:ascii="Arial" w:cs="Arial" w:eastAsia="Arial" w:hAnsi="Arial"/>
                <w:sz w:val="12"/>
                <w:szCs w:val="12"/>
                <w:color w:val="auto"/>
              </w:rPr>
              <w:t>Total provision for income taxes</w:t>
            </w:r>
          </w:p>
        </w:tc>
        <w:tc>
          <w:tcPr>
            <w:tcW w:w="1200" w:type="dxa"/>
            <w:vAlign w:val="bottom"/>
            <w:tcBorders>
              <w:bottom w:val="single" w:sz="8" w:color="auto"/>
            </w:tcBorders>
          </w:tcPr>
          <w:p>
            <w:pPr>
              <w:jc w:val="right"/>
              <w:ind w:right="641"/>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gridSpan w:val="2"/>
          </w:tcPr>
          <w:p>
            <w:pPr>
              <w:ind w:left="360"/>
              <w:spacing w:after="0"/>
              <w:rPr>
                <w:sz w:val="20"/>
                <w:szCs w:val="20"/>
                <w:color w:val="auto"/>
              </w:rPr>
            </w:pPr>
            <w:r>
              <w:rPr>
                <w:rFonts w:ascii="Arial" w:cs="Arial" w:eastAsia="Arial" w:hAnsi="Arial"/>
                <w:sz w:val="12"/>
                <w:szCs w:val="12"/>
                <w:color w:val="auto"/>
              </w:rPr>
              <w:t>—</w:t>
            </w:r>
          </w:p>
        </w:tc>
        <w:tc>
          <w:tcPr>
            <w:tcW w:w="100" w:type="dxa"/>
            <w:vAlign w:val="bottom"/>
            <w:gridSpan w:val="2"/>
          </w:tcPr>
          <w:p>
            <w:pPr>
              <w:spacing w:after="0"/>
              <w:rPr>
                <w:sz w:val="12"/>
                <w:szCs w:val="1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color w:val="auto"/>
              </w:rPr>
              <w:t>—</w:t>
            </w:r>
          </w:p>
        </w:tc>
        <w:tc>
          <w:tcPr>
            <w:tcW w:w="100" w:type="dxa"/>
            <w:vAlign w:val="bottom"/>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48,824</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7"/>
        </w:trPr>
        <w:tc>
          <w:tcPr>
            <w:tcW w:w="8100" w:type="dxa"/>
            <w:vAlign w:val="bottom"/>
            <w:gridSpan w:val="14"/>
          </w:tcPr>
          <w:p>
            <w:pPr>
              <w:ind w:left="420"/>
              <w:spacing w:after="0"/>
              <w:rPr>
                <w:sz w:val="20"/>
                <w:szCs w:val="20"/>
                <w:color w:val="auto"/>
              </w:rPr>
            </w:pPr>
            <w:r>
              <w:rPr>
                <w:rFonts w:ascii="Arial" w:cs="Arial" w:eastAsia="Arial" w:hAnsi="Arial"/>
                <w:sz w:val="12"/>
                <w:szCs w:val="12"/>
                <w:color w:val="auto"/>
                <w:w w:val="89"/>
              </w:rPr>
              <w:t>The following table presents the components of our condensed consolidated statements of operations as a percentage of total revenue for the periods presented:</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0"/>
        </w:trPr>
        <w:tc>
          <w:tcPr>
            <w:tcW w:w="3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5"/>
          </w:tcPr>
          <w:p>
            <w:pPr>
              <w:jc w:val="right"/>
              <w:ind w:right="62"/>
              <w:spacing w:after="0"/>
              <w:rPr>
                <w:sz w:val="20"/>
                <w:szCs w:val="20"/>
                <w:color w:val="auto"/>
              </w:rPr>
            </w:pPr>
            <w:r>
              <w:rPr>
                <w:rFonts w:ascii="Arial" w:cs="Arial" w:eastAsia="Arial" w:hAnsi="Arial"/>
                <w:sz w:val="10"/>
                <w:szCs w:val="10"/>
                <w:b w:val="1"/>
                <w:bCs w:val="1"/>
                <w:color w:val="auto"/>
                <w:w w:val="88"/>
              </w:rPr>
              <w:t>Three Months Ended October 31,</w:t>
            </w: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87"/>
              </w:rPr>
              <w:t>Nine Months Ended October 31,</w:t>
            </w:r>
          </w:p>
        </w:tc>
        <w:tc>
          <w:tcPr>
            <w:tcW w:w="4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18"/>
        </w:trPr>
        <w:tc>
          <w:tcPr>
            <w:tcW w:w="3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w w:val="89"/>
              </w:rPr>
              <w:t>2020</w:t>
            </w:r>
          </w:p>
        </w:tc>
        <w:tc>
          <w:tcPr>
            <w:tcW w:w="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59"/>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702"/>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jc w:val="center"/>
              <w:ind w:right="542"/>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Revenue</w:t>
            </w:r>
          </w:p>
        </w:tc>
        <w:tc>
          <w:tcPr>
            <w:tcW w:w="1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3"/>
        </w:trPr>
        <w:tc>
          <w:tcPr>
            <w:tcW w:w="4040" w:type="dxa"/>
            <w:vAlign w:val="bottom"/>
            <w:gridSpan w:val="2"/>
          </w:tcPr>
          <w:p>
            <w:pPr>
              <w:ind w:left="520"/>
              <w:spacing w:after="0"/>
              <w:rPr>
                <w:sz w:val="20"/>
                <w:szCs w:val="20"/>
                <w:color w:val="auto"/>
              </w:rPr>
            </w:pPr>
            <w:r>
              <w:rPr>
                <w:rFonts w:ascii="Arial" w:cs="Arial" w:eastAsia="Arial" w:hAnsi="Arial"/>
                <w:sz w:val="12"/>
                <w:szCs w:val="12"/>
                <w:color w:val="auto"/>
              </w:rPr>
              <w:t>Subscription</w:t>
            </w: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94</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ind w:right="141"/>
              <w:spacing w:after="0"/>
              <w:rPr>
                <w:sz w:val="20"/>
                <w:szCs w:val="20"/>
                <w:color w:val="auto"/>
              </w:rPr>
            </w:pPr>
            <w:r>
              <w:rPr>
                <w:rFonts w:ascii="Arial" w:cs="Arial" w:eastAsia="Arial" w:hAnsi="Arial"/>
                <w:sz w:val="12"/>
                <w:szCs w:val="12"/>
                <w:color w:val="auto"/>
              </w:rPr>
              <w:t>92</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93</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141"/>
              <w:spacing w:after="0"/>
              <w:rPr>
                <w:sz w:val="20"/>
                <w:szCs w:val="20"/>
                <w:color w:val="auto"/>
              </w:rPr>
            </w:pPr>
            <w:r>
              <w:rPr>
                <w:rFonts w:ascii="Arial" w:cs="Arial" w:eastAsia="Arial" w:hAnsi="Arial"/>
                <w:sz w:val="12"/>
                <w:szCs w:val="12"/>
                <w:color w:val="auto"/>
              </w:rPr>
              <w:t>92</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Professional services</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8</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tcPr>
          <w:p>
            <w:pPr>
              <w:ind w:left="580"/>
              <w:spacing w:after="0"/>
              <w:rPr>
                <w:sz w:val="20"/>
                <w:szCs w:val="20"/>
                <w:color w:val="auto"/>
              </w:rPr>
            </w:pPr>
            <w:r>
              <w:rPr>
                <w:rFonts w:ascii="Arial" w:cs="Arial" w:eastAsia="Arial" w:hAnsi="Arial"/>
                <w:sz w:val="12"/>
                <w:szCs w:val="12"/>
                <w:color w:val="auto"/>
              </w:rPr>
              <w:t>Total revenue</w:t>
            </w: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100</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ind w:right="141"/>
              <w:spacing w:after="0"/>
              <w:rPr>
                <w:sz w:val="20"/>
                <w:szCs w:val="20"/>
                <w:color w:val="auto"/>
              </w:rPr>
            </w:pPr>
            <w:r>
              <w:rPr>
                <w:rFonts w:ascii="Arial" w:cs="Arial" w:eastAsia="Arial" w:hAnsi="Arial"/>
                <w:sz w:val="12"/>
                <w:szCs w:val="12"/>
                <w:color w:val="auto"/>
              </w:rPr>
              <w:t>100</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100</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141"/>
              <w:spacing w:after="0"/>
              <w:rPr>
                <w:sz w:val="20"/>
                <w:szCs w:val="20"/>
                <w:color w:val="auto"/>
              </w:rPr>
            </w:pPr>
            <w:r>
              <w:rPr>
                <w:rFonts w:ascii="Arial" w:cs="Arial" w:eastAsia="Arial" w:hAnsi="Arial"/>
                <w:sz w:val="12"/>
                <w:szCs w:val="12"/>
                <w:color w:val="auto"/>
              </w:rPr>
              <w:t>100</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Cost of revenue</w:t>
            </w:r>
          </w:p>
        </w:tc>
        <w:tc>
          <w:tcPr>
            <w:tcW w:w="1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3"/>
        </w:trPr>
        <w:tc>
          <w:tcPr>
            <w:tcW w:w="4040" w:type="dxa"/>
            <w:vAlign w:val="bottom"/>
            <w:gridSpan w:val="2"/>
          </w:tcPr>
          <w:p>
            <w:pPr>
              <w:ind w:left="520"/>
              <w:spacing w:after="0"/>
              <w:rPr>
                <w:sz w:val="20"/>
                <w:szCs w:val="20"/>
                <w:color w:val="auto"/>
              </w:rPr>
            </w:pPr>
            <w:r>
              <w:rPr>
                <w:rFonts w:ascii="Arial" w:cs="Arial" w:eastAsia="Arial" w:hAnsi="Arial"/>
                <w:sz w:val="12"/>
                <w:szCs w:val="12"/>
                <w:color w:val="auto"/>
              </w:rPr>
              <w:t>Subscription</w:t>
            </w: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22</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ind w:right="141"/>
              <w:spacing w:after="0"/>
              <w:rPr>
                <w:sz w:val="20"/>
                <w:szCs w:val="20"/>
                <w:color w:val="auto"/>
              </w:rPr>
            </w:pPr>
            <w:r>
              <w:rPr>
                <w:rFonts w:ascii="Arial" w:cs="Arial" w:eastAsia="Arial" w:hAnsi="Arial"/>
                <w:sz w:val="12"/>
                <w:szCs w:val="12"/>
                <w:color w:val="auto"/>
              </w:rPr>
              <w:t>21</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22</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141"/>
              <w:spacing w:after="0"/>
              <w:rPr>
                <w:sz w:val="20"/>
                <w:szCs w:val="20"/>
                <w:color w:val="auto"/>
              </w:rPr>
            </w:pPr>
            <w:r>
              <w:rPr>
                <w:rFonts w:ascii="Arial" w:cs="Arial" w:eastAsia="Arial" w:hAnsi="Arial"/>
                <w:sz w:val="12"/>
                <w:szCs w:val="12"/>
                <w:color w:val="auto"/>
              </w:rPr>
              <w:t>21</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Professional services</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5</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tcPr>
          <w:p>
            <w:pPr>
              <w:ind w:left="580"/>
              <w:spacing w:after="0"/>
              <w:rPr>
                <w:sz w:val="20"/>
                <w:szCs w:val="20"/>
                <w:color w:val="auto"/>
              </w:rPr>
            </w:pPr>
            <w:r>
              <w:rPr>
                <w:rFonts w:ascii="Arial" w:cs="Arial" w:eastAsia="Arial" w:hAnsi="Arial"/>
                <w:sz w:val="12"/>
                <w:szCs w:val="12"/>
                <w:color w:val="auto"/>
              </w:rPr>
              <w:t>Total cost of revenue</w:t>
            </w: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27</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ind w:right="141"/>
              <w:spacing w:after="0"/>
              <w:rPr>
                <w:sz w:val="20"/>
                <w:szCs w:val="20"/>
                <w:color w:val="auto"/>
              </w:rPr>
            </w:pPr>
            <w:r>
              <w:rPr>
                <w:rFonts w:ascii="Arial" w:cs="Arial" w:eastAsia="Arial" w:hAnsi="Arial"/>
                <w:sz w:val="12"/>
                <w:szCs w:val="12"/>
                <w:color w:val="auto"/>
              </w:rPr>
              <w:t>26</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27</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141"/>
              <w:spacing w:after="0"/>
              <w:rPr>
                <w:sz w:val="20"/>
                <w:szCs w:val="20"/>
                <w:color w:val="auto"/>
              </w:rPr>
            </w:pPr>
            <w:r>
              <w:rPr>
                <w:rFonts w:ascii="Arial" w:cs="Arial" w:eastAsia="Arial" w:hAnsi="Arial"/>
                <w:sz w:val="12"/>
                <w:szCs w:val="12"/>
                <w:color w:val="auto"/>
              </w:rPr>
              <w:t>27</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Gross profit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73</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74</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73</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73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tcPr>
          <w:p>
            <w:pPr>
              <w:ind w:left="440"/>
              <w:spacing w:after="0"/>
              <w:rPr>
                <w:sz w:val="20"/>
                <w:szCs w:val="20"/>
                <w:color w:val="auto"/>
              </w:rPr>
            </w:pPr>
            <w:r>
              <w:rPr>
                <w:rFonts w:ascii="Arial" w:cs="Arial" w:eastAsia="Arial" w:hAnsi="Arial"/>
                <w:sz w:val="12"/>
                <w:szCs w:val="12"/>
                <w:color w:val="auto"/>
              </w:rPr>
              <w:t>Operating expenses</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0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Sales and marketing</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43</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45</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44</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47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tcPr>
          <w:p>
            <w:pPr>
              <w:ind w:left="520"/>
              <w:spacing w:after="0"/>
              <w:rPr>
                <w:sz w:val="20"/>
                <w:szCs w:val="20"/>
                <w:color w:val="auto"/>
              </w:rPr>
            </w:pPr>
            <w:r>
              <w:rPr>
                <w:rFonts w:ascii="Arial" w:cs="Arial" w:eastAsia="Arial" w:hAnsi="Arial"/>
                <w:sz w:val="12"/>
                <w:szCs w:val="12"/>
                <w:color w:val="auto"/>
              </w:rPr>
              <w:t>Research and development</w:t>
            </w: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26</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ind w:right="141"/>
              <w:spacing w:after="0"/>
              <w:rPr>
                <w:sz w:val="20"/>
                <w:szCs w:val="20"/>
                <w:color w:val="auto"/>
              </w:rPr>
            </w:pPr>
            <w:r>
              <w:rPr>
                <w:rFonts w:ascii="Arial" w:cs="Arial" w:eastAsia="Arial" w:hAnsi="Arial"/>
                <w:sz w:val="12"/>
                <w:szCs w:val="12"/>
                <w:color w:val="auto"/>
              </w:rPr>
              <w:t>25</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26</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141"/>
              <w:spacing w:after="0"/>
              <w:rPr>
                <w:sz w:val="20"/>
                <w:szCs w:val="20"/>
                <w:color w:val="auto"/>
              </w:rPr>
            </w:pPr>
            <w:r>
              <w:rPr>
                <w:rFonts w:ascii="Arial" w:cs="Arial" w:eastAsia="Arial" w:hAnsi="Arial"/>
                <w:sz w:val="12"/>
                <w:szCs w:val="12"/>
                <w:color w:val="auto"/>
              </w:rPr>
              <w:t>24</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General and administrative</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14</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15</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tcPr>
          <w:p>
            <w:pPr>
              <w:ind w:left="440"/>
              <w:spacing w:after="0"/>
              <w:rPr>
                <w:sz w:val="20"/>
                <w:szCs w:val="20"/>
                <w:color w:val="auto"/>
              </w:rPr>
            </w:pPr>
            <w:r>
              <w:rPr>
                <w:rFonts w:ascii="Arial" w:cs="Arial" w:eastAsia="Arial" w:hAnsi="Arial"/>
                <w:sz w:val="12"/>
                <w:szCs w:val="12"/>
                <w:color w:val="auto"/>
              </w:rPr>
              <w:t>Total operating expenses</w:t>
            </w: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84</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ind w:right="141"/>
              <w:spacing w:after="0"/>
              <w:rPr>
                <w:sz w:val="20"/>
                <w:szCs w:val="20"/>
                <w:color w:val="auto"/>
              </w:rPr>
            </w:pPr>
            <w:r>
              <w:rPr>
                <w:rFonts w:ascii="Arial" w:cs="Arial" w:eastAsia="Arial" w:hAnsi="Arial"/>
                <w:sz w:val="12"/>
                <w:szCs w:val="12"/>
                <w:color w:val="auto"/>
              </w:rPr>
              <w:t>84</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85</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141"/>
              <w:spacing w:after="0"/>
              <w:rPr>
                <w:sz w:val="20"/>
                <w:szCs w:val="20"/>
                <w:color w:val="auto"/>
              </w:rPr>
            </w:pPr>
            <w:r>
              <w:rPr>
                <w:rFonts w:ascii="Arial" w:cs="Arial" w:eastAsia="Arial" w:hAnsi="Arial"/>
                <w:sz w:val="12"/>
                <w:szCs w:val="12"/>
                <w:color w:val="auto"/>
              </w:rPr>
              <w:t>86</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Loss from operations</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(10)</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(12)</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tcPr>
          <w:p>
            <w:pPr>
              <w:ind w:left="520"/>
              <w:spacing w:after="0"/>
              <w:rPr>
                <w:sz w:val="20"/>
                <w:szCs w:val="20"/>
                <w:color w:val="auto"/>
              </w:rPr>
            </w:pPr>
            <w:r>
              <w:rPr>
                <w:rFonts w:ascii="Arial" w:cs="Arial" w:eastAsia="Arial" w:hAnsi="Arial"/>
                <w:sz w:val="12"/>
                <w:szCs w:val="12"/>
                <w:color w:val="auto"/>
              </w:rPr>
              <w:t>Interest expense</w:t>
            </w:r>
          </w:p>
        </w:tc>
        <w:tc>
          <w:tcPr>
            <w:tcW w:w="1200" w:type="dxa"/>
            <w:vAlign w:val="bottom"/>
          </w:tcPr>
          <w:p>
            <w:pPr>
              <w:jc w:val="right"/>
              <w:ind w:right="41"/>
              <w:spacing w:after="0"/>
              <w:rPr>
                <w:sz w:val="20"/>
                <w:szCs w:val="20"/>
                <w:color w:val="auto"/>
              </w:rPr>
            </w:pPr>
            <w:r>
              <w:rPr>
                <w:rFonts w:ascii="Arial" w:cs="Arial" w:eastAsia="Arial" w:hAnsi="Arial"/>
                <w:sz w:val="12"/>
                <w:szCs w:val="12"/>
                <w:color w:val="auto"/>
              </w:rPr>
              <w:t>(2)</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(2)</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Other income, net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tcPr>
          <w:p>
            <w:pPr>
              <w:ind w:left="440"/>
              <w:spacing w:after="0"/>
              <w:rPr>
                <w:sz w:val="20"/>
                <w:szCs w:val="20"/>
                <w:color w:val="auto"/>
              </w:rPr>
            </w:pPr>
            <w:r>
              <w:rPr>
                <w:rFonts w:ascii="Arial" w:cs="Arial" w:eastAsia="Arial" w:hAnsi="Arial"/>
                <w:sz w:val="12"/>
                <w:szCs w:val="12"/>
                <w:color w:val="auto"/>
              </w:rPr>
              <w:t>Loss before provision for income taxes</w:t>
            </w:r>
          </w:p>
        </w:tc>
        <w:tc>
          <w:tcPr>
            <w:tcW w:w="1200" w:type="dxa"/>
            <w:vAlign w:val="bottom"/>
          </w:tcPr>
          <w:p>
            <w:pPr>
              <w:jc w:val="right"/>
              <w:ind w:right="41"/>
              <w:spacing w:after="0"/>
              <w:rPr>
                <w:sz w:val="20"/>
                <w:szCs w:val="20"/>
                <w:color w:val="auto"/>
              </w:rPr>
            </w:pPr>
            <w:r>
              <w:rPr>
                <w:rFonts w:ascii="Arial" w:cs="Arial" w:eastAsia="Arial" w:hAnsi="Arial"/>
                <w:sz w:val="12"/>
                <w:szCs w:val="12"/>
                <w:color w:val="auto"/>
              </w:rPr>
              <w:t>(12)</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ind w:right="121"/>
              <w:spacing w:after="0"/>
              <w:rPr>
                <w:sz w:val="20"/>
                <w:szCs w:val="20"/>
                <w:color w:val="auto"/>
              </w:rPr>
            </w:pPr>
            <w:r>
              <w:rPr>
                <w:rFonts w:ascii="Arial" w:cs="Arial" w:eastAsia="Arial" w:hAnsi="Arial"/>
                <w:sz w:val="12"/>
                <w:szCs w:val="12"/>
                <w:color w:val="auto"/>
              </w:rPr>
              <w:t>(10)</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(13)</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color w:val="auto"/>
              </w:rPr>
              <w:t>(12)</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Provision for income taxes</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tcPr>
          <w:p>
            <w:pPr>
              <w:ind w:left="440"/>
              <w:spacing w:after="0"/>
              <w:rPr>
                <w:sz w:val="20"/>
                <w:szCs w:val="20"/>
                <w:color w:val="auto"/>
              </w:rPr>
            </w:pPr>
            <w:r>
              <w:rPr>
                <w:rFonts w:ascii="Arial" w:cs="Arial" w:eastAsia="Arial" w:hAnsi="Arial"/>
                <w:sz w:val="12"/>
                <w:szCs w:val="12"/>
                <w:color w:val="auto"/>
              </w:rPr>
              <w:t>Net loss</w:t>
            </w:r>
          </w:p>
        </w:tc>
        <w:tc>
          <w:tcPr>
            <w:tcW w:w="1200" w:type="dxa"/>
            <w:vAlign w:val="bottom"/>
          </w:tcPr>
          <w:p>
            <w:pPr>
              <w:jc w:val="right"/>
              <w:ind w:right="41"/>
              <w:spacing w:after="0"/>
              <w:rPr>
                <w:sz w:val="20"/>
                <w:szCs w:val="20"/>
                <w:color w:val="auto"/>
              </w:rPr>
            </w:pPr>
            <w:r>
              <w:rPr>
                <w:rFonts w:ascii="Arial" w:cs="Arial" w:eastAsia="Arial" w:hAnsi="Arial"/>
                <w:sz w:val="12"/>
                <w:szCs w:val="12"/>
                <w:color w:val="auto"/>
              </w:rPr>
              <w:t>(13)</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ind w:right="121"/>
              <w:spacing w:after="0"/>
              <w:rPr>
                <w:sz w:val="20"/>
                <w:szCs w:val="20"/>
                <w:color w:val="auto"/>
              </w:rPr>
            </w:pPr>
            <w:r>
              <w:rPr>
                <w:rFonts w:ascii="Arial" w:cs="Arial" w:eastAsia="Arial" w:hAnsi="Arial"/>
                <w:sz w:val="12"/>
                <w:szCs w:val="12"/>
                <w:color w:val="auto"/>
              </w:rPr>
              <w:t>(11)</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(19)</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color w:val="auto"/>
              </w:rPr>
              <w:t>(12)</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Net income attributable to noncontrolling interest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gridSpan w:val="5"/>
            <w:shd w:val="clear" w:color="auto" w:fill="CCEEFF"/>
          </w:tcPr>
          <w:p>
            <w:pPr>
              <w:jc w:val="right"/>
              <w:ind w:right="540"/>
              <w:spacing w:after="0"/>
              <w:rPr>
                <w:sz w:val="20"/>
                <w:szCs w:val="20"/>
                <w:color w:val="auto"/>
              </w:rPr>
            </w:pPr>
            <w:r>
              <w:rPr>
                <w:rFonts w:ascii="Arial" w:cs="Arial" w:eastAsia="Arial" w:hAnsi="Arial"/>
                <w:sz w:val="12"/>
                <w:szCs w:val="12"/>
                <w:color w:val="auto"/>
              </w:rPr>
              <w:t>N/A</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N/A</w:t>
            </w:r>
          </w:p>
        </w:tc>
      </w:tr>
      <w:tr>
        <w:trPr>
          <w:trHeight w:val="153"/>
        </w:trPr>
        <w:tc>
          <w:tcPr>
            <w:tcW w:w="4040" w:type="dxa"/>
            <w:vAlign w:val="bottom"/>
            <w:gridSpan w:val="2"/>
          </w:tcPr>
          <w:p>
            <w:pPr>
              <w:ind w:left="440"/>
              <w:spacing w:after="0"/>
              <w:rPr>
                <w:sz w:val="20"/>
                <w:szCs w:val="20"/>
                <w:color w:val="auto"/>
              </w:rPr>
            </w:pPr>
            <w:r>
              <w:rPr>
                <w:rFonts w:ascii="Arial" w:cs="Arial" w:eastAsia="Arial" w:hAnsi="Arial"/>
                <w:sz w:val="12"/>
                <w:szCs w:val="12"/>
                <w:color w:val="auto"/>
              </w:rPr>
              <w:t>Net loss attributable to CrowdStrike</w:t>
            </w:r>
          </w:p>
        </w:tc>
        <w:tc>
          <w:tcPr>
            <w:tcW w:w="1200" w:type="dxa"/>
            <w:vAlign w:val="bottom"/>
          </w:tcPr>
          <w:p>
            <w:pPr>
              <w:jc w:val="right"/>
              <w:ind w:right="41"/>
              <w:spacing w:after="0"/>
              <w:rPr>
                <w:sz w:val="20"/>
                <w:szCs w:val="20"/>
                <w:color w:val="auto"/>
              </w:rPr>
            </w:pPr>
            <w:r>
              <w:rPr>
                <w:rFonts w:ascii="Arial" w:cs="Arial" w:eastAsia="Arial" w:hAnsi="Arial"/>
                <w:sz w:val="12"/>
                <w:szCs w:val="12"/>
                <w:color w:val="auto"/>
              </w:rPr>
              <w:t>(13)</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ind w:right="121"/>
              <w:spacing w:after="0"/>
              <w:rPr>
                <w:sz w:val="20"/>
                <w:szCs w:val="20"/>
                <w:color w:val="auto"/>
              </w:rPr>
            </w:pPr>
            <w:r>
              <w:rPr>
                <w:rFonts w:ascii="Arial" w:cs="Arial" w:eastAsia="Arial" w:hAnsi="Arial"/>
                <w:sz w:val="12"/>
                <w:szCs w:val="12"/>
                <w:color w:val="auto"/>
              </w:rPr>
              <w:t>(11)</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(19)</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color w:val="auto"/>
              </w:rPr>
              <w:t>(12)</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Three Months Ended October 31, 2021 and 2020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shows total revenue from subscriptions and professional services for the three months ended October 31, 2021 as compared to the three months ended October 31, 2020 (in thousands, except percentages):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w w:val="90"/>
              </w:rPr>
              <w:t>Three Months Ended October 31,</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vMerge w:val="restart"/>
          </w:tcPr>
          <w:p>
            <w:pPr>
              <w:jc w:val="right"/>
              <w:ind w:right="445"/>
              <w:spacing w:after="0"/>
              <w:rPr>
                <w:sz w:val="20"/>
                <w:szCs w:val="20"/>
                <w:color w:val="auto"/>
              </w:rPr>
            </w:pPr>
            <w:r>
              <w:rPr>
                <w:rFonts w:ascii="Arial" w:cs="Arial" w:eastAsia="Arial" w:hAnsi="Arial"/>
                <w:sz w:val="10"/>
                <w:szCs w:val="10"/>
                <w:b w:val="1"/>
                <w:bCs w:val="1"/>
                <w:color w:val="auto"/>
              </w:rPr>
              <w:t>Change</w:t>
            </w:r>
          </w:p>
        </w:tc>
        <w:tc>
          <w:tcPr>
            <w:tcW w:w="80" w:type="dxa"/>
            <w:vAlign w:val="bottom"/>
          </w:tcPr>
          <w:p>
            <w:pPr>
              <w:spacing w:after="0"/>
              <w:rPr>
                <w:sz w:val="11"/>
                <w:szCs w:val="11"/>
                <w:color w:val="auto"/>
              </w:rPr>
            </w:pPr>
          </w:p>
        </w:tc>
        <w:tc>
          <w:tcPr>
            <w:tcW w:w="1500" w:type="dxa"/>
            <w:vAlign w:val="bottom"/>
            <w:vMerge w:val="restart"/>
          </w:tcPr>
          <w:p>
            <w:pPr>
              <w:jc w:val="right"/>
              <w:ind w:right="172"/>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3940" w:type="dxa"/>
            <w:vAlign w:val="bottom"/>
          </w:tcPr>
          <w:p>
            <w:pPr>
              <w:spacing w:after="0"/>
              <w:rPr>
                <w:sz w:val="2"/>
                <w:szCs w:val="2"/>
                <w:color w:val="auto"/>
              </w:rPr>
            </w:pPr>
          </w:p>
        </w:tc>
        <w:tc>
          <w:tcPr>
            <w:tcW w:w="1260" w:type="dxa"/>
            <w:vAlign w:val="bottom"/>
            <w:vMerge w:val="restart"/>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vMerge w:val="restart"/>
          </w:tcPr>
          <w:p>
            <w:pPr>
              <w:jc w:val="right"/>
              <w:ind w:right="523"/>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3940" w:type="dxa"/>
            <w:vAlign w:val="bottom"/>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805"/>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w:t>
            </w:r>
          </w:p>
        </w:tc>
        <w:tc>
          <w:tcPr>
            <w:tcW w:w="126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357,030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213,530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143,500</w:t>
            </w:r>
          </w:p>
        </w:tc>
        <w:tc>
          <w:tcPr>
            <w:tcW w:w="1580" w:type="dxa"/>
            <w:vAlign w:val="bottom"/>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67</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Professional services</w:t>
            </w:r>
          </w:p>
        </w:tc>
        <w:tc>
          <w:tcPr>
            <w:tcW w:w="1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23,021</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18,930</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4,091</w:t>
            </w:r>
          </w:p>
        </w:tc>
        <w:tc>
          <w:tcPr>
            <w:tcW w:w="1580" w:type="dxa"/>
            <w:vAlign w:val="bottom"/>
            <w:tcBorders>
              <w:bottom w:val="single" w:sz="8" w:color="CCEEFF"/>
            </w:tcBorders>
            <w:gridSpan w:val="2"/>
          </w:tcPr>
          <w:p>
            <w:pPr>
              <w:jc w:val="right"/>
              <w:ind w:right="212"/>
              <w:spacing w:after="0"/>
              <w:rPr>
                <w:sz w:val="20"/>
                <w:szCs w:val="20"/>
                <w:color w:val="auto"/>
              </w:rPr>
            </w:pPr>
            <w:r>
              <w:rPr>
                <w:rFonts w:ascii="Arial" w:cs="Arial" w:eastAsia="Arial" w:hAnsi="Arial"/>
                <w:sz w:val="12"/>
                <w:szCs w:val="12"/>
                <w:color w:val="auto"/>
              </w:rPr>
              <w:t>22</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3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 revenue</w:t>
            </w:r>
          </w:p>
        </w:tc>
        <w:tc>
          <w:tcPr>
            <w:tcW w:w="126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380,051</w:t>
            </w: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232,460</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147,591</w:t>
            </w:r>
          </w:p>
        </w:tc>
        <w:tc>
          <w:tcPr>
            <w:tcW w:w="1580" w:type="dxa"/>
            <w:vAlign w:val="bottom"/>
            <w:tcBorders>
              <w:bottom w:val="single" w:sz="8" w:color="CCEEFF"/>
            </w:tcBorders>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63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83"/>
        </w:trPr>
        <w:tc>
          <w:tcPr>
            <w:tcW w:w="39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38" w:name="page39"/>
    <w:bookmarkEnd w:id="38"/>
    <w:p>
      <w:pPr>
        <w:ind w:right="120" w:firstLine="432"/>
        <w:spacing w:after="0" w:line="263" w:lineRule="auto"/>
        <w:rPr>
          <w:sz w:val="20"/>
          <w:szCs w:val="20"/>
          <w:color w:val="auto"/>
        </w:rPr>
      </w:pPr>
      <w:r>
        <w:rPr>
          <w:rFonts w:ascii="Arial" w:cs="Arial" w:eastAsia="Arial" w:hAnsi="Arial"/>
          <w:sz w:val="12"/>
          <w:szCs w:val="12"/>
          <w:color w:val="auto"/>
        </w:rPr>
        <w:t>Total revenue increased by $147.6 million, or 63%, for the three months ended October 31, 2021, compared to the three months ended October 31, 2020. Subscription revenue accounted for 94% of our total revenue for the three months ended October 31, 2021, and 92% of our total revenue for the three months ended October 31, 2020. Professional services revenue accounted for 6% of our total revenue for the three months ended October 31, 2021, and 8% of our total revenue for the three months ended October 31, 2020.</w:t>
      </w:r>
    </w:p>
    <w:p>
      <w:pPr>
        <w:spacing w:after="0" w:line="122" w:lineRule="exact"/>
        <w:rPr>
          <w:sz w:val="20"/>
          <w:szCs w:val="20"/>
          <w:color w:val="auto"/>
        </w:rPr>
      </w:pPr>
    </w:p>
    <w:p>
      <w:pPr>
        <w:ind w:right="60" w:firstLine="432"/>
        <w:spacing w:after="0" w:line="285" w:lineRule="auto"/>
        <w:rPr>
          <w:sz w:val="20"/>
          <w:szCs w:val="20"/>
          <w:color w:val="auto"/>
        </w:rPr>
      </w:pPr>
      <w:r>
        <w:rPr>
          <w:rFonts w:ascii="Arial" w:cs="Arial" w:eastAsia="Arial" w:hAnsi="Arial"/>
          <w:sz w:val="11"/>
          <w:szCs w:val="11"/>
          <w:color w:val="auto"/>
        </w:rPr>
        <w:t>Subscription revenue increased by $143.5 million, or 67%, for the three months ended October 31, 2021, compared to the three months ended October 31, 2020. This increase was primarily attributable to the addition of new subscription customers, as we increased our customer base by 75% from 8,416 subscription customers as of October 31, 2020 to 14,687 subscription customers as of October 31, 2021. Subscription revenue from new customers, subscription revenue from the renewal of existing customers, and subscription revenue from the sale of additional endpoints and additional modules to existing customers accounted for 34%, 42%, and 24% of total subscription revenue for the three months ended October 31, 2021, respectively. Subscription revenue from new customers, subscription revenue from the renewal of existing customers, and subscription revenue from the sale of additional endpoints and additional modules to existing customers accounted for 32%, 37%, and 31% of total subscription revenue for the three months ended October 31, 2020, respectively.</w:t>
      </w:r>
    </w:p>
    <w:p>
      <w:pPr>
        <w:spacing w:after="0" w:line="113"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Professional services revenue increased by $4.1 million, or 22%, for the three months ended October 31, 2021, compared to the three months ended October 31, 2020, which was primarily attributable to an increase in the number of professional service hours performed and increase in services offerings that are not based on billable hours.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Cost of Revenue, Gross Profit, and Gross Margin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following shows cost of revenue related to subscriptions and professional services for the three months ended October 31, 2021 as compared to the three months ended October 31, 2020 (in thousands, except percentages):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6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w w:val="90"/>
              </w:rPr>
              <w:t>Three Months Ended October 31,</w:t>
            </w: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jc w:val="right"/>
              <w:ind w:right="445"/>
              <w:spacing w:after="0"/>
              <w:rPr>
                <w:sz w:val="20"/>
                <w:szCs w:val="20"/>
                <w:color w:val="auto"/>
              </w:rPr>
            </w:pPr>
            <w:r>
              <w:rPr>
                <w:rFonts w:ascii="Arial" w:cs="Arial" w:eastAsia="Arial" w:hAnsi="Arial"/>
                <w:sz w:val="10"/>
                <w:szCs w:val="10"/>
                <w:b w:val="1"/>
                <w:bCs w:val="1"/>
                <w:color w:val="auto"/>
              </w:rPr>
              <w:t>Change</w:t>
            </w:r>
          </w:p>
        </w:tc>
        <w:tc>
          <w:tcPr>
            <w:tcW w:w="80" w:type="dxa"/>
            <w:vAlign w:val="bottom"/>
          </w:tcPr>
          <w:p>
            <w:pPr>
              <w:spacing w:after="0"/>
              <w:rPr>
                <w:sz w:val="11"/>
                <w:szCs w:val="11"/>
                <w:color w:val="auto"/>
              </w:rPr>
            </w:pPr>
          </w:p>
        </w:tc>
        <w:tc>
          <w:tcPr>
            <w:tcW w:w="1500" w:type="dxa"/>
            <w:vAlign w:val="bottom"/>
          </w:tcPr>
          <w:p>
            <w:pPr>
              <w:jc w:val="right"/>
              <w:ind w:right="172"/>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35"/>
        </w:trPr>
        <w:tc>
          <w:tcPr>
            <w:tcW w:w="3960" w:type="dxa"/>
            <w:vAlign w:val="bottom"/>
          </w:tcPr>
          <w:p>
            <w:pPr>
              <w:spacing w:after="0"/>
              <w:rPr>
                <w:sz w:val="11"/>
                <w:szCs w:val="11"/>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85"/>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1"/>
                <w:szCs w:val="11"/>
                <w:color w:val="auto"/>
              </w:rPr>
            </w:pPr>
          </w:p>
        </w:tc>
      </w:tr>
      <w:tr>
        <w:trPr>
          <w:trHeight w:val="162"/>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w:t>
            </w:r>
          </w:p>
        </w:tc>
        <w:tc>
          <w:tcPr>
            <w:tcW w:w="126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85,464</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49,583</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35,881</w:t>
            </w:r>
          </w:p>
        </w:tc>
        <w:tc>
          <w:tcPr>
            <w:tcW w:w="1580" w:type="dxa"/>
            <w:vAlign w:val="bottom"/>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72</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Professional services</w:t>
            </w:r>
          </w:p>
        </w:tc>
        <w:tc>
          <w:tcPr>
            <w:tcW w:w="1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16,200</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11,944</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4,256</w:t>
            </w:r>
          </w:p>
        </w:tc>
        <w:tc>
          <w:tcPr>
            <w:tcW w:w="1580" w:type="dxa"/>
            <w:vAlign w:val="bottom"/>
            <w:tcBorders>
              <w:bottom w:val="single" w:sz="8" w:color="CCEEFF"/>
            </w:tcBorders>
            <w:gridSpan w:val="2"/>
          </w:tcPr>
          <w:p>
            <w:pPr>
              <w:jc w:val="right"/>
              <w:ind w:right="212"/>
              <w:spacing w:after="0"/>
              <w:rPr>
                <w:sz w:val="20"/>
                <w:szCs w:val="20"/>
                <w:color w:val="auto"/>
              </w:rPr>
            </w:pPr>
            <w:r>
              <w:rPr>
                <w:rFonts w:ascii="Arial" w:cs="Arial" w:eastAsia="Arial" w:hAnsi="Arial"/>
                <w:sz w:val="12"/>
                <w:szCs w:val="12"/>
                <w:color w:val="auto"/>
              </w:rPr>
              <w:t>36</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3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 cost of revenue</w:t>
            </w:r>
          </w:p>
        </w:tc>
        <w:tc>
          <w:tcPr>
            <w:tcW w:w="126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101,664</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61,527</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40,137</w:t>
            </w:r>
          </w:p>
        </w:tc>
        <w:tc>
          <w:tcPr>
            <w:tcW w:w="1580" w:type="dxa"/>
            <w:vAlign w:val="bottom"/>
            <w:tcBorders>
              <w:bottom w:val="single" w:sz="8" w:color="CCEEFF"/>
            </w:tcBorders>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65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07"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auto"/>
        </w:rPr>
        <w:t>Total cost of revenue increased by $40.1 million, or 65%, for the three months ended October 31, 2021, compared to the three months ended October 31, 2020. Subscription cost of revenue increased by $35.9 million, or 72%, for the three months ended October 31, 2021, compared to the three months ended October 31, 2020. The increase in subscription cost of revenue was primarily due to an increase in cloud hosting and related services cost of $16.4 million driven by increased customer activity, an increase in employee-related expenses of $9.2 million driven by a 50% increase in average headcount, an increase in stock-based compensation expense of $2.7 million, an increase in amortization of intangible assets of $2.5 million, an increase in depreciation of data center equipment of $1.8 million, an increase in allocated overhead costs of $1.3 million, and an increase in depreciation of internal use software of $1.3 million.</w:t>
      </w:r>
    </w:p>
    <w:p>
      <w:pPr>
        <w:spacing w:after="0" w:line="128" w:lineRule="exact"/>
        <w:rPr>
          <w:sz w:val="20"/>
          <w:szCs w:val="20"/>
          <w:color w:val="auto"/>
        </w:rPr>
      </w:pPr>
    </w:p>
    <w:p>
      <w:pPr>
        <w:ind w:right="380" w:firstLine="432"/>
        <w:spacing w:after="0" w:line="323" w:lineRule="auto"/>
        <w:rPr>
          <w:sz w:val="20"/>
          <w:szCs w:val="20"/>
          <w:color w:val="auto"/>
        </w:rPr>
      </w:pPr>
      <w:r>
        <w:rPr>
          <w:rFonts w:ascii="Arial" w:cs="Arial" w:eastAsia="Arial" w:hAnsi="Arial"/>
          <w:sz w:val="11"/>
          <w:szCs w:val="11"/>
          <w:color w:val="auto"/>
        </w:rPr>
        <w:t>Professional services cost of revenue increased by $4.3 million, or 36%, for the three months ended October 31, 2021, compared to the three months ended October 31, 2020. The increase in professional services cost of revenue was primarily due to an increase in employee-related expenses of $2.4 million driven by an increase in average headcount of 41% and an increase in stock-based compensation expense of $1.0 million.</w:t>
      </w:r>
    </w:p>
    <w:p>
      <w:pPr>
        <w:spacing w:after="0" w:line="92" w:lineRule="exact"/>
        <w:rPr>
          <w:sz w:val="20"/>
          <w:szCs w:val="20"/>
          <w:color w:val="auto"/>
        </w:rPr>
      </w:pPr>
    </w:p>
    <w:p>
      <w:pPr>
        <w:ind w:right="360" w:firstLine="432"/>
        <w:spacing w:after="0" w:line="276" w:lineRule="auto"/>
        <w:rPr>
          <w:sz w:val="20"/>
          <w:szCs w:val="20"/>
          <w:color w:val="auto"/>
        </w:rPr>
      </w:pPr>
      <w:r>
        <w:rPr>
          <w:rFonts w:ascii="Arial" w:cs="Arial" w:eastAsia="Arial" w:hAnsi="Arial"/>
          <w:sz w:val="12"/>
          <w:szCs w:val="12"/>
          <w:color w:val="auto"/>
        </w:rPr>
        <w:t>The following shows gross profit and gross margin for subscriptions and professional services for the three months ended October 31, 2021 as compared to the three months ended October 31, 2020 (in thousands, except percentages):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9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8"/>
              </w:rPr>
              <w:t>Three Months Ended October 31,</w:t>
            </w: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545"/>
              <w:spacing w:after="0"/>
              <w:rPr>
                <w:sz w:val="20"/>
                <w:szCs w:val="20"/>
                <w:color w:val="auto"/>
              </w:rPr>
            </w:pPr>
            <w:r>
              <w:rPr>
                <w:rFonts w:ascii="Arial" w:cs="Arial" w:eastAsia="Arial" w:hAnsi="Arial"/>
                <w:sz w:val="10"/>
                <w:szCs w:val="10"/>
                <w:b w:val="1"/>
                <w:bCs w:val="1"/>
                <w:color w:val="auto"/>
              </w:rPr>
              <w:t>Change</w:t>
            </w:r>
          </w:p>
        </w:tc>
        <w:tc>
          <w:tcPr>
            <w:tcW w:w="100" w:type="dxa"/>
            <w:vAlign w:val="bottom"/>
          </w:tcPr>
          <w:p>
            <w:pPr>
              <w:spacing w:after="0"/>
              <w:rPr>
                <w:sz w:val="11"/>
                <w:szCs w:val="11"/>
                <w:color w:val="auto"/>
              </w:rPr>
            </w:pPr>
          </w:p>
        </w:tc>
        <w:tc>
          <w:tcPr>
            <w:tcW w:w="1600" w:type="dxa"/>
            <w:vAlign w:val="bottom"/>
          </w:tcPr>
          <w:p>
            <w:pPr>
              <w:jc w:val="right"/>
              <w:ind w:right="592"/>
              <w:spacing w:after="0"/>
              <w:rPr>
                <w:sz w:val="20"/>
                <w:szCs w:val="20"/>
                <w:color w:val="auto"/>
              </w:rPr>
            </w:pPr>
            <w:r>
              <w:rPr>
                <w:rFonts w:ascii="Arial" w:cs="Arial" w:eastAsia="Arial" w:hAnsi="Arial"/>
                <w:sz w:val="10"/>
                <w:szCs w:val="10"/>
                <w:b w:val="1"/>
                <w:bCs w:val="1"/>
                <w:color w:val="auto"/>
              </w:rPr>
              <w:t>Change</w:t>
            </w:r>
          </w:p>
        </w:tc>
      </w:tr>
      <w:tr>
        <w:trPr>
          <w:trHeight w:val="135"/>
        </w:trPr>
        <w:tc>
          <w:tcPr>
            <w:tcW w:w="4920" w:type="dxa"/>
            <w:vAlign w:val="bottom"/>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w w:val="80"/>
              </w:rPr>
              <w:t>2020</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6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1600" w:type="dxa"/>
            <w:vAlign w:val="bottom"/>
            <w:tcBorders>
              <w:bottom w:val="single" w:sz="8" w:color="auto"/>
            </w:tcBorders>
          </w:tcPr>
          <w:p>
            <w:pPr>
              <w:jc w:val="right"/>
              <w:ind w:right="712"/>
              <w:spacing w:after="0"/>
              <w:rPr>
                <w:sz w:val="20"/>
                <w:szCs w:val="20"/>
                <w:color w:val="auto"/>
              </w:rPr>
            </w:pPr>
            <w:r>
              <w:rPr>
                <w:rFonts w:ascii="Arial" w:cs="Arial" w:eastAsia="Arial" w:hAnsi="Arial"/>
                <w:sz w:val="10"/>
                <w:szCs w:val="10"/>
                <w:b w:val="1"/>
                <w:bCs w:val="1"/>
                <w:color w:val="auto"/>
              </w:rPr>
              <w:t>%</w:t>
            </w: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Subscription gross profit</w:t>
            </w: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271,566</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163,947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107,619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66 %</w:t>
            </w:r>
          </w:p>
        </w:tc>
      </w:tr>
      <w:tr>
        <w:trPr>
          <w:trHeight w:val="153"/>
        </w:trPr>
        <w:tc>
          <w:tcPr>
            <w:tcW w:w="4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Professional services gross profit</w:t>
            </w:r>
          </w:p>
        </w:tc>
        <w:tc>
          <w:tcPr>
            <w:tcW w:w="8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6,821</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6,986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(2)%</w:t>
            </w:r>
          </w:p>
        </w:tc>
      </w:tr>
      <w:tr>
        <w:trPr>
          <w:trHeight w:val="158"/>
        </w:trPr>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gross profit</w:t>
            </w:r>
          </w:p>
        </w:tc>
        <w:tc>
          <w:tcPr>
            <w:tcW w:w="8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278,387</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170,933</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107,454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63 %</w:t>
            </w:r>
          </w:p>
        </w:tc>
      </w:tr>
      <w:tr>
        <w:trPr>
          <w:trHeight w:val="819"/>
        </w:trPr>
        <w:tc>
          <w:tcPr>
            <w:tcW w:w="49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27"/>
        </w:trPr>
        <w:tc>
          <w:tcPr>
            <w:tcW w:w="63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88"/>
              </w:rPr>
              <w:t>Three Months Ended October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right"/>
              <w:ind w:right="592"/>
              <w:spacing w:after="0"/>
              <w:rPr>
                <w:sz w:val="20"/>
                <w:szCs w:val="20"/>
                <w:color w:val="auto"/>
              </w:rPr>
            </w:pPr>
            <w:r>
              <w:rPr>
                <w:rFonts w:ascii="Arial" w:cs="Arial" w:eastAsia="Arial" w:hAnsi="Arial"/>
                <w:sz w:val="10"/>
                <w:szCs w:val="10"/>
                <w:b w:val="1"/>
                <w:bCs w:val="1"/>
                <w:color w:val="auto"/>
              </w:rPr>
              <w:t>Change</w:t>
            </w:r>
          </w:p>
        </w:tc>
      </w:tr>
      <w:tr>
        <w:trPr>
          <w:trHeight w:val="127"/>
        </w:trPr>
        <w:tc>
          <w:tcPr>
            <w:tcW w:w="63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b w:val="1"/>
                <w:bCs w:val="1"/>
                <w:color w:val="auto"/>
              </w:rPr>
              <w:t>%</w:t>
            </w:r>
          </w:p>
        </w:tc>
      </w:tr>
      <w:tr>
        <w:trPr>
          <w:trHeight w:val="143"/>
        </w:trPr>
        <w:tc>
          <w:tcPr>
            <w:tcW w:w="7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Subscription gross margin</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76 %</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77 %</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6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Professional services gross margin</w:t>
            </w:r>
          </w:p>
        </w:tc>
        <w:tc>
          <w:tcPr>
            <w:tcW w:w="9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30 %</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37 %</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(7)%</w:t>
            </w:r>
          </w:p>
        </w:tc>
      </w:tr>
      <w:tr>
        <w:trPr>
          <w:trHeight w:val="158"/>
        </w:trPr>
        <w:tc>
          <w:tcPr>
            <w:tcW w:w="6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gross margin</w:t>
            </w:r>
          </w:p>
        </w:tc>
        <w:tc>
          <w:tcPr>
            <w:tcW w:w="9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73 %</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74 %</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w:t>
            </w:r>
          </w:p>
        </w:tc>
      </w:tr>
    </w:tbl>
    <w:p>
      <w:pPr>
        <w:spacing w:after="0" w:line="198"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Subscription gross margin slightly decreased for the three months ended October 31, 2021, compared to the three months ended October 31, 2020. The decrease in subscription gross margin was primarily due to higher intangibles amortization resulting from acquisitions, higher stock-based compensation expense, and higher cloud services costs per sensor, partially offset by continued expansion of module adoption during the three months ended October 31, 2021, compared to the three months ended October 31, 2020. As of October 31, 2021, 68% of our customer base had adopted four or more modules, 55% of our customer base had adopted five or more modules, and 32% of our customer base had adopted six or more modules. As of October 31, 2020, 61% of our customer base had adopted four or more modules, 44% of our customer base had adopted five or more modules, and 22% of our customer base had adopted six or more modules.</w:t>
      </w:r>
    </w:p>
    <w:p>
      <w:pPr>
        <w:spacing w:after="0" w:line="92"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Professional services gross margin decreased by 7% for the three months ended October 31, 2021, compared to the three months ended October 31, 2020. The decrease in professional services gross margin was primarily due to decrease in utilization, higher employee-related expenses and higher stock-based compensation during the three months ended October 31, 2021 compared to the three months ended October 31, 2020, partially offset by growth in new services offerings that are not based on billable hours.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Sales and Marketing</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sales and marketing expenses for the three months ended October 31, 2021 as compared to the three months ended October 31, 2020 (in thousands, except percentage):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9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8"/>
              </w:rPr>
              <w:t>Three Months Ended October 31,</w:t>
            </w: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1"/>
              </w:rPr>
              <w:t>Change</w:t>
            </w: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87"/>
              </w:rPr>
              <w:t>Change</w:t>
            </w:r>
          </w:p>
        </w:tc>
      </w:tr>
      <w:tr>
        <w:trPr>
          <w:trHeight w:val="126"/>
        </w:trPr>
        <w:tc>
          <w:tcPr>
            <w:tcW w:w="492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06"/>
              <w:spacing w:after="0"/>
              <w:rPr>
                <w:sz w:val="20"/>
                <w:szCs w:val="20"/>
                <w:color w:val="auto"/>
              </w:rPr>
            </w:pPr>
            <w:r>
              <w:rPr>
                <w:rFonts w:ascii="Arial" w:cs="Arial" w:eastAsia="Arial" w:hAnsi="Arial"/>
                <w:sz w:val="10"/>
                <w:szCs w:val="10"/>
                <w:b w:val="1"/>
                <w:bCs w:val="1"/>
                <w:color w:val="auto"/>
                <w:w w:val="80"/>
              </w:rPr>
              <w:t>2020</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160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b w:val="1"/>
                <w:bCs w:val="1"/>
                <w:color w:val="auto"/>
              </w:rPr>
              <w:t>%</w:t>
            </w: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Sales and marketing expenses</w:t>
            </w: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164,960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105,602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59,358</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56 %</w:t>
            </w:r>
          </w:p>
        </w:tc>
      </w:tr>
    </w:tbl>
    <w:p>
      <w:pPr>
        <w:spacing w:after="0" w:line="189"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Sales and marketing expenses increased by $59.4 million, or 56%, for the three months ended October 31, 2021, compared to the three months ended October 31, 2020. The increase in sales and marketing expenses was primarily due to an increase in employee-related expenses of $26.6 million driven by an increase in sales and marketing average headcount of 36%, an increase in stock-based compensation of $12.7 million, an increase in marketing programs of $12.6 million, an increase in allocated overhead costs of $2.4 million, and an increase in employee health insurance costs of $0.6 million.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Research and Development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research and development expenses for the three months ended October 31, 2021 as compared to the three months ended October 31, 2020 (in thousands, except percentage):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9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Three Months Ended October 31,</w:t>
            </w: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1"/>
              </w:rPr>
              <w:t>Change</w:t>
            </w: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87"/>
              </w:rPr>
              <w:t>Change</w:t>
            </w:r>
          </w:p>
        </w:tc>
      </w:tr>
      <w:tr>
        <w:trPr>
          <w:trHeight w:val="126"/>
        </w:trPr>
        <w:tc>
          <w:tcPr>
            <w:tcW w:w="4920" w:type="dxa"/>
            <w:vAlign w:val="bottom"/>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06"/>
              <w:spacing w:after="0"/>
              <w:rPr>
                <w:sz w:val="20"/>
                <w:szCs w:val="20"/>
                <w:color w:val="auto"/>
              </w:rPr>
            </w:pPr>
            <w:r>
              <w:rPr>
                <w:rFonts w:ascii="Arial" w:cs="Arial" w:eastAsia="Arial" w:hAnsi="Arial"/>
                <w:sz w:val="10"/>
                <w:szCs w:val="10"/>
                <w:b w:val="1"/>
                <w:bCs w:val="1"/>
                <w:color w:val="auto"/>
                <w:w w:val="80"/>
              </w:rPr>
              <w:t>2020</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160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b w:val="1"/>
                <w:bCs w:val="1"/>
                <w:color w:val="auto"/>
              </w:rPr>
              <w:t>%</w:t>
            </w: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860" w:type="dxa"/>
            <w:vAlign w:val="bottom"/>
            <w:shd w:val="clear" w:color="auto" w:fill="CCEEFF"/>
          </w:tcPr>
          <w:p>
            <w:pPr>
              <w:jc w:val="right"/>
              <w:ind w:right="726"/>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97,630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57,539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40,091</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70 %</w:t>
            </w:r>
          </w:p>
        </w:tc>
      </w:tr>
    </w:tbl>
    <w:p>
      <w:pPr>
        <w:spacing w:after="0" w:line="198"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Research and development expenses increased by $40.1 million, or 70%, for the three months ended October 31, 2021, compared to the three months ended October 31, 2020. This increase was primarily due to an increase in employee-related expenses of $21.1 million driven by an increase in research and development average headcount of 60%, an increase in stock-based compensation of $15.6 million, an increase in allocated overhead costs of $2.6 million, and an increase in cloud hosting and related costs of $1.1 million, partially offset by an increase of $3.1 million in software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367665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40" w:name="page41"/>
    <w:bookmarkEnd w:id="40"/>
    <w:p>
      <w:pPr>
        <w:ind w:left="420"/>
        <w:spacing w:after="0"/>
        <w:rPr>
          <w:sz w:val="20"/>
          <w:szCs w:val="20"/>
          <w:color w:val="auto"/>
        </w:rPr>
      </w:pPr>
      <w:r>
        <w:rPr>
          <w:rFonts w:ascii="Arial" w:cs="Arial" w:eastAsia="Arial" w:hAnsi="Arial"/>
          <w:sz w:val="12"/>
          <w:szCs w:val="12"/>
          <w:i w:val="1"/>
          <w:iCs w:val="1"/>
          <w:color w:val="auto"/>
        </w:rPr>
        <w:t>General and Administrative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general and administrative expenses for the three months ended October 31, 2021 as compared to the three months ended October 31, 2020 (in thousands, except percentage):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1"/>
              </w:rPr>
              <w:t>Three Months Ended October 31,</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00" w:type="dxa"/>
            <w:vAlign w:val="bottom"/>
          </w:tcPr>
          <w:p>
            <w:pPr>
              <w:jc w:val="right"/>
              <w:ind w:right="168"/>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General and administrative expenses</w:t>
            </w:r>
          </w:p>
        </w:tc>
        <w:tc>
          <w:tcPr>
            <w:tcW w:w="1260" w:type="dxa"/>
            <w:vAlign w:val="bottom"/>
            <w:shd w:val="clear" w:color="auto" w:fill="CCEEFF"/>
          </w:tcPr>
          <w:p>
            <w:pPr>
              <w:jc w:val="right"/>
              <w:ind w:right="7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56,061</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31,951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2"/>
                <w:szCs w:val="12"/>
                <w:color w:val="auto"/>
              </w:rPr>
              <w:t>24,110</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208"/>
              <w:spacing w:after="0"/>
              <w:rPr>
                <w:sz w:val="20"/>
                <w:szCs w:val="20"/>
                <w:color w:val="auto"/>
              </w:rPr>
            </w:pPr>
            <w:r>
              <w:rPr>
                <w:rFonts w:ascii="Arial" w:cs="Arial" w:eastAsia="Arial" w:hAnsi="Arial"/>
                <w:sz w:val="12"/>
                <w:szCs w:val="12"/>
                <w:color w:val="auto"/>
              </w:rPr>
              <w:t>75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98" w:lineRule="exact"/>
        <w:rPr>
          <w:sz w:val="20"/>
          <w:szCs w:val="20"/>
          <w:color w:val="auto"/>
        </w:rPr>
      </w:pPr>
    </w:p>
    <w:p>
      <w:pPr>
        <w:ind w:right="40" w:firstLine="432"/>
        <w:spacing w:after="0" w:line="298" w:lineRule="auto"/>
        <w:rPr>
          <w:sz w:val="20"/>
          <w:szCs w:val="20"/>
          <w:color w:val="auto"/>
        </w:rPr>
      </w:pPr>
      <w:r>
        <w:rPr>
          <w:rFonts w:ascii="Arial" w:cs="Arial" w:eastAsia="Arial" w:hAnsi="Arial"/>
          <w:sz w:val="11"/>
          <w:szCs w:val="11"/>
          <w:color w:val="auto"/>
        </w:rPr>
        <w:t>General and administrative expenses increased by $24.1 million, or 75%, for the three months ended October 31, 2021, compared to the three months ended October 31, 2020. The increase in general and administrative expenses was primarily due to an increase in stock-based compensation expense of $14.1 million, an increase in employee-related expenses of $4.7 million driven by an increase in general and administrative average headcount of 44%, an increase in legal expense of $1.0 million, an increase in allocated overhead costs of $0.7 million, an increase in term-based software licenses of $0.6 million, and an increase in tax and licenses of $0.5 million.</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Interest Expense and Other Income, Net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Interest expense and Other income, net, for the three months ended October 31, 2021 as compared to the three months ended October 31, 2020 (in thousands, except percentages):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Three Months Ended October 31,</w:t>
            </w: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20" w:type="dxa"/>
            <w:vAlign w:val="bottom"/>
          </w:tcPr>
          <w:p>
            <w:pPr>
              <w:jc w:val="right"/>
              <w:ind w:right="166"/>
              <w:spacing w:after="0"/>
              <w:rPr>
                <w:sz w:val="20"/>
                <w:szCs w:val="20"/>
                <w:color w:val="auto"/>
              </w:rPr>
            </w:pPr>
            <w:r>
              <w:rPr>
                <w:rFonts w:ascii="Arial" w:cs="Arial" w:eastAsia="Arial" w:hAnsi="Arial"/>
                <w:sz w:val="10"/>
                <w:szCs w:val="10"/>
                <w:b w:val="1"/>
                <w:bCs w:val="1"/>
                <w:color w:val="auto"/>
              </w:rPr>
              <w:t>Change</w:t>
            </w:r>
          </w:p>
        </w:tc>
        <w:tc>
          <w:tcPr>
            <w:tcW w:w="34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806"/>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2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Interest expense</w:t>
            </w: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(6,210)</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3,218</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40" w:type="dxa"/>
            <w:vAlign w:val="bottom"/>
          </w:tcPr>
          <w:p>
            <w:pPr>
              <w:ind w:left="440"/>
              <w:spacing w:after="0"/>
              <w:rPr>
                <w:sz w:val="20"/>
                <w:szCs w:val="20"/>
                <w:color w:val="auto"/>
              </w:rPr>
            </w:pPr>
            <w:r>
              <w:rPr>
                <w:rFonts w:ascii="Arial" w:cs="Arial" w:eastAsia="Arial" w:hAnsi="Arial"/>
                <w:sz w:val="12"/>
                <w:szCs w:val="12"/>
                <w:color w:val="auto"/>
              </w:rPr>
              <w:t>Other income, net</w:t>
            </w: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690</w:t>
            </w:r>
          </w:p>
        </w:tc>
        <w:tc>
          <w:tcPr>
            <w:tcW w:w="80" w:type="dxa"/>
            <w:vAlign w:val="bottom"/>
          </w:tcPr>
          <w:p>
            <w:pPr>
              <w:spacing w:after="0"/>
              <w:rPr>
                <w:sz w:val="13"/>
                <w:szCs w:val="13"/>
                <w:color w:val="auto"/>
              </w:rPr>
            </w:pPr>
          </w:p>
        </w:tc>
        <w:tc>
          <w:tcPr>
            <w:tcW w:w="94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272</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6"/>
              <w:spacing w:after="0"/>
              <w:rPr>
                <w:sz w:val="20"/>
                <w:szCs w:val="20"/>
                <w:color w:val="auto"/>
              </w:rPr>
            </w:pPr>
            <w:r>
              <w:rPr>
                <w:rFonts w:ascii="Arial" w:cs="Arial" w:eastAsia="Arial" w:hAnsi="Arial"/>
                <w:sz w:val="12"/>
                <w:szCs w:val="12"/>
                <w:color w:val="auto"/>
              </w:rPr>
              <w:t>418</w:t>
            </w:r>
          </w:p>
        </w:tc>
        <w:tc>
          <w:tcPr>
            <w:tcW w:w="80" w:type="dxa"/>
            <w:vAlign w:val="bottom"/>
          </w:tcPr>
          <w:p>
            <w:pPr>
              <w:spacing w:after="0"/>
              <w:rPr>
                <w:sz w:val="13"/>
                <w:szCs w:val="13"/>
                <w:color w:val="auto"/>
              </w:rPr>
            </w:pPr>
          </w:p>
        </w:tc>
        <w:tc>
          <w:tcPr>
            <w:tcW w:w="1520" w:type="dxa"/>
            <w:vAlign w:val="bottom"/>
          </w:tcPr>
          <w:p>
            <w:pPr>
              <w:jc w:val="right"/>
              <w:ind w:right="186"/>
              <w:spacing w:after="0"/>
              <w:rPr>
                <w:sz w:val="20"/>
                <w:szCs w:val="20"/>
                <w:color w:val="auto"/>
              </w:rPr>
            </w:pPr>
            <w:r>
              <w:rPr>
                <w:rFonts w:ascii="Arial" w:cs="Arial" w:eastAsia="Arial" w:hAnsi="Arial"/>
                <w:sz w:val="12"/>
                <w:szCs w:val="12"/>
                <w:color w:val="auto"/>
              </w:rPr>
              <w:t>154</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Interest expense consists primarily of interest expense from the amortization of debt issuance costs, contractual interest expense and accretion of debt discount for our Senior Notes issued in January 2021.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change in other income, net, for the three months ended October 31, 2021 compared to the three months ended October 31, 2020, was primarily due an increase in interest income.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Provision for Income Taxes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the provision for income taxes for the three months ended October 31, 2021 as compared to the three months ended October 31, 2020 (in thousands, except percentage):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8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426"/>
              <w:spacing w:after="0"/>
              <w:rPr>
                <w:sz w:val="20"/>
                <w:szCs w:val="20"/>
                <w:color w:val="auto"/>
              </w:rPr>
            </w:pPr>
            <w:r>
              <w:rPr>
                <w:rFonts w:ascii="Arial" w:cs="Arial" w:eastAsia="Arial" w:hAnsi="Arial"/>
                <w:sz w:val="10"/>
                <w:szCs w:val="10"/>
                <w:b w:val="1"/>
                <w:bCs w:val="1"/>
                <w:color w:val="auto"/>
                <w:w w:val="90"/>
              </w:rPr>
              <w:t>Three Months Ended October 31,</w:t>
            </w: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40"/>
              <w:spacing w:after="0"/>
              <w:rPr>
                <w:sz w:val="20"/>
                <w:szCs w:val="20"/>
                <w:color w:val="auto"/>
              </w:rPr>
            </w:pPr>
            <w:r>
              <w:rPr>
                <w:rFonts w:ascii="Arial" w:cs="Arial" w:eastAsia="Arial" w:hAnsi="Arial"/>
                <w:sz w:val="10"/>
                <w:szCs w:val="10"/>
                <w:b w:val="1"/>
                <w:bCs w:val="1"/>
                <w:color w:val="auto"/>
              </w:rPr>
              <w:t>Change</w:t>
            </w:r>
          </w:p>
        </w:tc>
        <w:tc>
          <w:tcPr>
            <w:tcW w:w="1500" w:type="dxa"/>
            <w:vAlign w:val="bottom"/>
          </w:tcPr>
          <w:p>
            <w:pPr>
              <w:jc w:val="right"/>
              <w:ind w:right="168"/>
              <w:spacing w:after="0"/>
              <w:rPr>
                <w:sz w:val="20"/>
                <w:szCs w:val="20"/>
                <w:color w:val="auto"/>
              </w:rPr>
            </w:pPr>
            <w:r>
              <w:rPr>
                <w:rFonts w:ascii="Arial" w:cs="Arial" w:eastAsia="Arial" w:hAnsi="Arial"/>
                <w:sz w:val="10"/>
                <w:szCs w:val="10"/>
                <w:b w:val="1"/>
                <w:bCs w:val="1"/>
                <w:color w:val="auto"/>
              </w:rPr>
              <w:t>Change</w:t>
            </w:r>
          </w:p>
        </w:tc>
        <w:tc>
          <w:tcPr>
            <w:tcW w:w="340" w:type="dxa"/>
            <w:vAlign w:val="bottom"/>
          </w:tcPr>
          <w:p>
            <w:pPr>
              <w:spacing w:after="0"/>
              <w:rPr>
                <w:sz w:val="11"/>
                <w:szCs w:val="11"/>
                <w:color w:val="auto"/>
              </w:rPr>
            </w:pPr>
          </w:p>
        </w:tc>
      </w:tr>
      <w:tr>
        <w:trPr>
          <w:trHeight w:val="126"/>
        </w:trPr>
        <w:tc>
          <w:tcPr>
            <w:tcW w:w="3980" w:type="dxa"/>
            <w:vAlign w:val="bottom"/>
          </w:tcPr>
          <w:p>
            <w:pPr>
              <w:spacing w:after="0"/>
              <w:rPr>
                <w:sz w:val="10"/>
                <w:szCs w:val="10"/>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2020</w:t>
            </w: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15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auto"/>
            </w:tcBorders>
          </w:tcPr>
          <w:p>
            <w:pPr>
              <w:spacing w:after="0"/>
              <w:rPr>
                <w:sz w:val="10"/>
                <w:szCs w:val="10"/>
                <w:color w:val="auto"/>
              </w:rPr>
            </w:pPr>
          </w:p>
        </w:tc>
      </w:tr>
      <w:tr>
        <w:trPr>
          <w:trHeight w:val="162"/>
        </w:trPr>
        <w:tc>
          <w:tcPr>
            <w:tcW w:w="39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Provision for income taxes</w:t>
            </w:r>
          </w:p>
        </w:tc>
        <w:tc>
          <w:tcPr>
            <w:tcW w:w="1240" w:type="dxa"/>
            <w:vAlign w:val="bottom"/>
            <w:shd w:val="clear" w:color="auto" w:fill="CCEEFF"/>
          </w:tcPr>
          <w:p>
            <w:pPr>
              <w:jc w:val="right"/>
              <w:ind w:right="68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4,473</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66"/>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4,022</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88"/>
              <w:spacing w:after="0"/>
              <w:rPr>
                <w:sz w:val="20"/>
                <w:szCs w:val="20"/>
                <w:color w:val="auto"/>
              </w:rPr>
            </w:pPr>
            <w:r>
              <w:rPr>
                <w:rFonts w:ascii="Arial" w:cs="Arial" w:eastAsia="Arial" w:hAnsi="Arial"/>
                <w:sz w:val="12"/>
                <w:szCs w:val="12"/>
                <w:color w:val="auto"/>
              </w:rPr>
              <w:t>892</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98" w:lineRule="exact"/>
        <w:rPr>
          <w:sz w:val="20"/>
          <w:szCs w:val="20"/>
          <w:color w:val="auto"/>
        </w:rPr>
      </w:pPr>
    </w:p>
    <w:p>
      <w:pPr>
        <w:ind w:right="520" w:firstLine="432"/>
        <w:spacing w:after="0" w:line="276" w:lineRule="auto"/>
        <w:rPr>
          <w:sz w:val="20"/>
          <w:szCs w:val="20"/>
          <w:color w:val="auto"/>
        </w:rPr>
      </w:pPr>
      <w:r>
        <w:rPr>
          <w:rFonts w:ascii="Arial" w:cs="Arial" w:eastAsia="Arial" w:hAnsi="Arial"/>
          <w:sz w:val="12"/>
          <w:szCs w:val="12"/>
          <w:color w:val="auto"/>
        </w:rPr>
        <w:t>The increase in provision for income taxes of $4.0 million during the three months ended October 31, 2021 compared to the three months ended October 31, 2020 was primarily driven by pre-tax foreign earnings and withholding taxes related to customer payments in certain foreign jurisdictions in which we conduct business.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Comparison of the Nine Months Ended October 31, 2021 and 2020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The following shows total revenue from subscriptions and professional services for the nine months ended October 31, 2021 as compared to the nine months ended October 31, 2020 (in thousands, except percentages):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w w:val="96"/>
              </w:rPr>
              <w:t>Nine Months Ended October 31,</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right"/>
              <w:ind w:right="465"/>
              <w:spacing w:after="0"/>
              <w:rPr>
                <w:sz w:val="20"/>
                <w:szCs w:val="20"/>
                <w:color w:val="auto"/>
              </w:rPr>
            </w:pPr>
            <w:r>
              <w:rPr>
                <w:rFonts w:ascii="Arial" w:cs="Arial" w:eastAsia="Arial" w:hAnsi="Arial"/>
                <w:sz w:val="10"/>
                <w:szCs w:val="10"/>
                <w:b w:val="1"/>
                <w:bCs w:val="1"/>
                <w:color w:val="auto"/>
              </w:rPr>
              <w:t>Change</w:t>
            </w:r>
          </w:p>
        </w:tc>
        <w:tc>
          <w:tcPr>
            <w:tcW w:w="80" w:type="dxa"/>
            <w:vAlign w:val="bottom"/>
          </w:tcPr>
          <w:p>
            <w:pPr>
              <w:spacing w:after="0"/>
              <w:rPr>
                <w:sz w:val="11"/>
                <w:szCs w:val="11"/>
                <w:color w:val="auto"/>
              </w:rPr>
            </w:pPr>
          </w:p>
        </w:tc>
        <w:tc>
          <w:tcPr>
            <w:tcW w:w="1480" w:type="dxa"/>
            <w:vAlign w:val="bottom"/>
          </w:tcPr>
          <w:p>
            <w:pPr>
              <w:jc w:val="right"/>
              <w:ind w:right="172"/>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05"/>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w:t>
            </w:r>
          </w:p>
        </w:tc>
        <w:tc>
          <w:tcPr>
            <w:tcW w:w="1220" w:type="dxa"/>
            <w:vAlign w:val="bottom"/>
            <w:shd w:val="clear" w:color="auto" w:fill="CCEEFF"/>
          </w:tcPr>
          <w:p>
            <w:pPr>
              <w:jc w:val="right"/>
              <w:ind w:right="664"/>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954,094</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560,008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394,086</w:t>
            </w:r>
          </w:p>
        </w:tc>
        <w:tc>
          <w:tcPr>
            <w:tcW w:w="1560" w:type="dxa"/>
            <w:vAlign w:val="bottom"/>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70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Professional services</w:t>
            </w:r>
          </w:p>
        </w:tc>
        <w:tc>
          <w:tcPr>
            <w:tcW w:w="1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66,490</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49,501</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16,989</w:t>
            </w:r>
          </w:p>
        </w:tc>
        <w:tc>
          <w:tcPr>
            <w:tcW w:w="1560" w:type="dxa"/>
            <w:vAlign w:val="bottom"/>
            <w:tcBorders>
              <w:bottom w:val="single" w:sz="8" w:color="CCEEFF"/>
            </w:tcBorders>
            <w:gridSpan w:val="2"/>
          </w:tcPr>
          <w:p>
            <w:pPr>
              <w:jc w:val="right"/>
              <w:ind w:right="212"/>
              <w:spacing w:after="0"/>
              <w:rPr>
                <w:sz w:val="20"/>
                <w:szCs w:val="20"/>
                <w:color w:val="auto"/>
              </w:rPr>
            </w:pPr>
            <w:r>
              <w:rPr>
                <w:rFonts w:ascii="Arial" w:cs="Arial" w:eastAsia="Arial" w:hAnsi="Arial"/>
                <w:sz w:val="12"/>
                <w:szCs w:val="12"/>
                <w:color w:val="auto"/>
              </w:rPr>
              <w:t>34</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3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 revenue</w:t>
            </w:r>
          </w:p>
        </w:tc>
        <w:tc>
          <w:tcPr>
            <w:tcW w:w="122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1,020,584</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609,509</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411,075</w:t>
            </w:r>
          </w:p>
        </w:tc>
        <w:tc>
          <w:tcPr>
            <w:tcW w:w="1560" w:type="dxa"/>
            <w:vAlign w:val="bottom"/>
            <w:tcBorders>
              <w:bottom w:val="single" w:sz="8" w:color="CCEEFF"/>
            </w:tcBorders>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67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783"/>
        </w:trPr>
        <w:tc>
          <w:tcPr>
            <w:tcW w:w="39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41" w:name="page42"/>
    <w:bookmarkEnd w:id="41"/>
    <w:p>
      <w:pPr>
        <w:ind w:left="420"/>
        <w:spacing w:after="0"/>
        <w:rPr>
          <w:sz w:val="20"/>
          <w:szCs w:val="20"/>
          <w:color w:val="auto"/>
        </w:rPr>
      </w:pPr>
      <w:r>
        <w:rPr>
          <w:rFonts w:ascii="Arial" w:cs="Arial" w:eastAsia="Arial" w:hAnsi="Arial"/>
          <w:sz w:val="11"/>
          <w:szCs w:val="11"/>
          <w:color w:val="auto"/>
        </w:rPr>
        <w:t>Total revenue increased by $411.1 million, or 67%, for the nine months ended October 31, 2021, compared to the nine months ended October 31, 2020. Subscription revenue accounted for 93% of our total revenue for the</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nine months ended October 31, 2021, and 92% of our total revenue for the nine months ended October 31, 2020. Professional services revenue accounted for 7% of our total revenue for the nine months ended October 31, 2021, and 8%</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of our total revenue for the nine months ended October 31, 2020.</w:t>
      </w:r>
    </w:p>
    <w:p>
      <w:pPr>
        <w:spacing w:after="0" w:line="141" w:lineRule="exact"/>
        <w:rPr>
          <w:sz w:val="20"/>
          <w:szCs w:val="20"/>
          <w:color w:val="auto"/>
        </w:rPr>
      </w:pPr>
    </w:p>
    <w:p>
      <w:pPr>
        <w:ind w:right="60" w:firstLine="432"/>
        <w:spacing w:after="0" w:line="285" w:lineRule="auto"/>
        <w:rPr>
          <w:sz w:val="20"/>
          <w:szCs w:val="20"/>
          <w:color w:val="auto"/>
        </w:rPr>
      </w:pPr>
      <w:r>
        <w:rPr>
          <w:rFonts w:ascii="Arial" w:cs="Arial" w:eastAsia="Arial" w:hAnsi="Arial"/>
          <w:sz w:val="11"/>
          <w:szCs w:val="11"/>
          <w:color w:val="auto"/>
        </w:rPr>
        <w:t>Subscription revenue increased by $394.1 million, or 70%, for the nine months ended October 31, 2021, compared to the nine months ended October 31, 2020. This increase was primarily attributable to the addition of new subscription customers, as we increased our customer base by 75% from 8,416 subscription customers as of October 31, 2020 to 14,687 subscription customers as of October 31, 2021. Subscription revenue from new customers, subscription revenue from the renewal of existing customers, and subscription revenue from the sale of additional endpoints and additional modules to existing customers accounted for 35%, 41%, and 24% of total subscription revenue for the nine months ended October 31, 2021, respectively. Subscription revenue from new customers, subscription revenue from the renewal of existing customers, and subscription revenue from the sale of additional endpoints and additional modules to existing customers accounted for 33%, 35%, and 32% of total subscription revenue for the nine months ended October 31, 2020, respectively.</w:t>
      </w:r>
    </w:p>
    <w:p>
      <w:pPr>
        <w:spacing w:after="0" w:line="113"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Professional services revenue increased by $17.0 million, or 34%, for the nine months ended October 31, 2021, compared to the nine months ended October 31, 2020, which was primarily attributable to an increase in the number of professional service hours performed and increase in services offerings that are not based on billable hours.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Cost of Revenue, Gross Profit, and Gross Margin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following shows cost of revenue related to subscriptions and professional services for the nine months ended October 31, 2021 as compared to the nine months ended October 31, 2020 (in thousands,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w w:val="92"/>
              </w:rPr>
              <w:t>Nine Months Ended October 31,</w:t>
            </w: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right"/>
              <w:ind w:right="445"/>
              <w:spacing w:after="0"/>
              <w:rPr>
                <w:sz w:val="20"/>
                <w:szCs w:val="20"/>
                <w:color w:val="auto"/>
              </w:rPr>
            </w:pPr>
            <w:r>
              <w:rPr>
                <w:rFonts w:ascii="Arial" w:cs="Arial" w:eastAsia="Arial" w:hAnsi="Arial"/>
                <w:sz w:val="10"/>
                <w:szCs w:val="10"/>
                <w:b w:val="1"/>
                <w:bCs w:val="1"/>
                <w:color w:val="auto"/>
              </w:rPr>
              <w:t>Change</w:t>
            </w:r>
          </w:p>
        </w:tc>
        <w:tc>
          <w:tcPr>
            <w:tcW w:w="80" w:type="dxa"/>
            <w:vAlign w:val="bottom"/>
          </w:tcPr>
          <w:p>
            <w:pPr>
              <w:spacing w:after="0"/>
              <w:rPr>
                <w:sz w:val="11"/>
                <w:szCs w:val="11"/>
                <w:color w:val="auto"/>
              </w:rPr>
            </w:pPr>
          </w:p>
        </w:tc>
        <w:tc>
          <w:tcPr>
            <w:tcW w:w="1500" w:type="dxa"/>
            <w:vAlign w:val="bottom"/>
          </w:tcPr>
          <w:p>
            <w:pPr>
              <w:jc w:val="right"/>
              <w:ind w:right="172"/>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05"/>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Subscription</w:t>
            </w:r>
          </w:p>
        </w:tc>
        <w:tc>
          <w:tcPr>
            <w:tcW w:w="126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226,360</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130,864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95,496</w:t>
            </w:r>
          </w:p>
        </w:tc>
        <w:tc>
          <w:tcPr>
            <w:tcW w:w="1580" w:type="dxa"/>
            <w:vAlign w:val="bottom"/>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73</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Professional services</w:t>
            </w:r>
          </w:p>
        </w:tc>
        <w:tc>
          <w:tcPr>
            <w:tcW w:w="1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44,241</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31,949</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12,292</w:t>
            </w:r>
          </w:p>
        </w:tc>
        <w:tc>
          <w:tcPr>
            <w:tcW w:w="1580" w:type="dxa"/>
            <w:vAlign w:val="bottom"/>
            <w:tcBorders>
              <w:bottom w:val="single" w:sz="8" w:color="CCEEFF"/>
            </w:tcBorders>
            <w:gridSpan w:val="2"/>
          </w:tcPr>
          <w:p>
            <w:pPr>
              <w:jc w:val="right"/>
              <w:ind w:right="212"/>
              <w:spacing w:after="0"/>
              <w:rPr>
                <w:sz w:val="20"/>
                <w:szCs w:val="20"/>
                <w:color w:val="auto"/>
              </w:rPr>
            </w:pPr>
            <w:r>
              <w:rPr>
                <w:rFonts w:ascii="Arial" w:cs="Arial" w:eastAsia="Arial" w:hAnsi="Arial"/>
                <w:sz w:val="12"/>
                <w:szCs w:val="12"/>
                <w:color w:val="auto"/>
              </w:rPr>
              <w:t>38</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3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 cost of revenue</w:t>
            </w:r>
          </w:p>
        </w:tc>
        <w:tc>
          <w:tcPr>
            <w:tcW w:w="126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270,601</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162,813</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107,788</w:t>
            </w:r>
          </w:p>
        </w:tc>
        <w:tc>
          <w:tcPr>
            <w:tcW w:w="1580" w:type="dxa"/>
            <w:vAlign w:val="bottom"/>
            <w:tcBorders>
              <w:bottom w:val="single" w:sz="8" w:color="CCEEFF"/>
            </w:tcBorders>
            <w:gridSpan w:val="2"/>
            <w:shd w:val="clear" w:color="auto" w:fill="CCEEFF"/>
          </w:tcPr>
          <w:p>
            <w:pPr>
              <w:jc w:val="right"/>
              <w:ind w:right="212"/>
              <w:spacing w:after="0"/>
              <w:rPr>
                <w:sz w:val="20"/>
                <w:szCs w:val="20"/>
                <w:color w:val="auto"/>
              </w:rPr>
            </w:pPr>
            <w:r>
              <w:rPr>
                <w:rFonts w:ascii="Arial" w:cs="Arial" w:eastAsia="Arial" w:hAnsi="Arial"/>
                <w:sz w:val="12"/>
                <w:szCs w:val="12"/>
                <w:color w:val="auto"/>
              </w:rPr>
              <w:t>66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07"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auto"/>
        </w:rPr>
        <w:t>Total cost of revenue increased by $107.8 million, or 66%, for the nine months ended October 31, 2021, compared to the nine months ended October 31, 2020. Subscription cost of revenue increased by $95.5 million, or 73%, for the nine months ended October 31, 2021, compared to the nine months ended October 31, 2020. The increase in subscription cost of revenue was primarily due to an increase in cloud hosting and related services of $38.0 million driven by increased customer activity, an increase in employee-related expenses of $28.4 million driven by a 54% increase in average headcount, an increase in stock-based compensation expense of $7.7 million, an increase in amortization of intangible assets of $7.2 million, an increase in depreciation of data center equipment of $5.7 million, an increase in allocated overhead costs of $3.5 million, an increase in depreciation of internal use software of $2.7 million, and an increase in employee health insurance costs of $1.4 million.</w:t>
      </w:r>
    </w:p>
    <w:p>
      <w:pPr>
        <w:spacing w:after="0" w:line="128" w:lineRule="exact"/>
        <w:rPr>
          <w:sz w:val="20"/>
          <w:szCs w:val="20"/>
          <w:color w:val="auto"/>
        </w:rPr>
      </w:pPr>
    </w:p>
    <w:p>
      <w:pPr>
        <w:ind w:right="280" w:firstLine="432"/>
        <w:spacing w:after="0" w:line="263" w:lineRule="auto"/>
        <w:rPr>
          <w:sz w:val="20"/>
          <w:szCs w:val="20"/>
          <w:color w:val="auto"/>
        </w:rPr>
      </w:pPr>
      <w:r>
        <w:rPr>
          <w:rFonts w:ascii="Arial" w:cs="Arial" w:eastAsia="Arial" w:hAnsi="Arial"/>
          <w:sz w:val="12"/>
          <w:szCs w:val="12"/>
          <w:color w:val="auto"/>
        </w:rPr>
        <w:t>Professional services cost of revenue increased by $12.3 million, or 38%, for the nine months ended October 31, 2021, compared to the nine months ended October 31, 2020. The increase in professional services cost of revenue was primarily due to an increase in employee-related expenses of $7.4 million driven by an increase in average headcount of 45%, an increase in stock-based compensation expense of $3.0 million, an increase in employee health insurance costs of $0.5 million, and an increase in allocated overhead costs of $0.5 million.</w:t>
      </w:r>
    </w:p>
    <w:p>
      <w:pPr>
        <w:spacing w:after="0" w:line="122"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The following shows gross profit and gross margin for subscriptions and professional services for the nine months ended October 31, 2021 as compared to the nine months ended October 31, 2020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9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7"/>
              </w:rPr>
              <w:t>Nine Months Ended October 31,</w:t>
            </w: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545"/>
              <w:spacing w:after="0"/>
              <w:rPr>
                <w:sz w:val="20"/>
                <w:szCs w:val="20"/>
                <w:color w:val="auto"/>
              </w:rPr>
            </w:pPr>
            <w:r>
              <w:rPr>
                <w:rFonts w:ascii="Arial" w:cs="Arial" w:eastAsia="Arial" w:hAnsi="Arial"/>
                <w:sz w:val="10"/>
                <w:szCs w:val="10"/>
                <w:b w:val="1"/>
                <w:bCs w:val="1"/>
                <w:color w:val="auto"/>
              </w:rPr>
              <w:t>Change</w:t>
            </w:r>
          </w:p>
        </w:tc>
        <w:tc>
          <w:tcPr>
            <w:tcW w:w="100" w:type="dxa"/>
            <w:vAlign w:val="bottom"/>
          </w:tcPr>
          <w:p>
            <w:pPr>
              <w:spacing w:after="0"/>
              <w:rPr>
                <w:sz w:val="11"/>
                <w:szCs w:val="11"/>
                <w:color w:val="auto"/>
              </w:rPr>
            </w:pPr>
          </w:p>
        </w:tc>
        <w:tc>
          <w:tcPr>
            <w:tcW w:w="1600" w:type="dxa"/>
            <w:vAlign w:val="bottom"/>
          </w:tcPr>
          <w:p>
            <w:pPr>
              <w:jc w:val="right"/>
              <w:ind w:right="592"/>
              <w:spacing w:after="0"/>
              <w:rPr>
                <w:sz w:val="20"/>
                <w:szCs w:val="20"/>
                <w:color w:val="auto"/>
              </w:rPr>
            </w:pPr>
            <w:r>
              <w:rPr>
                <w:rFonts w:ascii="Arial" w:cs="Arial" w:eastAsia="Arial" w:hAnsi="Arial"/>
                <w:sz w:val="10"/>
                <w:szCs w:val="10"/>
                <w:b w:val="1"/>
                <w:bCs w:val="1"/>
                <w:color w:val="auto"/>
              </w:rPr>
              <w:t>Change</w:t>
            </w:r>
          </w:p>
        </w:tc>
      </w:tr>
      <w:tr>
        <w:trPr>
          <w:trHeight w:val="135"/>
        </w:trPr>
        <w:tc>
          <w:tcPr>
            <w:tcW w:w="4920" w:type="dxa"/>
            <w:vAlign w:val="bottom"/>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w w:val="89"/>
              </w:rPr>
              <w:t>2020</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6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1600" w:type="dxa"/>
            <w:vAlign w:val="bottom"/>
            <w:tcBorders>
              <w:bottom w:val="single" w:sz="8" w:color="auto"/>
            </w:tcBorders>
          </w:tcPr>
          <w:p>
            <w:pPr>
              <w:jc w:val="right"/>
              <w:ind w:right="712"/>
              <w:spacing w:after="0"/>
              <w:rPr>
                <w:sz w:val="20"/>
                <w:szCs w:val="20"/>
                <w:color w:val="auto"/>
              </w:rPr>
            </w:pPr>
            <w:r>
              <w:rPr>
                <w:rFonts w:ascii="Arial" w:cs="Arial" w:eastAsia="Arial" w:hAnsi="Arial"/>
                <w:sz w:val="10"/>
                <w:szCs w:val="10"/>
                <w:b w:val="1"/>
                <w:bCs w:val="1"/>
                <w:color w:val="auto"/>
              </w:rPr>
              <w:t>%</w:t>
            </w: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Subscription gross profit</w:t>
            </w: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727,734</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429,144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298,590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70 %</w:t>
            </w:r>
          </w:p>
        </w:tc>
      </w:tr>
      <w:tr>
        <w:trPr>
          <w:trHeight w:val="153"/>
        </w:trPr>
        <w:tc>
          <w:tcPr>
            <w:tcW w:w="4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Professional services gross profit</w:t>
            </w:r>
          </w:p>
        </w:tc>
        <w:tc>
          <w:tcPr>
            <w:tcW w:w="8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22,249</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17,552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4,697</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27 %</w:t>
            </w:r>
          </w:p>
        </w:tc>
      </w:tr>
      <w:tr>
        <w:trPr>
          <w:trHeight w:val="158"/>
        </w:trPr>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gross profit</w:t>
            </w:r>
          </w:p>
        </w:tc>
        <w:tc>
          <w:tcPr>
            <w:tcW w:w="86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749,983</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446,696</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303,287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68 %</w:t>
            </w:r>
          </w:p>
        </w:tc>
      </w:tr>
      <w:tr>
        <w:trPr>
          <w:trHeight w:val="819"/>
        </w:trPr>
        <w:tc>
          <w:tcPr>
            <w:tcW w:w="49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27"/>
        </w:trPr>
        <w:tc>
          <w:tcPr>
            <w:tcW w:w="63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88"/>
              </w:rPr>
              <w:t>Nine Months Ended October 31,</w:t>
            </w: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right"/>
              <w:ind w:right="585"/>
              <w:spacing w:after="0"/>
              <w:rPr>
                <w:sz w:val="20"/>
                <w:szCs w:val="20"/>
                <w:color w:val="auto"/>
              </w:rPr>
            </w:pPr>
            <w:r>
              <w:rPr>
                <w:rFonts w:ascii="Arial" w:cs="Arial" w:eastAsia="Arial" w:hAnsi="Arial"/>
                <w:sz w:val="10"/>
                <w:szCs w:val="10"/>
                <w:b w:val="1"/>
                <w:bCs w:val="1"/>
                <w:color w:val="auto"/>
              </w:rPr>
              <w:t>Change</w:t>
            </w:r>
          </w:p>
        </w:tc>
      </w:tr>
      <w:tr>
        <w:trPr>
          <w:trHeight w:val="127"/>
        </w:trPr>
        <w:tc>
          <w:tcPr>
            <w:tcW w:w="63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right"/>
              <w:ind w:right="685"/>
              <w:spacing w:after="0"/>
              <w:rPr>
                <w:sz w:val="20"/>
                <w:szCs w:val="20"/>
                <w:color w:val="auto"/>
              </w:rPr>
            </w:pPr>
            <w:r>
              <w:rPr>
                <w:rFonts w:ascii="Arial" w:cs="Arial" w:eastAsia="Arial" w:hAnsi="Arial"/>
                <w:sz w:val="10"/>
                <w:szCs w:val="10"/>
                <w:b w:val="1"/>
                <w:bCs w:val="1"/>
                <w:color w:val="auto"/>
              </w:rPr>
              <w:t>%</w:t>
            </w:r>
          </w:p>
        </w:tc>
      </w:tr>
      <w:tr>
        <w:trPr>
          <w:trHeight w:val="143"/>
        </w:trPr>
        <w:tc>
          <w:tcPr>
            <w:tcW w:w="7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Subscription gross margin</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76 %</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77 %</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6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Professional services gross margin</w:t>
            </w: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33 %</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35 %</w:t>
            </w: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w:t>
            </w:r>
          </w:p>
        </w:tc>
      </w:tr>
      <w:tr>
        <w:trPr>
          <w:trHeight w:val="158"/>
        </w:trPr>
        <w:tc>
          <w:tcPr>
            <w:tcW w:w="6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gross margin</w:t>
            </w:r>
          </w:p>
        </w:tc>
        <w:tc>
          <w:tcPr>
            <w:tcW w:w="9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73 %</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73 %</w:t>
            </w:r>
          </w:p>
        </w:tc>
        <w:tc>
          <w:tcPr>
            <w:tcW w:w="10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 %</w:t>
            </w:r>
          </w:p>
        </w:tc>
      </w:tr>
    </w:tbl>
    <w:p>
      <w:pPr>
        <w:spacing w:after="0" w:line="2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Subscription gross margin decreased slightly for the nine months ended October 31, 2021, compared to the nine months ended October 31, 2020. The decrease in subscription gross margin was primarily due to higher intangibles amortization resulting from acquisitions and higher stock-based compensation expense during the nine months ended October 31, 2021, compared to the nine months ended October 31, 2020. This was partially offset by the continued shift of our operations from third-party cloud service providers to colocation data centers, continued optimization of our software development and our cloud database systems and continued expansion of module adoption by our customer base.</w:t>
      </w:r>
    </w:p>
    <w:p>
      <w:pPr>
        <w:spacing w:after="0" w:line="124"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Professional services gross margin decreased slightly for the nine months ended October 31, 2021, compared to the nine months ended October 31, 2020. The decrease in professional services gross margin was primarily due to decrease in utilization, higher employee-related expenses and higher stock-based compensation during the nine months ended October 31, 2021, compared to the nine months ended October 31, 2020, partially offset by growth in new services offerings that are not based on billable hours.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Sales and Marketing</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sales and marketing expenses for the nine months ended October 31, 2021 as compared to the nine months ended October 31, 2020 (in thousands, except percentage):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Nine Months Ended October 31,</w:t>
            </w: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00" w:type="dxa"/>
            <w:vAlign w:val="bottom"/>
          </w:tcPr>
          <w:p>
            <w:pPr>
              <w:jc w:val="right"/>
              <w:ind w:right="168"/>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26"/>
        </w:trPr>
        <w:tc>
          <w:tcPr>
            <w:tcW w:w="39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8"/>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0"/>
                <w:szCs w:val="10"/>
                <w:color w:val="auto"/>
              </w:rPr>
            </w:pPr>
          </w:p>
        </w:tc>
      </w:tr>
      <w:tr>
        <w:trPr>
          <w:trHeight w:val="162"/>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Sales and marketing expenses</w:t>
            </w: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453,952</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288,867</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2"/>
                <w:szCs w:val="12"/>
                <w:color w:val="auto"/>
              </w:rPr>
              <w:t>165,085</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208"/>
              <w:spacing w:after="0"/>
              <w:rPr>
                <w:sz w:val="20"/>
                <w:szCs w:val="20"/>
                <w:color w:val="auto"/>
              </w:rPr>
            </w:pPr>
            <w:r>
              <w:rPr>
                <w:rFonts w:ascii="Arial" w:cs="Arial" w:eastAsia="Arial" w:hAnsi="Arial"/>
                <w:sz w:val="12"/>
                <w:szCs w:val="12"/>
                <w:color w:val="auto"/>
              </w:rPr>
              <w:t>57</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89" w:lineRule="exact"/>
        <w:rPr>
          <w:sz w:val="20"/>
          <w:szCs w:val="20"/>
          <w:color w:val="auto"/>
        </w:rPr>
      </w:pPr>
    </w:p>
    <w:p>
      <w:pPr>
        <w:ind w:right="200" w:firstLine="432"/>
        <w:spacing w:after="0" w:line="340" w:lineRule="auto"/>
        <w:rPr>
          <w:sz w:val="20"/>
          <w:szCs w:val="20"/>
          <w:color w:val="auto"/>
        </w:rPr>
      </w:pPr>
      <w:r>
        <w:rPr>
          <w:rFonts w:ascii="Arial" w:cs="Arial" w:eastAsia="Arial" w:hAnsi="Arial"/>
          <w:sz w:val="10"/>
          <w:szCs w:val="10"/>
          <w:color w:val="auto"/>
        </w:rPr>
        <w:t>Sales and marketing expenses increased by $165.1 million, or 57%, for the nine months ended October 31, 2021, compared to the nine months ended October 31, 2020. The increase in sales and marketing expenses was primarily due to an increase in employee-related expenses of $82.7 million driven by an increase in sales and marketing average headcount of 34%, an increase in stock-based compensation of $33.1 million, an increase in marketing programs of $32.6 million, an increase in allocated overhead costs of $5.6 million and an increase in employee health insurance costs of $2.7 million, partially offset by a decrease in company events expenses of $3.0 million.</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Research and Development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research and development expenses for the nine months ended October 31, 2021 as compared to the nine months ended October 31, 2020 (in thousands, except percentage):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9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7"/>
              </w:rPr>
              <w:t>Nine Months Ended October 31,</w:t>
            </w: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1"/>
              </w:rPr>
              <w:t>Change</w:t>
            </w: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87"/>
              </w:rPr>
              <w:t>Change</w:t>
            </w:r>
          </w:p>
        </w:tc>
      </w:tr>
      <w:tr>
        <w:trPr>
          <w:trHeight w:val="126"/>
        </w:trPr>
        <w:tc>
          <w:tcPr>
            <w:tcW w:w="4920" w:type="dxa"/>
            <w:vAlign w:val="bottom"/>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606"/>
              <w:spacing w:after="0"/>
              <w:rPr>
                <w:sz w:val="20"/>
                <w:szCs w:val="20"/>
                <w:color w:val="auto"/>
              </w:rPr>
            </w:pPr>
            <w:r>
              <w:rPr>
                <w:rFonts w:ascii="Arial" w:cs="Arial" w:eastAsia="Arial" w:hAnsi="Arial"/>
                <w:sz w:val="10"/>
                <w:szCs w:val="10"/>
                <w:b w:val="1"/>
                <w:bCs w:val="1"/>
                <w:color w:val="auto"/>
                <w:w w:val="89"/>
              </w:rPr>
              <w:t>2020</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160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b w:val="1"/>
                <w:bCs w:val="1"/>
                <w:color w:val="auto"/>
              </w:rPr>
              <w:t>%</w:t>
            </w: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266,265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148,600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117,665</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79 %</w:t>
            </w:r>
          </w:p>
        </w:tc>
      </w:tr>
    </w:tbl>
    <w:p>
      <w:pPr>
        <w:spacing w:after="0" w:line="19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Research and development expenses increased by $117.7 million, or 79%, for the nine months ended October 31, 2021, compared to the nine months ended October 31, 2020. This increase was primarily due to an increase in employee-related expenses of $61.3 million driven by an increase in research and development average headcount of 59%, an increase in stock-based compensation of $45.2 million, an increase in allocated overhead costs of $6.7 million, an increase in cloud hosting and related costs of $3.8 million, an increase in employee health insurance of $2.1 million, and an increase in software licenses of $1.8 million, partially offset by an increase in software capitalization of $7.9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368935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43" w:name="page44"/>
    <w:bookmarkEnd w:id="43"/>
    <w:p>
      <w:pPr>
        <w:ind w:left="420"/>
        <w:spacing w:after="0"/>
        <w:rPr>
          <w:sz w:val="20"/>
          <w:szCs w:val="20"/>
          <w:color w:val="auto"/>
        </w:rPr>
      </w:pPr>
      <w:r>
        <w:rPr>
          <w:rFonts w:ascii="Arial" w:cs="Arial" w:eastAsia="Arial" w:hAnsi="Arial"/>
          <w:sz w:val="12"/>
          <w:szCs w:val="12"/>
          <w:i w:val="1"/>
          <w:iCs w:val="1"/>
          <w:color w:val="auto"/>
        </w:rPr>
        <w:t>General and Administrative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general and administrative expenses for the nine months ended October 31, 2021 as compared to the nine months ended October 31, 2020 (in thousands, except percentage):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Nine Months Ended October 31,</w:t>
            </w: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00" w:type="dxa"/>
            <w:vAlign w:val="bottom"/>
          </w:tcPr>
          <w:p>
            <w:pPr>
              <w:jc w:val="right"/>
              <w:ind w:right="168"/>
              <w:spacing w:after="0"/>
              <w:rPr>
                <w:sz w:val="20"/>
                <w:szCs w:val="20"/>
                <w:color w:val="auto"/>
              </w:rPr>
            </w:pPr>
            <w:r>
              <w:rPr>
                <w:rFonts w:ascii="Arial" w:cs="Arial" w:eastAsia="Arial" w:hAnsi="Arial"/>
                <w:sz w:val="10"/>
                <w:szCs w:val="10"/>
                <w:b w:val="1"/>
                <w:bCs w:val="1"/>
                <w:color w:val="auto"/>
              </w:rPr>
              <w:t>Change</w:t>
            </w:r>
          </w:p>
        </w:tc>
        <w:tc>
          <w:tcPr>
            <w:tcW w:w="32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08"/>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General and administrative expenses</w:t>
            </w: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148,780</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85,955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2"/>
                <w:szCs w:val="12"/>
                <w:color w:val="auto"/>
              </w:rPr>
              <w:t>62,825</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208"/>
              <w:spacing w:after="0"/>
              <w:rPr>
                <w:sz w:val="20"/>
                <w:szCs w:val="20"/>
                <w:color w:val="auto"/>
              </w:rPr>
            </w:pPr>
            <w:r>
              <w:rPr>
                <w:rFonts w:ascii="Arial" w:cs="Arial" w:eastAsia="Arial" w:hAnsi="Arial"/>
                <w:sz w:val="12"/>
                <w:szCs w:val="12"/>
                <w:color w:val="auto"/>
              </w:rPr>
              <w:t>73</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98"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General and administrative expenses increased by $62.8 million, or 73%, for the nine months ended October 31, 2021, compared to the nine months ended October 31, 2020. The increase in general and administrative expenses was primarily due to an increase in stock-based compensation expense of $26.3 million, an increase in employee-related expenses of $14.2 million driven by an increase in general and administrative average headcount of 39%, an increase in consulting expense of $7.9 million primarily due to acquisition related expenses, an increase in legal expense of $2.5 million, an increase in software licenses of $1.8 million, an increase in allocated overhead costs of $1.6 million, and an increase in tax and license of $1.3 million.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Interest Expense and Other Income, Net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Interest expense and Other income, net, for the nine months ended October 31, 2021 as compared to the nine months ended October 31, 2020 (in thousands, except percentages):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ind w:left="600"/>
              <w:spacing w:after="0"/>
              <w:rPr>
                <w:sz w:val="20"/>
                <w:szCs w:val="20"/>
                <w:color w:val="auto"/>
              </w:rPr>
            </w:pPr>
            <w:r>
              <w:rPr>
                <w:rFonts w:ascii="Arial" w:cs="Arial" w:eastAsia="Arial" w:hAnsi="Arial"/>
                <w:sz w:val="10"/>
                <w:szCs w:val="10"/>
                <w:b w:val="1"/>
                <w:bCs w:val="1"/>
                <w:color w:val="auto"/>
                <w:w w:val="91"/>
              </w:rPr>
              <w:t>Nine Months Ended October 31,</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20" w:type="dxa"/>
            <w:vAlign w:val="bottom"/>
          </w:tcPr>
          <w:p>
            <w:pPr>
              <w:jc w:val="right"/>
              <w:ind w:right="166"/>
              <w:spacing w:after="0"/>
              <w:rPr>
                <w:sz w:val="20"/>
                <w:szCs w:val="20"/>
                <w:color w:val="auto"/>
              </w:rPr>
            </w:pPr>
            <w:r>
              <w:rPr>
                <w:rFonts w:ascii="Arial" w:cs="Arial" w:eastAsia="Arial" w:hAnsi="Arial"/>
                <w:sz w:val="10"/>
                <w:szCs w:val="10"/>
                <w:b w:val="1"/>
                <w:bCs w:val="1"/>
                <w:color w:val="auto"/>
              </w:rPr>
              <w:t>Change</w:t>
            </w:r>
          </w:p>
        </w:tc>
        <w:tc>
          <w:tcPr>
            <w:tcW w:w="340" w:type="dxa"/>
            <w:vAlign w:val="bottom"/>
          </w:tcPr>
          <w:p>
            <w:pPr>
              <w:spacing w:after="0"/>
              <w:rPr>
                <w:sz w:val="11"/>
                <w:szCs w:val="11"/>
                <w:color w:val="auto"/>
              </w:rPr>
            </w:pPr>
          </w:p>
        </w:tc>
      </w:tr>
      <w:tr>
        <w:trPr>
          <w:trHeight w:val="126"/>
        </w:trPr>
        <w:tc>
          <w:tcPr>
            <w:tcW w:w="39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06"/>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2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auto"/>
            </w:tcBorders>
          </w:tcPr>
          <w:p>
            <w:pPr>
              <w:spacing w:after="0"/>
              <w:rPr>
                <w:sz w:val="10"/>
                <w:szCs w:val="10"/>
                <w:color w:val="auto"/>
              </w:rPr>
            </w:pPr>
          </w:p>
        </w:tc>
      </w:tr>
      <w:tr>
        <w:trPr>
          <w:trHeight w:val="162"/>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Interest expense</w:t>
            </w: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ind w:left="600"/>
              <w:spacing w:after="0"/>
              <w:rPr>
                <w:sz w:val="20"/>
                <w:szCs w:val="20"/>
                <w:color w:val="auto"/>
              </w:rPr>
            </w:pPr>
            <w:r>
              <w:rPr>
                <w:rFonts w:ascii="Arial" w:cs="Arial" w:eastAsia="Arial" w:hAnsi="Arial"/>
                <w:sz w:val="12"/>
                <w:szCs w:val="12"/>
                <w:color w:val="auto"/>
                <w:w w:val="89"/>
              </w:rPr>
              <w:t>(18,929)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(18,419)</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3,612</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900" w:type="dxa"/>
            <w:vAlign w:val="bottom"/>
          </w:tcPr>
          <w:p>
            <w:pPr>
              <w:ind w:left="440"/>
              <w:spacing w:after="0"/>
              <w:rPr>
                <w:sz w:val="20"/>
                <w:szCs w:val="20"/>
                <w:color w:val="auto"/>
              </w:rPr>
            </w:pPr>
            <w:r>
              <w:rPr>
                <w:rFonts w:ascii="Arial" w:cs="Arial" w:eastAsia="Arial" w:hAnsi="Arial"/>
                <w:sz w:val="12"/>
                <w:szCs w:val="12"/>
                <w:color w:val="auto"/>
              </w:rPr>
              <w:t>Other income, net</w:t>
            </w: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6,077</w:t>
            </w:r>
          </w:p>
        </w:tc>
        <w:tc>
          <w:tcPr>
            <w:tcW w:w="80" w:type="dxa"/>
            <w:vAlign w:val="bottom"/>
          </w:tcPr>
          <w:p>
            <w:pPr>
              <w:spacing w:after="0"/>
              <w:rPr>
                <w:sz w:val="13"/>
                <w:szCs w:val="13"/>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5,537</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540</w:t>
            </w:r>
          </w:p>
        </w:tc>
        <w:tc>
          <w:tcPr>
            <w:tcW w:w="80" w:type="dxa"/>
            <w:vAlign w:val="bottom"/>
          </w:tcPr>
          <w:p>
            <w:pPr>
              <w:spacing w:after="0"/>
              <w:rPr>
                <w:sz w:val="13"/>
                <w:szCs w:val="13"/>
                <w:color w:val="auto"/>
              </w:rPr>
            </w:pPr>
          </w:p>
        </w:tc>
        <w:tc>
          <w:tcPr>
            <w:tcW w:w="1520" w:type="dxa"/>
            <w:vAlign w:val="bottom"/>
          </w:tcPr>
          <w:p>
            <w:pPr>
              <w:jc w:val="right"/>
              <w:ind w:right="186"/>
              <w:spacing w:after="0"/>
              <w:rPr>
                <w:sz w:val="20"/>
                <w:szCs w:val="20"/>
                <w:color w:val="auto"/>
              </w:rPr>
            </w:pPr>
            <w:r>
              <w:rPr>
                <w:rFonts w:ascii="Arial" w:cs="Arial" w:eastAsia="Arial" w:hAnsi="Arial"/>
                <w:sz w:val="12"/>
                <w:szCs w:val="12"/>
                <w:color w:val="auto"/>
              </w:rPr>
              <w:t>10</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Interest expense consists primarily of interest expense from the amortization of debt issuance costs, contractual interest expense and accretion of debt discount for our Senior Notes issued in January 2021.</w:t>
      </w:r>
    </w:p>
    <w:p>
      <w:pPr>
        <w:spacing w:after="0" w:line="150"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The change in other income, net, for the nine months ended October 31, 2021 compared to the nine months ended October 31, 2020, was primarily due to the fair value adjustments for our strategic investments, partially offset by a decrease in interest income, no realized gains from investment in fiscal year 2022 and fluctuations in foreign currency transaction gains and losses.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Provision for Income Taxes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shows the provision for income taxes for the nine months ended October 31, 2021 as compared to the nine months ended October 31, 2020 (in thousands, except percentage):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Nine Months Ended October 31,</w:t>
            </w: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60"/>
              <w:spacing w:after="0"/>
              <w:rPr>
                <w:sz w:val="20"/>
                <w:szCs w:val="20"/>
                <w:color w:val="auto"/>
              </w:rPr>
            </w:pPr>
            <w:r>
              <w:rPr>
                <w:rFonts w:ascii="Arial" w:cs="Arial" w:eastAsia="Arial" w:hAnsi="Arial"/>
                <w:sz w:val="10"/>
                <w:szCs w:val="10"/>
                <w:b w:val="1"/>
                <w:bCs w:val="1"/>
                <w:color w:val="auto"/>
              </w:rPr>
              <w:t>Change</w:t>
            </w:r>
          </w:p>
        </w:tc>
        <w:tc>
          <w:tcPr>
            <w:tcW w:w="1520" w:type="dxa"/>
            <w:vAlign w:val="bottom"/>
          </w:tcPr>
          <w:p>
            <w:pPr>
              <w:jc w:val="center"/>
              <w:ind w:left="708"/>
              <w:spacing w:after="0"/>
              <w:rPr>
                <w:sz w:val="20"/>
                <w:szCs w:val="20"/>
                <w:color w:val="auto"/>
              </w:rPr>
            </w:pPr>
            <w:r>
              <w:rPr>
                <w:rFonts w:ascii="Arial" w:cs="Arial" w:eastAsia="Arial" w:hAnsi="Arial"/>
                <w:sz w:val="10"/>
                <w:szCs w:val="10"/>
                <w:b w:val="1"/>
                <w:bCs w:val="1"/>
                <w:color w:val="auto"/>
                <w:w w:val="87"/>
              </w:rPr>
              <w:t>Change</w:t>
            </w:r>
          </w:p>
        </w:tc>
        <w:tc>
          <w:tcPr>
            <w:tcW w:w="340" w:type="dxa"/>
            <w:vAlign w:val="bottom"/>
          </w:tcPr>
          <w:p>
            <w:pPr>
              <w:spacing w:after="0"/>
              <w:rPr>
                <w:sz w:val="11"/>
                <w:szCs w:val="11"/>
                <w:color w:val="auto"/>
              </w:rPr>
            </w:pPr>
          </w:p>
        </w:tc>
      </w:tr>
      <w:tr>
        <w:trPr>
          <w:trHeight w:val="126"/>
        </w:trPr>
        <w:tc>
          <w:tcPr>
            <w:tcW w:w="39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0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152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auto"/>
            </w:tcBorders>
          </w:tcPr>
          <w:p>
            <w:pPr>
              <w:spacing w:after="0"/>
              <w:rPr>
                <w:sz w:val="10"/>
                <w:szCs w:val="10"/>
                <w:color w:val="auto"/>
              </w:rPr>
            </w:pPr>
          </w:p>
        </w:tc>
      </w:tr>
      <w:tr>
        <w:trPr>
          <w:trHeight w:val="162"/>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Provision for income taxes</w:t>
            </w: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58,773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56,845</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88"/>
              <w:spacing w:after="0"/>
              <w:rPr>
                <w:sz w:val="20"/>
                <w:szCs w:val="20"/>
                <w:color w:val="auto"/>
              </w:rPr>
            </w:pPr>
            <w:r>
              <w:rPr>
                <w:rFonts w:ascii="Arial" w:cs="Arial" w:eastAsia="Arial" w:hAnsi="Arial"/>
                <w:sz w:val="12"/>
                <w:szCs w:val="12"/>
                <w:color w:val="auto"/>
              </w:rPr>
              <w:t>2,948</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62" w:lineRule="exact"/>
        <w:rPr>
          <w:sz w:val="20"/>
          <w:szCs w:val="20"/>
          <w:color w:val="auto"/>
        </w:rPr>
      </w:pPr>
    </w:p>
    <w:p>
      <w:pPr>
        <w:ind w:right="620" w:firstLine="432"/>
        <w:spacing w:after="0" w:line="276" w:lineRule="auto"/>
        <w:rPr>
          <w:sz w:val="20"/>
          <w:szCs w:val="20"/>
          <w:color w:val="auto"/>
        </w:rPr>
      </w:pPr>
      <w:r>
        <w:rPr>
          <w:rFonts w:ascii="Arial" w:cs="Arial" w:eastAsia="Arial" w:hAnsi="Arial"/>
          <w:sz w:val="12"/>
          <w:szCs w:val="12"/>
          <w:color w:val="auto"/>
        </w:rPr>
        <w:t>The increase in the provision for income taxes of $56.8 million during the nine months ended October 31, 2021 compared to the nine months ended October 31, 2020 was primarily driven by $48.8 million from the intercompany sale of intellectual property from Humio and increase in pre-tax foreign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363220</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44" w:name="page45"/>
    <w:bookmarkEnd w:id="44"/>
    <w:p>
      <w:pPr>
        <w:jc w:val="center"/>
        <w:spacing w:after="0"/>
        <w:rPr>
          <w:sz w:val="20"/>
          <w:szCs w:val="20"/>
          <w:color w:val="auto"/>
        </w:rPr>
      </w:pPr>
      <w:r>
        <w:rPr>
          <w:rFonts w:ascii="Arial" w:cs="Arial" w:eastAsia="Arial" w:hAnsi="Arial"/>
          <w:sz w:val="12"/>
          <w:szCs w:val="12"/>
          <w:b w:val="1"/>
          <w:bCs w:val="1"/>
          <w:color w:val="auto"/>
        </w:rPr>
        <w:t>Non-GAAP Financial Measures</w:t>
      </w:r>
    </w:p>
    <w:p>
      <w:pPr>
        <w:spacing w:after="0" w:line="127"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In addition to our results determined in accordance with U.S. generally accepted accounting principles, or GAAP, we believe the following non-GAAP measures are useful in evaluating our operating performance. We use the following non-GAAP financial information to evaluate our ongoing operations and for internal planning and forecasting purposes. We believe that non-GAAP financial measures may be helpful to investors because such measures provide consistency and comparability with past financial performance and, when taken together with the corresponding GAAP financial measures, provide meaningful supplemental information regarding our performance by excluding certain items that may not be indicative of our business, results of operations, or outlook.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used in operating activities. Additionally, the utility of free cash flow as a measure of our financial performance and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Non-GAAP Subscription Gross Profit and Non-GAAP Subscription Gross Margin</w:t>
      </w:r>
    </w:p>
    <w:p>
      <w:pPr>
        <w:spacing w:after="0" w:line="123" w:lineRule="exact"/>
        <w:rPr>
          <w:sz w:val="20"/>
          <w:szCs w:val="20"/>
          <w:color w:val="auto"/>
        </w:rPr>
      </w:pPr>
    </w:p>
    <w:p>
      <w:pPr>
        <w:jc w:val="both"/>
        <w:ind w:right="180" w:firstLine="432"/>
        <w:spacing w:after="0" w:line="298" w:lineRule="auto"/>
        <w:rPr>
          <w:sz w:val="20"/>
          <w:szCs w:val="20"/>
          <w:color w:val="auto"/>
        </w:rPr>
      </w:pPr>
      <w:r>
        <w:rPr>
          <w:rFonts w:ascii="Arial" w:cs="Arial" w:eastAsia="Arial" w:hAnsi="Arial"/>
          <w:sz w:val="11"/>
          <w:szCs w:val="11"/>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measures eliminate the effects of certain variables unrelated to our overall operating performance.</w:t>
      </w:r>
    </w:p>
    <w:p>
      <w:pPr>
        <w:spacing w:after="0" w:line="132" w:lineRule="exact"/>
        <w:rPr>
          <w:sz w:val="20"/>
          <w:szCs w:val="20"/>
          <w:color w:val="auto"/>
        </w:rPr>
      </w:pPr>
    </w:p>
    <w:p>
      <w:pPr>
        <w:ind w:right="40" w:firstLine="432"/>
        <w:spacing w:after="0" w:line="269" w:lineRule="auto"/>
        <w:rPr>
          <w:sz w:val="20"/>
          <w:szCs w:val="20"/>
          <w:color w:val="auto"/>
        </w:rPr>
      </w:pPr>
      <w:r>
        <w:rPr>
          <w:rFonts w:ascii="Arial" w:cs="Arial" w:eastAsia="Arial" w:hAnsi="Arial"/>
          <w:sz w:val="12"/>
          <w:szCs w:val="12"/>
          <w:color w:val="auto"/>
        </w:rPr>
        <w:t>The following table presents a reconciliation of our non-GAAP subscription gross profit to our GAAP subscription gross profit and of our non-GAAP subscription gross margin to our GAAP subscription gross margin as of the periods presented (dollar in thousands, except percentages):</w:t>
      </w:r>
    </w:p>
    <w:tbl>
      <w:tblPr>
        <w:tblLayout w:type="fixed"/>
        <w:tblInd w:w="0" w:type="dxa"/>
        <w:tblCellMar>
          <w:top w:w="0" w:type="dxa"/>
          <w:left w:w="0" w:type="dxa"/>
          <w:bottom w:w="0" w:type="dxa"/>
          <w:right w:w="0" w:type="dxa"/>
        </w:tblCellMar>
      </w:tblPr>
      <w:tr>
        <w:trPr>
          <w:trHeight w:val="127"/>
        </w:trPr>
        <w:tc>
          <w:tcPr>
            <w:tcW w:w="25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w w:val="90"/>
              </w:rPr>
              <w:t>Three Months Ended October 31,</w:t>
            </w:r>
          </w:p>
        </w:tc>
        <w:tc>
          <w:tcPr>
            <w:tcW w:w="7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w w:val="91"/>
              </w:rPr>
              <w:t>Nine Months Ended October 31,</w:t>
            </w:r>
          </w:p>
        </w:tc>
        <w:tc>
          <w:tcPr>
            <w:tcW w:w="8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GAAP subscription revenue</w:t>
            </w:r>
          </w:p>
        </w:tc>
        <w:tc>
          <w:tcPr>
            <w:tcW w:w="8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357,030</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213,530</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954,094</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560,008</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GAAP subscription gross profit</w:t>
            </w:r>
          </w:p>
        </w:tc>
        <w:tc>
          <w:tcPr>
            <w:tcW w:w="8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271,566</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163,947</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727,734</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429,144</w:t>
            </w: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60" w:type="dxa"/>
            <w:vAlign w:val="bottom"/>
          </w:tcPr>
          <w:p>
            <w:pPr>
              <w:ind w:left="520"/>
              <w:spacing w:after="0"/>
              <w:rPr>
                <w:sz w:val="20"/>
                <w:szCs w:val="20"/>
                <w:color w:val="auto"/>
              </w:rPr>
            </w:pPr>
            <w:r>
              <w:rPr>
                <w:rFonts w:ascii="Arial" w:cs="Arial" w:eastAsia="Arial" w:hAnsi="Arial"/>
                <w:sz w:val="12"/>
                <w:szCs w:val="12"/>
                <w:color w:val="auto"/>
                <w:w w:val="91"/>
              </w:rPr>
              <w:t>Add: Stock-based compensation expense</w:t>
            </w:r>
          </w:p>
        </w:tc>
        <w:tc>
          <w:tcPr>
            <w:tcW w:w="840" w:type="dxa"/>
            <w:vAlign w:val="bottom"/>
          </w:tcPr>
          <w:p>
            <w:pPr>
              <w:spacing w:after="0"/>
              <w:rPr>
                <w:sz w:val="13"/>
                <w:szCs w:val="13"/>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5,969</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jc w:val="right"/>
              <w:ind w:right="182"/>
              <w:spacing w:after="0"/>
              <w:rPr>
                <w:sz w:val="20"/>
                <w:szCs w:val="20"/>
                <w:color w:val="auto"/>
              </w:rPr>
            </w:pPr>
            <w:r>
              <w:rPr>
                <w:rFonts w:ascii="Arial" w:cs="Arial" w:eastAsia="Arial" w:hAnsi="Arial"/>
                <w:sz w:val="12"/>
                <w:szCs w:val="12"/>
                <w:color w:val="auto"/>
              </w:rPr>
              <w:t>3,226</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15,548</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jc w:val="right"/>
              <w:ind w:right="182"/>
              <w:spacing w:after="0"/>
              <w:rPr>
                <w:sz w:val="20"/>
                <w:szCs w:val="20"/>
                <w:color w:val="auto"/>
              </w:rPr>
            </w:pPr>
            <w:r>
              <w:rPr>
                <w:rFonts w:ascii="Arial" w:cs="Arial" w:eastAsia="Arial" w:hAnsi="Arial"/>
                <w:sz w:val="12"/>
                <w:szCs w:val="12"/>
                <w:color w:val="auto"/>
              </w:rPr>
              <w:t>7,856</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60" w:type="dxa"/>
            <w:vAlign w:val="bottom"/>
            <w:shd w:val="clear" w:color="auto" w:fill="CCEEFF"/>
          </w:tcPr>
          <w:p>
            <w:pPr>
              <w:ind w:left="520"/>
              <w:spacing w:after="0" w:line="117" w:lineRule="exact"/>
              <w:rPr>
                <w:sz w:val="20"/>
                <w:szCs w:val="20"/>
                <w:color w:val="auto"/>
              </w:rPr>
            </w:pPr>
            <w:r>
              <w:rPr>
                <w:rFonts w:ascii="Arial" w:cs="Arial" w:eastAsia="Arial" w:hAnsi="Arial"/>
                <w:sz w:val="12"/>
                <w:szCs w:val="12"/>
                <w:color w:val="auto"/>
                <w:w w:val="95"/>
              </w:rPr>
              <w:t>Add: Amortization of acquired intangible</w:t>
            </w:r>
          </w:p>
        </w:tc>
        <w:tc>
          <w:tcPr>
            <w:tcW w:w="8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2,784</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182"/>
              <w:spacing w:after="0"/>
              <w:rPr>
                <w:sz w:val="20"/>
                <w:szCs w:val="20"/>
                <w:color w:val="auto"/>
              </w:rPr>
            </w:pPr>
            <w:r>
              <w:rPr>
                <w:rFonts w:ascii="Arial" w:cs="Arial" w:eastAsia="Arial" w:hAnsi="Arial"/>
                <w:sz w:val="12"/>
                <w:szCs w:val="12"/>
                <w:color w:val="auto"/>
              </w:rPr>
              <w:t>272</w:t>
            </w: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7,550</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82"/>
              <w:spacing w:after="0"/>
              <w:rPr>
                <w:sz w:val="20"/>
                <w:szCs w:val="20"/>
                <w:color w:val="auto"/>
              </w:rPr>
            </w:pPr>
            <w:r>
              <w:rPr>
                <w:rFonts w:ascii="Arial" w:cs="Arial" w:eastAsia="Arial" w:hAnsi="Arial"/>
                <w:sz w:val="12"/>
                <w:szCs w:val="12"/>
                <w:color w:val="auto"/>
              </w:rPr>
              <w:t>397</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assets</w:t>
            </w:r>
          </w:p>
        </w:tc>
        <w:tc>
          <w:tcPr>
            <w:tcW w:w="8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60" w:type="dxa"/>
            <w:vAlign w:val="bottom"/>
          </w:tcPr>
          <w:p>
            <w:pPr>
              <w:ind w:left="440"/>
              <w:spacing w:after="0"/>
              <w:rPr>
                <w:sz w:val="20"/>
                <w:szCs w:val="20"/>
                <w:color w:val="auto"/>
              </w:rPr>
            </w:pPr>
            <w:r>
              <w:rPr>
                <w:rFonts w:ascii="Arial" w:cs="Arial" w:eastAsia="Arial" w:hAnsi="Arial"/>
                <w:sz w:val="12"/>
                <w:szCs w:val="12"/>
                <w:color w:val="auto"/>
              </w:rPr>
              <w:t>Non-GAAP subscription gross profit</w:t>
            </w:r>
          </w:p>
        </w:tc>
        <w:tc>
          <w:tcPr>
            <w:tcW w:w="8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280,319</w:t>
            </w:r>
          </w:p>
        </w:tc>
        <w:tc>
          <w:tcPr>
            <w:tcW w:w="158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82"/>
              <w:spacing w:after="0"/>
              <w:rPr>
                <w:sz w:val="20"/>
                <w:szCs w:val="20"/>
                <w:color w:val="auto"/>
              </w:rPr>
            </w:pPr>
            <w:r>
              <w:rPr>
                <w:rFonts w:ascii="Arial" w:cs="Arial" w:eastAsia="Arial" w:hAnsi="Arial"/>
                <w:sz w:val="12"/>
                <w:szCs w:val="12"/>
                <w:color w:val="auto"/>
              </w:rPr>
              <w:t>167,445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750,832</w:t>
            </w:r>
          </w:p>
        </w:tc>
        <w:tc>
          <w:tcPr>
            <w:tcW w:w="156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82"/>
              <w:spacing w:after="0"/>
              <w:rPr>
                <w:sz w:val="20"/>
                <w:szCs w:val="20"/>
                <w:color w:val="auto"/>
              </w:rPr>
            </w:pPr>
            <w:r>
              <w:rPr>
                <w:rFonts w:ascii="Arial" w:cs="Arial" w:eastAsia="Arial" w:hAnsi="Arial"/>
                <w:sz w:val="12"/>
                <w:szCs w:val="12"/>
                <w:color w:val="auto"/>
              </w:rPr>
              <w:t>437,397</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60" w:type="dxa"/>
            <w:vAlign w:val="bottom"/>
          </w:tcPr>
          <w:p>
            <w:pPr>
              <w:ind w:left="440"/>
              <w:spacing w:after="0"/>
              <w:rPr>
                <w:sz w:val="20"/>
                <w:szCs w:val="20"/>
                <w:color w:val="auto"/>
              </w:rPr>
            </w:pPr>
            <w:r>
              <w:rPr>
                <w:rFonts w:ascii="Arial" w:cs="Arial" w:eastAsia="Arial" w:hAnsi="Arial"/>
                <w:sz w:val="12"/>
                <w:szCs w:val="12"/>
                <w:color w:val="auto"/>
              </w:rPr>
              <w:t>GAAP subscription gross margin</w:t>
            </w:r>
          </w:p>
        </w:tc>
        <w:tc>
          <w:tcPr>
            <w:tcW w:w="840" w:type="dxa"/>
            <w:vAlign w:val="bottom"/>
          </w:tcPr>
          <w:p>
            <w:pPr>
              <w:spacing w:after="0"/>
              <w:rPr>
                <w:sz w:val="13"/>
                <w:szCs w:val="13"/>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76</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jc w:val="right"/>
              <w:ind w:right="182"/>
              <w:spacing w:after="0"/>
              <w:rPr>
                <w:sz w:val="20"/>
                <w:szCs w:val="20"/>
                <w:color w:val="auto"/>
              </w:rPr>
            </w:pPr>
            <w:r>
              <w:rPr>
                <w:rFonts w:ascii="Arial" w:cs="Arial" w:eastAsia="Arial" w:hAnsi="Arial"/>
                <w:sz w:val="12"/>
                <w:szCs w:val="12"/>
                <w:color w:val="auto"/>
              </w:rPr>
              <w:t>77</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76</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jc w:val="right"/>
              <w:ind w:right="182"/>
              <w:spacing w:after="0"/>
              <w:rPr>
                <w:sz w:val="20"/>
                <w:szCs w:val="20"/>
                <w:color w:val="auto"/>
              </w:rPr>
            </w:pPr>
            <w:r>
              <w:rPr>
                <w:rFonts w:ascii="Arial" w:cs="Arial" w:eastAsia="Arial" w:hAnsi="Arial"/>
                <w:sz w:val="12"/>
                <w:szCs w:val="12"/>
                <w:color w:val="auto"/>
              </w:rPr>
              <w:t>77</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60" w:type="dxa"/>
            <w:vAlign w:val="bottom"/>
          </w:tcPr>
          <w:p>
            <w:pPr>
              <w:ind w:left="440"/>
              <w:spacing w:after="0"/>
              <w:rPr>
                <w:sz w:val="20"/>
                <w:szCs w:val="20"/>
                <w:color w:val="auto"/>
              </w:rPr>
            </w:pPr>
            <w:r>
              <w:rPr>
                <w:rFonts w:ascii="Arial" w:cs="Arial" w:eastAsia="Arial" w:hAnsi="Arial"/>
                <w:sz w:val="12"/>
                <w:szCs w:val="12"/>
                <w:color w:val="auto"/>
              </w:rPr>
              <w:t>Non-GAAP subscription gross margin</w:t>
            </w:r>
          </w:p>
        </w:tc>
        <w:tc>
          <w:tcPr>
            <w:tcW w:w="840" w:type="dxa"/>
            <w:vAlign w:val="bottom"/>
          </w:tcPr>
          <w:p>
            <w:pPr>
              <w:spacing w:after="0"/>
              <w:rPr>
                <w:sz w:val="13"/>
                <w:szCs w:val="13"/>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79</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jc w:val="right"/>
              <w:ind w:right="182"/>
              <w:spacing w:after="0"/>
              <w:rPr>
                <w:sz w:val="20"/>
                <w:szCs w:val="20"/>
                <w:color w:val="auto"/>
              </w:rPr>
            </w:pPr>
            <w:r>
              <w:rPr>
                <w:rFonts w:ascii="Arial" w:cs="Arial" w:eastAsia="Arial" w:hAnsi="Arial"/>
                <w:sz w:val="12"/>
                <w:szCs w:val="12"/>
                <w:color w:val="auto"/>
              </w:rPr>
              <w:t>78</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79</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jc w:val="right"/>
              <w:ind w:right="182"/>
              <w:spacing w:after="0"/>
              <w:rPr>
                <w:sz w:val="20"/>
                <w:szCs w:val="20"/>
                <w:color w:val="auto"/>
              </w:rPr>
            </w:pPr>
            <w:r>
              <w:rPr>
                <w:rFonts w:ascii="Arial" w:cs="Arial" w:eastAsia="Arial" w:hAnsi="Arial"/>
                <w:sz w:val="12"/>
                <w:szCs w:val="12"/>
                <w:color w:val="auto"/>
              </w:rPr>
              <w:t>78</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Non-GAAP Income from Operations and Non-GAAP Operating Margin</w:t>
      </w:r>
    </w:p>
    <w:p>
      <w:pPr>
        <w:spacing w:after="0" w:line="15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2"/>
          <w:szCs w:val="12"/>
          <w:color w:val="auto"/>
        </w:rPr>
        <w:t>We define non-GAAP income from operations and non-GAAP operating margin as GAAP loss from operations and GAAP operating margin, respectively, excluding stock-based compensation expense, amortization of acquired intangible assets, acquisition-related expenses, and legal reserve and settlement charges or benefits. We believe non-GAAP income from operations and non-GAAP operating margin provide our management and investors consistency and comparability with our past financial performance and facilitate period-to-period comparisons of operations, as these metrics generally eliminate the effects of certain variables unrelated to our overall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368935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3" w:right="299" w:bottom="1440" w:gutter="0" w:footer="0" w:header="0"/>
        </w:sectPr>
      </w:pPr>
    </w:p>
    <w:bookmarkStart w:id="45" w:name="page46"/>
    <w:bookmarkEnd w:id="45"/>
    <w:p>
      <w:pPr>
        <w:ind w:right="340" w:firstLine="432"/>
        <w:spacing w:after="0" w:line="276" w:lineRule="auto"/>
        <w:rPr>
          <w:sz w:val="20"/>
          <w:szCs w:val="20"/>
          <w:color w:val="auto"/>
        </w:rPr>
      </w:pPr>
      <w:r>
        <w:rPr>
          <w:rFonts w:ascii="Arial" w:cs="Arial" w:eastAsia="Arial" w:hAnsi="Arial"/>
          <w:sz w:val="12"/>
          <w:szCs w:val="12"/>
          <w:color w:val="auto"/>
        </w:rPr>
        <w:t>The following table presents a reconciliation of our non-GAAP income from operations to our GAAP loss from operations and our non-GAAP operating margin to our GAAP operating margin as of the periods presented (dollar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8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October 31,</w:t>
            </w: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Nine Months Ended October 31,</w:t>
            </w:r>
          </w:p>
        </w:tc>
        <w:tc>
          <w:tcPr>
            <w:tcW w:w="920" w:type="dxa"/>
            <w:vAlign w:val="bottom"/>
            <w:tcBorders>
              <w:bottom w:val="single" w:sz="8" w:color="auto"/>
            </w:tcBorders>
          </w:tcPr>
          <w:p>
            <w:pPr>
              <w:spacing w:after="0"/>
              <w:rPr>
                <w:sz w:val="11"/>
                <w:szCs w:val="11"/>
                <w:color w:val="auto"/>
              </w:rPr>
            </w:pPr>
          </w:p>
        </w:tc>
      </w:tr>
      <w:tr>
        <w:trPr>
          <w:trHeight w:val="126"/>
        </w:trPr>
        <w:tc>
          <w:tcPr>
            <w:tcW w:w="48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621"/>
              <w:spacing w:after="0"/>
              <w:rPr>
                <w:sz w:val="20"/>
                <w:szCs w:val="20"/>
                <w:color w:val="auto"/>
              </w:rPr>
            </w:pPr>
            <w:r>
              <w:rPr>
                <w:rFonts w:ascii="Arial" w:cs="Arial" w:eastAsia="Arial" w:hAnsi="Arial"/>
                <w:sz w:val="10"/>
                <w:szCs w:val="10"/>
                <w:b w:val="1"/>
                <w:bCs w:val="1"/>
                <w:color w:val="auto"/>
                <w:w w:val="89"/>
              </w:rPr>
              <w:t>2020</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w w:val="89"/>
              </w:rPr>
              <w:t>2020</w:t>
            </w:r>
          </w:p>
        </w:tc>
      </w:tr>
      <w:tr>
        <w:trPr>
          <w:trHeight w:val="162"/>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GAAP total revenue</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380,051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232,460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1,020,584</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609,509</w:t>
            </w:r>
          </w:p>
        </w:tc>
      </w:tr>
      <w:tr>
        <w:trPr>
          <w:trHeight w:val="180"/>
        </w:trPr>
        <w:tc>
          <w:tcPr>
            <w:tcW w:w="4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53"/>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GAAP loss from operations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(40,264)</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(24,159)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(119,014)</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(76,726)</w:t>
            </w: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Add: Stock-based compensation expense</w:t>
            </w:r>
          </w:p>
        </w:tc>
        <w:tc>
          <w:tcPr>
            <w:tcW w:w="380" w:type="dxa"/>
            <w:vAlign w:val="bottom"/>
          </w:tcPr>
          <w:p>
            <w:pPr>
              <w:spacing w:after="0"/>
              <w:rPr>
                <w:sz w:val="13"/>
                <w:szCs w:val="13"/>
                <w:color w:val="auto"/>
              </w:rPr>
            </w:pPr>
          </w:p>
        </w:tc>
        <w:tc>
          <w:tcPr>
            <w:tcW w:w="1180" w:type="dxa"/>
            <w:vAlign w:val="bottom"/>
          </w:tcPr>
          <w:p>
            <w:pPr>
              <w:jc w:val="right"/>
              <w:ind w:right="82"/>
              <w:spacing w:after="0"/>
              <w:rPr>
                <w:sz w:val="20"/>
                <w:szCs w:val="20"/>
                <w:color w:val="auto"/>
              </w:rPr>
            </w:pPr>
            <w:r>
              <w:rPr>
                <w:rFonts w:ascii="Arial" w:cs="Arial" w:eastAsia="Arial" w:hAnsi="Arial"/>
                <w:sz w:val="12"/>
                <w:szCs w:val="12"/>
                <w:color w:val="auto"/>
              </w:rPr>
              <w:t>86,666</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40,610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82"/>
              <w:spacing w:after="0"/>
              <w:rPr>
                <w:sz w:val="20"/>
                <w:szCs w:val="20"/>
                <w:color w:val="auto"/>
              </w:rPr>
            </w:pPr>
            <w:r>
              <w:rPr>
                <w:rFonts w:ascii="Arial" w:cs="Arial" w:eastAsia="Arial" w:hAnsi="Arial"/>
                <w:sz w:val="12"/>
                <w:szCs w:val="12"/>
                <w:color w:val="auto"/>
              </w:rPr>
              <w:t>217,315</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101,961</w:t>
            </w:r>
          </w:p>
        </w:tc>
      </w:tr>
      <w:tr>
        <w:trPr>
          <w:trHeight w:val="153"/>
        </w:trPr>
        <w:tc>
          <w:tcPr>
            <w:tcW w:w="48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Add: Amortization of acquired intangible assets</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3,337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372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9,072</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579</w:t>
            </w:r>
          </w:p>
        </w:tc>
      </w:tr>
      <w:tr>
        <w:trPr>
          <w:trHeight w:val="153"/>
        </w:trPr>
        <w:tc>
          <w:tcPr>
            <w:tcW w:w="4800" w:type="dxa"/>
            <w:vAlign w:val="bottom"/>
          </w:tcPr>
          <w:p>
            <w:pPr>
              <w:ind w:left="80"/>
              <w:spacing w:after="0"/>
              <w:rPr>
                <w:sz w:val="20"/>
                <w:szCs w:val="20"/>
                <w:color w:val="auto"/>
              </w:rPr>
            </w:pPr>
            <w:r>
              <w:rPr>
                <w:rFonts w:ascii="Arial" w:cs="Arial" w:eastAsia="Arial" w:hAnsi="Arial"/>
                <w:sz w:val="12"/>
                <w:szCs w:val="12"/>
                <w:color w:val="auto"/>
              </w:rPr>
              <w:t>Add: Acquisition-related expenses</w:t>
            </w:r>
          </w:p>
        </w:tc>
        <w:tc>
          <w:tcPr>
            <w:tcW w:w="380" w:type="dxa"/>
            <w:vAlign w:val="bottom"/>
          </w:tcPr>
          <w:p>
            <w:pPr>
              <w:spacing w:after="0"/>
              <w:rPr>
                <w:sz w:val="13"/>
                <w:szCs w:val="13"/>
                <w:color w:val="auto"/>
              </w:rPr>
            </w:pPr>
          </w:p>
        </w:tc>
        <w:tc>
          <w:tcPr>
            <w:tcW w:w="1180" w:type="dxa"/>
            <w:vAlign w:val="bottom"/>
          </w:tcPr>
          <w:p>
            <w:pPr>
              <w:jc w:val="right"/>
              <w:ind w:right="82"/>
              <w:spacing w:after="0"/>
              <w:rPr>
                <w:sz w:val="20"/>
                <w:szCs w:val="20"/>
                <w:color w:val="auto"/>
              </w:rPr>
            </w:pPr>
            <w:r>
              <w:rPr>
                <w:rFonts w:ascii="Arial" w:cs="Arial" w:eastAsia="Arial" w:hAnsi="Arial"/>
                <w:sz w:val="12"/>
                <w:szCs w:val="12"/>
                <w:color w:val="auto"/>
              </w:rPr>
              <w:t>971</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2,119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82"/>
              <w:spacing w:after="0"/>
              <w:rPr>
                <w:sz w:val="20"/>
                <w:szCs w:val="20"/>
                <w:color w:val="auto"/>
              </w:rPr>
            </w:pPr>
            <w:r>
              <w:rPr>
                <w:rFonts w:ascii="Arial" w:cs="Arial" w:eastAsia="Arial" w:hAnsi="Arial"/>
                <w:sz w:val="12"/>
                <w:szCs w:val="12"/>
                <w:color w:val="auto"/>
              </w:rPr>
              <w:t>5,912</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2,119</w:t>
            </w:r>
          </w:p>
        </w:tc>
      </w:tr>
      <w:tr>
        <w:trPr>
          <w:trHeight w:val="153"/>
        </w:trPr>
        <w:tc>
          <w:tcPr>
            <w:tcW w:w="48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Add: Legal reserve and settlement charges</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2,500</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r>
      <w:tr>
        <w:trPr>
          <w:trHeight w:val="158"/>
        </w:trPr>
        <w:tc>
          <w:tcPr>
            <w:tcW w:w="4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Non-GAAP income from operations</w:t>
            </w: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rPr>
              <w:t>50,710</w:t>
            </w:r>
          </w:p>
        </w:tc>
        <w:tc>
          <w:tcPr>
            <w:tcW w:w="1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rPr>
              <w:t>18,942</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rPr>
              <w:t>115,785</w:t>
            </w:r>
          </w:p>
        </w:tc>
        <w:tc>
          <w:tcPr>
            <w:tcW w:w="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27,933</w:t>
            </w:r>
          </w:p>
        </w:tc>
      </w:tr>
      <w:tr>
        <w:trPr>
          <w:trHeight w:val="162"/>
        </w:trPr>
        <w:tc>
          <w:tcPr>
            <w:tcW w:w="4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GAAP operating margin</w:t>
            </w: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80"/>
        </w:trPr>
        <w:tc>
          <w:tcPr>
            <w:tcW w:w="4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Non-GAAP operating margin</w:t>
            </w: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13 %</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8 %</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11 %</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5 %</w:t>
            </w:r>
          </w:p>
        </w:tc>
      </w:tr>
    </w:tbl>
    <w:p>
      <w:pPr>
        <w:spacing w:after="0" w:line="21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Free Cash Flow and Free Cash Flow Margin</w:t>
      </w:r>
    </w:p>
    <w:p>
      <w:pPr>
        <w:spacing w:after="0" w:line="150" w:lineRule="exact"/>
        <w:rPr>
          <w:sz w:val="20"/>
          <w:szCs w:val="20"/>
          <w:color w:val="auto"/>
        </w:rPr>
      </w:pPr>
    </w:p>
    <w:p>
      <w:pPr>
        <w:ind w:right="140" w:firstLine="432"/>
        <w:spacing w:after="0" w:line="256" w:lineRule="auto"/>
        <w:rPr>
          <w:sz w:val="20"/>
          <w:szCs w:val="20"/>
          <w:color w:val="auto"/>
        </w:rPr>
      </w:pPr>
      <w:r>
        <w:rPr>
          <w:rFonts w:ascii="Arial" w:cs="Arial" w:eastAsia="Arial" w:hAnsi="Arial"/>
          <w:sz w:val="12"/>
          <w:szCs w:val="12"/>
          <w:color w:val="auto"/>
        </w:rPr>
        <w:t>Free cash flow is a non-GAAP financial measure that we define as net cash provided by operating activities less purchases of property and equipment and capitalized internal-use software and website development. Free cash flow margin is calculated as free cash flow divided by total revenue. We believe that free cash flow and free cash flow margin are useful indicators of liquidity that provide useful information to management and investors about the amount of cash consumed by our operating activities that is therefore not available to be used for other strategic initiatives. One limitation of free cash flow and free cash flow margin is that they do not reflect our future contractual commitments. Additionally, free cash flow does not represent the total increase or decrease in our cash balance for a given period. In addition, other companies may calculate free cash flow differently or not at all, which reduces the usefulness of free cash flow as a tool for comparison.</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a reconciliation of free cash flow and free cash flow margin to net cash provided by operating activities (dollar in thousands, except percentages):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5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w w:val="89"/>
              </w:rPr>
              <w:t>Three Months Ended October 31,</w:t>
            </w:r>
          </w:p>
        </w:tc>
        <w:tc>
          <w:tcPr>
            <w:tcW w:w="7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w w:val="89"/>
              </w:rPr>
              <w:t>Nine Months Ended October 31,</w:t>
            </w:r>
          </w:p>
        </w:tc>
        <w:tc>
          <w:tcPr>
            <w:tcW w:w="8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5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2020</w:t>
            </w: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5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GAAP total revenue</w:t>
            </w:r>
          </w:p>
        </w:tc>
        <w:tc>
          <w:tcPr>
            <w:tcW w:w="8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380,051</w:t>
            </w:r>
          </w:p>
        </w:tc>
        <w:tc>
          <w:tcPr>
            <w:tcW w:w="158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232,460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1,020,584</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609,509</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20" w:type="dxa"/>
            <w:vAlign w:val="bottom"/>
            <w:shd w:val="clear" w:color="auto" w:fill="CCEEFF"/>
          </w:tcPr>
          <w:p>
            <w:pPr>
              <w:ind w:left="440"/>
              <w:spacing w:after="0" w:line="117" w:lineRule="exact"/>
              <w:rPr>
                <w:sz w:val="20"/>
                <w:szCs w:val="20"/>
                <w:color w:val="auto"/>
              </w:rPr>
            </w:pPr>
            <w:r>
              <w:rPr>
                <w:rFonts w:ascii="Arial" w:cs="Arial" w:eastAsia="Arial" w:hAnsi="Arial"/>
                <w:sz w:val="12"/>
                <w:szCs w:val="12"/>
                <w:color w:val="auto"/>
              </w:rPr>
              <w:t>GAAP net cash provided by operating</w:t>
            </w:r>
          </w:p>
        </w:tc>
        <w:tc>
          <w:tcPr>
            <w:tcW w:w="8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159,058</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88,501</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415,066</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242,103</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activities</w:t>
            </w:r>
          </w:p>
        </w:tc>
        <w:tc>
          <w:tcPr>
            <w:tcW w:w="8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20" w:type="dxa"/>
            <w:vAlign w:val="bottom"/>
          </w:tcPr>
          <w:p>
            <w:pPr>
              <w:ind w:left="520"/>
              <w:spacing w:after="0" w:line="117" w:lineRule="exact"/>
              <w:rPr>
                <w:sz w:val="20"/>
                <w:szCs w:val="20"/>
                <w:color w:val="auto"/>
              </w:rPr>
            </w:pPr>
            <w:r>
              <w:rPr>
                <w:rFonts w:ascii="Arial" w:cs="Arial" w:eastAsia="Arial" w:hAnsi="Arial"/>
                <w:sz w:val="12"/>
                <w:szCs w:val="12"/>
                <w:color w:val="auto"/>
              </w:rPr>
              <w:t>Less: Purchases of property and</w:t>
            </w:r>
          </w:p>
        </w:tc>
        <w:tc>
          <w:tcPr>
            <w:tcW w:w="840" w:type="dxa"/>
            <w:vAlign w:val="bottom"/>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2"/>
                <w:szCs w:val="12"/>
                <w:color w:val="auto"/>
              </w:rPr>
              <w:t>(29,627)</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vMerge w:val="restart"/>
          </w:tcPr>
          <w:p>
            <w:pPr>
              <w:jc w:val="right"/>
              <w:ind w:right="161"/>
              <w:spacing w:after="0"/>
              <w:rPr>
                <w:sz w:val="20"/>
                <w:szCs w:val="20"/>
                <w:color w:val="auto"/>
              </w:rPr>
            </w:pPr>
            <w:r>
              <w:rPr>
                <w:rFonts w:ascii="Arial" w:cs="Arial" w:eastAsia="Arial" w:hAnsi="Arial"/>
                <w:sz w:val="12"/>
                <w:szCs w:val="12"/>
                <w:color w:val="auto"/>
              </w:rPr>
              <w:t>(9,911)</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(85,420)</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vMerge w:val="restart"/>
          </w:tcPr>
          <w:p>
            <w:pPr>
              <w:jc w:val="right"/>
              <w:ind w:right="161"/>
              <w:spacing w:after="0"/>
              <w:rPr>
                <w:sz w:val="20"/>
                <w:szCs w:val="20"/>
                <w:color w:val="auto"/>
              </w:rPr>
            </w:pPr>
            <w:r>
              <w:rPr>
                <w:rFonts w:ascii="Arial" w:cs="Arial" w:eastAsia="Arial" w:hAnsi="Arial"/>
                <w:sz w:val="12"/>
                <w:szCs w:val="12"/>
                <w:color w:val="auto"/>
              </w:rPr>
              <w:t>(40,245)</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20" w:type="dxa"/>
            <w:vAlign w:val="bottom"/>
          </w:tcPr>
          <w:p>
            <w:pPr>
              <w:ind w:left="80"/>
              <w:spacing w:after="0"/>
              <w:rPr>
                <w:sz w:val="20"/>
                <w:szCs w:val="20"/>
                <w:color w:val="auto"/>
              </w:rPr>
            </w:pPr>
            <w:r>
              <w:rPr>
                <w:rFonts w:ascii="Arial" w:cs="Arial" w:eastAsia="Arial" w:hAnsi="Arial"/>
                <w:sz w:val="12"/>
                <w:szCs w:val="12"/>
                <w:color w:val="auto"/>
              </w:rPr>
              <w:t>equipment</w:t>
            </w:r>
          </w:p>
        </w:tc>
        <w:tc>
          <w:tcPr>
            <w:tcW w:w="8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20" w:type="dxa"/>
            <w:vAlign w:val="bottom"/>
            <w:shd w:val="clear" w:color="auto" w:fill="CCEEFF"/>
          </w:tcPr>
          <w:p>
            <w:pPr>
              <w:ind w:left="520"/>
              <w:spacing w:after="0" w:line="117" w:lineRule="exact"/>
              <w:rPr>
                <w:sz w:val="20"/>
                <w:szCs w:val="20"/>
                <w:color w:val="auto"/>
              </w:rPr>
            </w:pPr>
            <w:r>
              <w:rPr>
                <w:rFonts w:ascii="Arial" w:cs="Arial" w:eastAsia="Arial" w:hAnsi="Arial"/>
                <w:sz w:val="12"/>
                <w:szCs w:val="12"/>
                <w:color w:val="auto"/>
                <w:w w:val="96"/>
              </w:rPr>
              <w:t>Less: Capitalized internal-use software</w:t>
            </w:r>
          </w:p>
        </w:tc>
        <w:tc>
          <w:tcPr>
            <w:tcW w:w="8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(5,928)</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(2,495)</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(15,201)</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(6,345)</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and website development</w:t>
            </w:r>
          </w:p>
        </w:tc>
        <w:tc>
          <w:tcPr>
            <w:tcW w:w="8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20" w:type="dxa"/>
            <w:vAlign w:val="bottom"/>
          </w:tcPr>
          <w:p>
            <w:pPr>
              <w:ind w:left="440"/>
              <w:spacing w:after="0"/>
              <w:rPr>
                <w:sz w:val="20"/>
                <w:szCs w:val="20"/>
                <w:color w:val="auto"/>
              </w:rPr>
            </w:pPr>
            <w:r>
              <w:rPr>
                <w:rFonts w:ascii="Arial" w:cs="Arial" w:eastAsia="Arial" w:hAnsi="Arial"/>
                <w:sz w:val="12"/>
                <w:szCs w:val="12"/>
                <w:color w:val="auto"/>
              </w:rPr>
              <w:t>Free cash flow</w:t>
            </w:r>
          </w:p>
        </w:tc>
        <w:tc>
          <w:tcPr>
            <w:tcW w:w="84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123,503</w:t>
            </w:r>
          </w:p>
        </w:tc>
        <w:tc>
          <w:tcPr>
            <w:tcW w:w="1580" w:type="dxa"/>
            <w:vAlign w:val="bottom"/>
            <w:gridSpan w:val="3"/>
          </w:tcPr>
          <w:p>
            <w:pPr>
              <w:jc w:val="right"/>
              <w:ind w:right="5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81"/>
              <w:spacing w:after="0"/>
              <w:rPr>
                <w:sz w:val="20"/>
                <w:szCs w:val="20"/>
                <w:color w:val="auto"/>
              </w:rPr>
            </w:pPr>
            <w:r>
              <w:rPr>
                <w:rFonts w:ascii="Arial" w:cs="Arial" w:eastAsia="Arial" w:hAnsi="Arial"/>
                <w:sz w:val="12"/>
                <w:szCs w:val="12"/>
                <w:color w:val="auto"/>
              </w:rPr>
              <w:t>76,095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314,445</w:t>
            </w:r>
          </w:p>
        </w:tc>
        <w:tc>
          <w:tcPr>
            <w:tcW w:w="156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81"/>
              <w:spacing w:after="0"/>
              <w:rPr>
                <w:sz w:val="20"/>
                <w:szCs w:val="20"/>
                <w:color w:val="auto"/>
              </w:rPr>
            </w:pPr>
            <w:r>
              <w:rPr>
                <w:rFonts w:ascii="Arial" w:cs="Arial" w:eastAsia="Arial" w:hAnsi="Arial"/>
                <w:sz w:val="12"/>
                <w:szCs w:val="12"/>
                <w:color w:val="auto"/>
              </w:rPr>
              <w:t>195,513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20" w:type="dxa"/>
            <w:vAlign w:val="bottom"/>
          </w:tcPr>
          <w:p>
            <w:pPr>
              <w:ind w:left="440"/>
              <w:spacing w:after="0" w:line="117" w:lineRule="exact"/>
              <w:rPr>
                <w:sz w:val="20"/>
                <w:szCs w:val="20"/>
                <w:color w:val="auto"/>
              </w:rPr>
            </w:pPr>
            <w:r>
              <w:rPr>
                <w:rFonts w:ascii="Arial" w:cs="Arial" w:eastAsia="Arial" w:hAnsi="Arial"/>
                <w:sz w:val="12"/>
                <w:szCs w:val="12"/>
                <w:color w:val="auto"/>
              </w:rPr>
              <w:t>GAAP net cash (used in) provided by</w:t>
            </w:r>
          </w:p>
        </w:tc>
        <w:tc>
          <w:tcPr>
            <w:tcW w:w="840" w:type="dxa"/>
            <w:vAlign w:val="bottom"/>
            <w:vMerge w:val="restart"/>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ind w:right="1"/>
              <w:spacing w:after="0"/>
              <w:rPr>
                <w:sz w:val="20"/>
                <w:szCs w:val="20"/>
                <w:color w:val="auto"/>
              </w:rPr>
            </w:pPr>
            <w:r>
              <w:rPr>
                <w:rFonts w:ascii="Arial" w:cs="Arial" w:eastAsia="Arial" w:hAnsi="Arial"/>
                <w:sz w:val="12"/>
                <w:szCs w:val="12"/>
                <w:color w:val="auto"/>
              </w:rPr>
              <w:t>(44,735)</w:t>
            </w:r>
          </w:p>
        </w:tc>
        <w:tc>
          <w:tcPr>
            <w:tcW w:w="1580" w:type="dxa"/>
            <w:vAlign w:val="bottom"/>
            <w:gridSpan w:val="3"/>
            <w:vMerge w:val="restart"/>
          </w:tcPr>
          <w:p>
            <w:pPr>
              <w:jc w:val="right"/>
              <w:ind w:right="52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161"/>
              <w:spacing w:after="0"/>
              <w:rPr>
                <w:sz w:val="20"/>
                <w:szCs w:val="20"/>
                <w:color w:val="auto"/>
              </w:rPr>
            </w:pPr>
            <w:r>
              <w:rPr>
                <w:rFonts w:ascii="Arial" w:cs="Arial" w:eastAsia="Arial" w:hAnsi="Arial"/>
                <w:sz w:val="12"/>
                <w:szCs w:val="12"/>
                <w:color w:val="auto"/>
              </w:rPr>
              <w:t>(98,375)</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(470,856)</w:t>
            </w:r>
          </w:p>
        </w:tc>
        <w:tc>
          <w:tcPr>
            <w:tcW w:w="1560" w:type="dxa"/>
            <w:vAlign w:val="bottom"/>
            <w:gridSpan w:val="3"/>
            <w:vMerge w:val="restart"/>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ind w:right="181"/>
              <w:spacing w:after="0"/>
              <w:rPr>
                <w:sz w:val="20"/>
                <w:szCs w:val="20"/>
                <w:color w:val="auto"/>
              </w:rPr>
            </w:pPr>
            <w:r>
              <w:rPr>
                <w:rFonts w:ascii="Arial" w:cs="Arial" w:eastAsia="Arial" w:hAnsi="Arial"/>
                <w:sz w:val="12"/>
                <w:szCs w:val="12"/>
                <w:color w:val="auto"/>
              </w:rPr>
              <w:t>512,728</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20"/>
                <w:szCs w:val="20"/>
                <w:color w:val="auto"/>
              </w:rPr>
            </w:pPr>
            <w:r>
              <w:rPr>
                <w:rFonts w:ascii="Arial" w:cs="Arial" w:eastAsia="Arial" w:hAnsi="Arial"/>
                <w:sz w:val="12"/>
                <w:szCs w:val="12"/>
                <w:color w:val="auto"/>
              </w:rPr>
              <w:t>investing activities</w:t>
            </w:r>
          </w:p>
        </w:tc>
        <w:tc>
          <w:tcPr>
            <w:tcW w:w="8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20" w:type="dxa"/>
            <w:vAlign w:val="bottom"/>
            <w:shd w:val="clear" w:color="auto" w:fill="CCEEFF"/>
          </w:tcPr>
          <w:p>
            <w:pPr>
              <w:ind w:left="440"/>
              <w:spacing w:after="0" w:line="117" w:lineRule="exact"/>
              <w:rPr>
                <w:sz w:val="20"/>
                <w:szCs w:val="20"/>
                <w:color w:val="auto"/>
              </w:rPr>
            </w:pPr>
            <w:r>
              <w:rPr>
                <w:rFonts w:ascii="Arial" w:cs="Arial" w:eastAsia="Arial" w:hAnsi="Arial"/>
                <w:sz w:val="12"/>
                <w:szCs w:val="12"/>
                <w:color w:val="auto"/>
              </w:rPr>
              <w:t>GAAP net cash provided by financing</w:t>
            </w:r>
          </w:p>
        </w:tc>
        <w:tc>
          <w:tcPr>
            <w:tcW w:w="840" w:type="dxa"/>
            <w:vAlign w:val="bottom"/>
            <w:vMerge w:val="restart"/>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7,554</w:t>
            </w:r>
          </w:p>
        </w:tc>
        <w:tc>
          <w:tcPr>
            <w:tcW w:w="158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5,171</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46,353</w:t>
            </w:r>
          </w:p>
        </w:tc>
        <w:tc>
          <w:tcPr>
            <w:tcW w:w="1560" w:type="dxa"/>
            <w:vAlign w:val="bottom"/>
            <w:gridSpan w:val="3"/>
            <w:vMerge w:val="restart"/>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39,606</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activities</w:t>
            </w:r>
          </w:p>
        </w:tc>
        <w:tc>
          <w:tcPr>
            <w:tcW w:w="84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580" w:type="dxa"/>
            <w:vAlign w:val="bottom"/>
            <w:gridSpan w:val="3"/>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560" w:type="dxa"/>
            <w:vAlign w:val="bottom"/>
            <w:gridSpan w:val="3"/>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20" w:type="dxa"/>
            <w:vAlign w:val="bottom"/>
            <w:shd w:val="clear" w:color="auto" w:fill="CCEEFF"/>
          </w:tcPr>
          <w:p>
            <w:pPr>
              <w:ind w:left="440"/>
              <w:spacing w:after="0" w:line="117" w:lineRule="exact"/>
              <w:rPr>
                <w:sz w:val="20"/>
                <w:szCs w:val="20"/>
                <w:color w:val="auto"/>
              </w:rPr>
            </w:pPr>
            <w:r>
              <w:rPr>
                <w:rFonts w:ascii="Arial" w:cs="Arial" w:eastAsia="Arial" w:hAnsi="Arial"/>
                <w:sz w:val="12"/>
                <w:szCs w:val="12"/>
                <w:color w:val="auto"/>
              </w:rPr>
              <w:t>GAAP net cash provided by operating</w:t>
            </w:r>
          </w:p>
        </w:tc>
        <w:tc>
          <w:tcPr>
            <w:tcW w:w="8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42</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38</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41</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81"/>
              <w:spacing w:after="0"/>
              <w:rPr>
                <w:sz w:val="20"/>
                <w:szCs w:val="20"/>
                <w:color w:val="auto"/>
              </w:rPr>
            </w:pPr>
            <w:r>
              <w:rPr>
                <w:rFonts w:ascii="Arial" w:cs="Arial" w:eastAsia="Arial" w:hAnsi="Arial"/>
                <w:sz w:val="12"/>
                <w:szCs w:val="12"/>
                <w:color w:val="auto"/>
              </w:rPr>
              <w:t>40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activities as a percentage of revenue</w:t>
            </w:r>
          </w:p>
        </w:tc>
        <w:tc>
          <w:tcPr>
            <w:tcW w:w="8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20" w:type="dxa"/>
            <w:vAlign w:val="bottom"/>
          </w:tcPr>
          <w:p>
            <w:pPr>
              <w:ind w:left="520"/>
              <w:spacing w:after="0" w:line="117" w:lineRule="exact"/>
              <w:rPr>
                <w:sz w:val="20"/>
                <w:szCs w:val="20"/>
                <w:color w:val="auto"/>
              </w:rPr>
            </w:pPr>
            <w:r>
              <w:rPr>
                <w:rFonts w:ascii="Arial" w:cs="Arial" w:eastAsia="Arial" w:hAnsi="Arial"/>
                <w:sz w:val="12"/>
                <w:szCs w:val="12"/>
                <w:color w:val="auto"/>
              </w:rPr>
              <w:t>Less: Purchases of property and</w:t>
            </w:r>
          </w:p>
        </w:tc>
        <w:tc>
          <w:tcPr>
            <w:tcW w:w="840" w:type="dxa"/>
            <w:vAlign w:val="bottom"/>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2"/>
                <w:szCs w:val="12"/>
                <w:color w:val="auto"/>
              </w:rPr>
              <w:t>(8)</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vMerge w:val="restart"/>
          </w:tcPr>
          <w:p>
            <w:pPr>
              <w:jc w:val="right"/>
              <w:ind w:right="161"/>
              <w:spacing w:after="0"/>
              <w:rPr>
                <w:sz w:val="20"/>
                <w:szCs w:val="20"/>
                <w:color w:val="auto"/>
              </w:rPr>
            </w:pPr>
            <w:r>
              <w:rPr>
                <w:rFonts w:ascii="Arial" w:cs="Arial" w:eastAsia="Arial" w:hAnsi="Arial"/>
                <w:sz w:val="12"/>
                <w:szCs w:val="12"/>
                <w:color w:val="auto"/>
              </w:rPr>
              <w:t>(4)</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(8)</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vMerge w:val="restart"/>
          </w:tcPr>
          <w:p>
            <w:pPr>
              <w:jc w:val="right"/>
              <w:ind w:right="161"/>
              <w:spacing w:after="0"/>
              <w:rPr>
                <w:sz w:val="20"/>
                <w:szCs w:val="20"/>
                <w:color w:val="auto"/>
              </w:rPr>
            </w:pPr>
            <w:r>
              <w:rPr>
                <w:rFonts w:ascii="Arial" w:cs="Arial" w:eastAsia="Arial" w:hAnsi="Arial"/>
                <w:sz w:val="12"/>
                <w:szCs w:val="12"/>
                <w:color w:val="auto"/>
              </w:rPr>
              <w:t>(7)</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520" w:type="dxa"/>
            <w:vAlign w:val="bottom"/>
          </w:tcPr>
          <w:p>
            <w:pPr>
              <w:ind w:left="80"/>
              <w:spacing w:after="0"/>
              <w:rPr>
                <w:sz w:val="20"/>
                <w:szCs w:val="20"/>
                <w:color w:val="auto"/>
              </w:rPr>
            </w:pPr>
            <w:r>
              <w:rPr>
                <w:rFonts w:ascii="Arial" w:cs="Arial" w:eastAsia="Arial" w:hAnsi="Arial"/>
                <w:sz w:val="12"/>
                <w:szCs w:val="12"/>
                <w:color w:val="auto"/>
              </w:rPr>
              <w:t>equipment as a percentage of revenue</w:t>
            </w:r>
          </w:p>
        </w:tc>
        <w:tc>
          <w:tcPr>
            <w:tcW w:w="8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20" w:type="dxa"/>
            <w:vAlign w:val="bottom"/>
            <w:shd w:val="clear" w:color="auto" w:fill="CCEEFF"/>
          </w:tcPr>
          <w:p>
            <w:pPr>
              <w:ind w:left="520"/>
              <w:spacing w:after="0" w:line="117" w:lineRule="exact"/>
              <w:rPr>
                <w:sz w:val="20"/>
                <w:szCs w:val="20"/>
                <w:color w:val="auto"/>
              </w:rPr>
            </w:pPr>
            <w:r>
              <w:rPr>
                <w:rFonts w:ascii="Arial" w:cs="Arial" w:eastAsia="Arial" w:hAnsi="Arial"/>
                <w:sz w:val="12"/>
                <w:szCs w:val="12"/>
                <w:color w:val="auto"/>
                <w:w w:val="96"/>
              </w:rPr>
              <w:t>Less: Capitalized internal-use software</w:t>
            </w:r>
          </w:p>
        </w:tc>
        <w:tc>
          <w:tcPr>
            <w:tcW w:w="8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20" w:type="dxa"/>
            <w:vAlign w:val="bottom"/>
            <w:shd w:val="clear" w:color="auto" w:fill="CCEEFF"/>
          </w:tcPr>
          <w:p>
            <w:pPr>
              <w:ind w:left="80"/>
              <w:spacing w:after="0" w:line="117" w:lineRule="exact"/>
              <w:rPr>
                <w:sz w:val="20"/>
                <w:szCs w:val="20"/>
                <w:color w:val="auto"/>
              </w:rPr>
            </w:pPr>
            <w:r>
              <w:rPr>
                <w:rFonts w:ascii="Arial" w:cs="Arial" w:eastAsia="Arial" w:hAnsi="Arial"/>
                <w:sz w:val="12"/>
                <w:szCs w:val="12"/>
                <w:color w:val="auto"/>
              </w:rPr>
              <w:t>and website development as a percentage of</w:t>
            </w:r>
          </w:p>
        </w:tc>
        <w:tc>
          <w:tcPr>
            <w:tcW w:w="8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(1)</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52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revenue</w:t>
            </w:r>
          </w:p>
        </w:tc>
        <w:tc>
          <w:tcPr>
            <w:tcW w:w="8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20" w:type="dxa"/>
            <w:vAlign w:val="bottom"/>
          </w:tcPr>
          <w:p>
            <w:pPr>
              <w:ind w:left="440"/>
              <w:spacing w:after="0"/>
              <w:rPr>
                <w:sz w:val="20"/>
                <w:szCs w:val="20"/>
                <w:color w:val="auto"/>
              </w:rPr>
            </w:pPr>
            <w:r>
              <w:rPr>
                <w:rFonts w:ascii="Arial" w:cs="Arial" w:eastAsia="Arial" w:hAnsi="Arial"/>
                <w:sz w:val="12"/>
                <w:szCs w:val="12"/>
                <w:color w:val="auto"/>
              </w:rPr>
              <w:t>Free cash flow margin</w:t>
            </w:r>
          </w:p>
        </w:tc>
        <w:tc>
          <w:tcPr>
            <w:tcW w:w="840" w:type="dxa"/>
            <w:vAlign w:val="bottom"/>
          </w:tcPr>
          <w:p>
            <w:pPr>
              <w:spacing w:after="0"/>
              <w:rPr>
                <w:sz w:val="13"/>
                <w:szCs w:val="13"/>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32</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jc w:val="right"/>
              <w:ind w:right="181"/>
              <w:spacing w:after="0"/>
              <w:rPr>
                <w:sz w:val="20"/>
                <w:szCs w:val="20"/>
                <w:color w:val="auto"/>
              </w:rPr>
            </w:pPr>
            <w:r>
              <w:rPr>
                <w:rFonts w:ascii="Arial" w:cs="Arial" w:eastAsia="Arial" w:hAnsi="Arial"/>
                <w:sz w:val="12"/>
                <w:szCs w:val="12"/>
                <w:color w:val="auto"/>
              </w:rPr>
              <w:t>33</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31</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jc w:val="right"/>
              <w:ind w:right="181"/>
              <w:spacing w:after="0"/>
              <w:rPr>
                <w:sz w:val="20"/>
                <w:szCs w:val="20"/>
                <w:color w:val="auto"/>
              </w:rPr>
            </w:pPr>
            <w:r>
              <w:rPr>
                <w:rFonts w:ascii="Arial" w:cs="Arial" w:eastAsia="Arial" w:hAnsi="Arial"/>
                <w:sz w:val="12"/>
                <w:szCs w:val="12"/>
                <w:color w:val="auto"/>
              </w:rPr>
              <w:t>32</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75"/>
        </w:trPr>
        <w:tc>
          <w:tcPr>
            <w:tcW w:w="2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46" w:name="page47"/>
    <w:bookmarkEnd w:id="46"/>
    <w:p>
      <w:pPr>
        <w:jc w:val="cente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ind w:right="580" w:firstLine="432"/>
        <w:spacing w:after="0" w:line="276" w:lineRule="auto"/>
        <w:rPr>
          <w:sz w:val="20"/>
          <w:szCs w:val="20"/>
          <w:color w:val="auto"/>
        </w:rPr>
      </w:pPr>
      <w:r>
        <w:rPr>
          <w:rFonts w:ascii="Arial" w:cs="Arial" w:eastAsia="Arial" w:hAnsi="Arial"/>
          <w:sz w:val="12"/>
          <w:szCs w:val="12"/>
          <w:color w:val="auto"/>
        </w:rPr>
        <w:t>In January 2021, we issued and sold an aggregate principal amount of $750.0 million of 3.000% Senior Notes due 2029. The net proceeds from the debt offering were $738.0 million after deducting the underwriting commissions of $9.4 million and $2.6 million of issuance costs.</w:t>
      </w:r>
    </w:p>
    <w:p>
      <w:pPr>
        <w:spacing w:after="0" w:line="133"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In January 2021, we amended and restated our existing senior secured revolving credit facility and increased the size of the credit facility from $150.0 million to $750.0 million, including a letter of credit sub-facility in the aggregate amount of $100.0 million, and a swingline sub-facility in the aggregate amount of $50.0 million. No amounts were outstanding under the credit facility as of October 31, 2021.</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See Note 5, “Debt”, in our Notes to Condensed Consolidated Financial Statements in Part I, Item 1 of this Quarterly Report on Form 10-Q, for a brief description of our senior notes and our revolving credit facility.</w:t>
      </w:r>
    </w:p>
    <w:p>
      <w:pPr>
        <w:spacing w:after="0" w:line="198" w:lineRule="exact"/>
        <w:rPr>
          <w:sz w:val="20"/>
          <w:szCs w:val="20"/>
          <w:color w:val="auto"/>
        </w:rPr>
      </w:pPr>
    </w:p>
    <w:p>
      <w:pPr>
        <w:jc w:val="both"/>
        <w:ind w:right="120" w:firstLine="144"/>
        <w:spacing w:after="0" w:line="255" w:lineRule="auto"/>
        <w:rPr>
          <w:sz w:val="20"/>
          <w:szCs w:val="20"/>
          <w:color w:val="auto"/>
        </w:rPr>
      </w:pPr>
      <w:r>
        <w:rPr>
          <w:rFonts w:ascii="Arial" w:cs="Arial" w:eastAsia="Arial" w:hAnsi="Arial"/>
          <w:sz w:val="12"/>
          <w:szCs w:val="12"/>
          <w:color w:val="auto"/>
        </w:rPr>
        <w:t>As of October 31, 2021, we had cash and cash equivalents, consisting of highly liquid money market funds, of $1.9 billion. During the first quarter of fiscal 2021, we liquidated our entire portfolio of marketable securities largely in response to the global economic uncertainty in conjunction with the COVID-19 pandemic. This resulted in the recognition of a realized gain of $1.3 million during the nine months ended October 31, 2020. We expect that our existing cash and cash equivalents will be sufficient to meet our anticipated cash needs for working capital and capital expenditures for at least the next 12 months.</w:t>
      </w:r>
    </w:p>
    <w:p>
      <w:pPr>
        <w:spacing w:after="0" w:line="118" w:lineRule="exact"/>
        <w:rPr>
          <w:sz w:val="20"/>
          <w:szCs w:val="20"/>
          <w:color w:val="auto"/>
        </w:rPr>
      </w:pPr>
    </w:p>
    <w:p>
      <w:pPr>
        <w:jc w:val="both"/>
        <w:ind w:right="200" w:firstLine="432"/>
        <w:spacing w:after="0" w:line="379" w:lineRule="auto"/>
        <w:rPr>
          <w:sz w:val="20"/>
          <w:szCs w:val="20"/>
          <w:color w:val="auto"/>
        </w:rPr>
      </w:pPr>
      <w:r>
        <w:rPr>
          <w:rFonts w:ascii="Arial" w:cs="Arial" w:eastAsia="Arial" w:hAnsi="Arial"/>
          <w:sz w:val="10"/>
          <w:szCs w:val="10"/>
          <w:color w:val="auto"/>
        </w:rPr>
        <w:t>Since our inception, we have generated operating losses, as reflected in our accumulated deficit of $922.9 million as of October 31, 2021. We expect to continue to incur operating losses for the foreseeable future due to the investments we intend to continue to make, particularly in sales and marketing and research and development. As a result, we may require additional capital resources in the future to execute strategic initiatives to grow our business.</w:t>
      </w:r>
    </w:p>
    <w:p>
      <w:pPr>
        <w:spacing w:after="0" w:line="69"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October 31, 2021, we had deferred revenue of $1.3 billion, of which $974.6 million was recorded as a current liability and is expected to be recorded as revenue in the next 12 months, provided all other revenue recognition criteria have been met.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Cash Flows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cash flows for the periods presented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0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96"/>
              </w:rPr>
              <w:t>Nine Months Ended October 31,</w:t>
            </w:r>
          </w:p>
        </w:tc>
        <w:tc>
          <w:tcPr>
            <w:tcW w:w="920" w:type="dxa"/>
            <w:vAlign w:val="bottom"/>
            <w:tcBorders>
              <w:bottom w:val="single" w:sz="8" w:color="auto"/>
            </w:tcBorders>
          </w:tcPr>
          <w:p>
            <w:pPr>
              <w:spacing w:after="0"/>
              <w:rPr>
                <w:sz w:val="11"/>
                <w:szCs w:val="11"/>
                <w:color w:val="auto"/>
              </w:rPr>
            </w:pPr>
          </w:p>
        </w:tc>
      </w:tr>
      <w:tr>
        <w:trPr>
          <w:trHeight w:val="126"/>
        </w:trPr>
        <w:tc>
          <w:tcPr>
            <w:tcW w:w="7500" w:type="dxa"/>
            <w:vAlign w:val="bottom"/>
          </w:tcPr>
          <w:p>
            <w:pPr>
              <w:spacing w:after="0"/>
              <w:rPr>
                <w:sz w:val="10"/>
                <w:szCs w:val="10"/>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2020</w:t>
            </w:r>
          </w:p>
        </w:tc>
      </w:tr>
      <w:tr>
        <w:trPr>
          <w:trHeight w:val="162"/>
        </w:trPr>
        <w:tc>
          <w:tcPr>
            <w:tcW w:w="7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cash provided by operating activities</w:t>
            </w:r>
          </w:p>
        </w:tc>
        <w:tc>
          <w:tcPr>
            <w:tcW w:w="1300" w:type="dxa"/>
            <w:vAlign w:val="bottom"/>
            <w:shd w:val="clear" w:color="auto" w:fill="CCEEFF"/>
          </w:tcPr>
          <w:p>
            <w:pPr>
              <w:jc w:val="right"/>
              <w:ind w:right="746"/>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415,066</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242,103</w:t>
            </w:r>
          </w:p>
        </w:tc>
      </w:tr>
      <w:tr>
        <w:trPr>
          <w:trHeight w:val="153"/>
        </w:trPr>
        <w:tc>
          <w:tcPr>
            <w:tcW w:w="7500" w:type="dxa"/>
            <w:vAlign w:val="bottom"/>
          </w:tcPr>
          <w:p>
            <w:pPr>
              <w:ind w:left="440"/>
              <w:spacing w:after="0"/>
              <w:rPr>
                <w:sz w:val="20"/>
                <w:szCs w:val="20"/>
                <w:color w:val="auto"/>
              </w:rPr>
            </w:pPr>
            <w:r>
              <w:rPr>
                <w:rFonts w:ascii="Arial" w:cs="Arial" w:eastAsia="Arial" w:hAnsi="Arial"/>
                <w:sz w:val="12"/>
                <w:szCs w:val="12"/>
                <w:color w:val="auto"/>
              </w:rPr>
              <w:t>Net cash (used in) provided by investing activities</w:t>
            </w: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(470,856)</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512,728</w:t>
            </w:r>
          </w:p>
        </w:tc>
      </w:tr>
      <w:tr>
        <w:trPr>
          <w:trHeight w:val="153"/>
        </w:trPr>
        <w:tc>
          <w:tcPr>
            <w:tcW w:w="7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cash provided by financing activities</w:t>
            </w: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46,353</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39,606</w:t>
            </w: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50" w:lineRule="exact"/>
        <w:rPr>
          <w:sz w:val="20"/>
          <w:szCs w:val="20"/>
          <w:color w:val="auto"/>
        </w:rPr>
      </w:pPr>
    </w:p>
    <w:p>
      <w:pPr>
        <w:ind w:right="140" w:firstLine="432"/>
        <w:spacing w:after="0" w:line="283" w:lineRule="auto"/>
        <w:rPr>
          <w:sz w:val="20"/>
          <w:szCs w:val="20"/>
          <w:color w:val="auto"/>
        </w:rPr>
      </w:pPr>
      <w:r>
        <w:rPr>
          <w:rFonts w:ascii="Arial" w:cs="Arial" w:eastAsia="Arial" w:hAnsi="Arial"/>
          <w:sz w:val="11"/>
          <w:szCs w:val="11"/>
          <w:color w:val="auto"/>
        </w:rPr>
        <w:t>Net cash provided by operating activities during the nine months ended October 31, 2021 was $415.1 million, which resulted from a net loss of $190.6 million, adjusted for non-cash charges of $349.8 million and net cash inflow of $255.9 million from changes in operating assets and liabilities. Non-cash charges primarily consisted of $217.3 million in stock-based compensation expense, $79.7 million of amortization of deferred contract acquisition costs, $39.2 million of depreciation and amortization, $9.1 million of amortization for intangibles assets and $6.7 million of non-cash operating lease costs, offset by a $4.4 million change in fair value of strategic investments. The net cash inflow from changes in operating assets and liabilities was primarily due to a $375.6 million increase in deferred revenue, a $81.8 million increase in accrued expenses and other current liabilities, a $22.3 million increase in accrued payroll and benefits, partially offset by $151.9 million increase in deferred contract acquisition costs, a $41.1 million increase in accounts receivable, a $9.8 million increase in prepaid expenses and other assets, a $7.4 million decrease in operating lease liabilities, a $7.0 million decrease in accounts payable and a $7.0 million decrease in 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47" w:name="page48"/>
    <w:bookmarkEnd w:id="47"/>
    <w:p>
      <w:pPr>
        <w:ind w:left="420"/>
        <w:spacing w:after="0"/>
        <w:rPr>
          <w:sz w:val="20"/>
          <w:szCs w:val="20"/>
          <w:color w:val="auto"/>
        </w:rPr>
      </w:pPr>
      <w:r>
        <w:rPr>
          <w:rFonts w:ascii="Arial" w:cs="Arial" w:eastAsia="Arial" w:hAnsi="Arial"/>
          <w:sz w:val="10"/>
          <w:szCs w:val="10"/>
          <w:color w:val="auto"/>
        </w:rPr>
        <w:t>Net cash provided by operating activities during the nine months ended October 31, 2020 was $242.1 million, which resulted from a net loss of $73.6 million, adjusted for non-cash charges of $182.1 million and net cash inflow</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of $133.6 million from changes in operating assets and liabilities. Non-cash charges primarily consisted of $102.0 million in stock-based compensation expense, $44.9 million of amortization of deferred contract acquisition costs, $27.7</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million of depreciation and amortization, and $7.7 million of non-cash operating lease costs. The net cash inflow from changes in operating assets and liabilities was primarily due to a $189.6 million increase in deferred revenue, a</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$18.7 million increase in accrued payroll and benefits, a $7.9 million increase in other liabilities and a $6.6 million increase in accounts payable, partially offset by $84.7 million increase in deferred contract acquisition costs and a $6.2</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million increase in accounts receivable.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50" w:lineRule="exact"/>
        <w:rPr>
          <w:sz w:val="20"/>
          <w:szCs w:val="20"/>
          <w:color w:val="auto"/>
        </w:rPr>
      </w:pPr>
    </w:p>
    <w:p>
      <w:pPr>
        <w:ind w:right="500" w:firstLine="432"/>
        <w:spacing w:after="0" w:line="276" w:lineRule="auto"/>
        <w:rPr>
          <w:sz w:val="20"/>
          <w:szCs w:val="20"/>
          <w:color w:val="auto"/>
        </w:rPr>
      </w:pPr>
      <w:r>
        <w:rPr>
          <w:rFonts w:ascii="Arial" w:cs="Arial" w:eastAsia="Arial" w:hAnsi="Arial"/>
          <w:sz w:val="12"/>
          <w:szCs w:val="12"/>
          <w:color w:val="auto"/>
        </w:rPr>
        <w:t>Net cash used in investing activities during the nine months ended October 31, 2021 of $470.9 million was primarily due to the acquisition of Humio, net of cash acquired, of $353.7 million, purchases of property and equipment of $85.4 million, capitalized internal-use software and website development of $15.2 million, and purchase of strategic investments of $15.8 million.</w:t>
      </w:r>
    </w:p>
    <w:p>
      <w:pPr>
        <w:spacing w:after="0" w:line="115"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Net cash provided by investing activities during the nine months ended October 31, 2020 of $512.7 million was primarily due to the sale of marketable securities of $639.6 million and the maturities of marketable securities of $91.6 million, partially offset by a business acquisition, net of cash acquired, of $85.5 million, purchases of marketable securities of $84.9 million, purchases of property and equipment of $40.2 million, and capitalized internal-use software of $6.3 million.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Net cash provided by financing activities of $46.4 million during the nine months ended October 31, 2021 was primarily due to proceeds from employee stock purchase plan of $27.5 million and the proceeds from the exercise of stock options of $12.8 million and $7.9 million capital contributions from non-controlling interest.</w:t>
      </w:r>
    </w:p>
    <w:p>
      <w:pPr>
        <w:spacing w:after="0" w:line="115"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Net cash provided by financing activities of $39.6 million during the nine months ended October 31, 2020 was primarily due to proceeds from the exercise of stock options of $21.5 million and proceeds from employee stock purchase plan of $17.3 million.</w:t>
      </w:r>
    </w:p>
    <w:p>
      <w:pPr>
        <w:spacing w:after="0" w:line="111" w:lineRule="exact"/>
        <w:rPr>
          <w:sz w:val="20"/>
          <w:szCs w:val="20"/>
          <w:color w:val="auto"/>
        </w:rPr>
      </w:pPr>
    </w:p>
    <w:p>
      <w:pPr>
        <w:ind w:left="1720"/>
        <w:spacing w:after="0"/>
        <w:rPr>
          <w:sz w:val="20"/>
          <w:szCs w:val="20"/>
          <w:color w:val="auto"/>
        </w:rPr>
      </w:pPr>
      <w:r>
        <w:rPr>
          <w:rFonts w:ascii="Arial" w:cs="Arial" w:eastAsia="Arial" w:hAnsi="Arial"/>
          <w:sz w:val="12"/>
          <w:szCs w:val="12"/>
          <w:b w:val="1"/>
          <w:bCs w:val="1"/>
          <w:color w:val="auto"/>
        </w:rPr>
        <w:t>Supplemental Guarantor Financial Information</w:t>
      </w:r>
    </w:p>
    <w:p>
      <w:pPr>
        <w:spacing w:after="0" w:line="154"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5, “Debt”, in our Notes to Condensed Consolidated Financial Statements in Part I, Item 1 of this Quarterly Report on Form 10-Q, for a brief description of the Senior Notes.</w:t>
      </w:r>
    </w:p>
    <w:p>
      <w:pPr>
        <w:spacing w:after="0" w:line="122"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We conduct our operations almost entirely through our subsidiaries. Accordingly, the Obligor Group’s cash flow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15" w:lineRule="exact"/>
        <w:rPr>
          <w:sz w:val="20"/>
          <w:szCs w:val="20"/>
          <w:color w:val="auto"/>
        </w:rPr>
      </w:pPr>
    </w:p>
    <w:p>
      <w:pPr>
        <w:ind w:right="40" w:firstLine="216"/>
        <w:spacing w:after="0" w:line="285" w:lineRule="auto"/>
        <w:rPr>
          <w:sz w:val="20"/>
          <w:szCs w:val="20"/>
          <w:color w:val="auto"/>
        </w:rPr>
      </w:pPr>
      <w:r>
        <w:rPr>
          <w:rFonts w:ascii="Arial" w:cs="Arial" w:eastAsia="Arial" w:hAnsi="Arial"/>
          <w:sz w:val="11"/>
          <w:szCs w:val="11"/>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summarized financial information of the Obligor Group also includes the amounts of CrowdStrike Services, Inc. which was a separate wholly owned subsidiary of ours that was merged into CrowdStrike, Inc. on December 31, 2020, therefore becoming part of the Obligor Group prior to the issuance of the Senior Notes. The revenue amounts presented in the summarized financial information include substantially all of our consolidated revenues, and there are no intercompany revenues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361950</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48" w:name="page49"/>
    <w:bookmarkEnd w:id="48"/>
    <w:tbl>
      <w:tblPr>
        <w:tblLayout w:type="fixed"/>
        <w:tblInd w:w="8" w:type="dxa"/>
        <w:tblCellMar>
          <w:top w:w="0" w:type="dxa"/>
          <w:left w:w="0" w:type="dxa"/>
          <w:bottom w:w="0" w:type="dxa"/>
          <w:right w:w="0" w:type="dxa"/>
        </w:tblCellMar>
      </w:tblPr>
      <w:tr>
        <w:trPr>
          <w:trHeight w:val="157"/>
        </w:trPr>
        <w:tc>
          <w:tcPr>
            <w:tcW w:w="7500" w:type="dxa"/>
            <w:vAlign w:val="bottom"/>
          </w:tcPr>
          <w:p>
            <w:pPr>
              <w:spacing w:after="0"/>
              <w:rPr>
                <w:sz w:val="20"/>
                <w:szCs w:val="20"/>
                <w:color w:val="auto"/>
              </w:rPr>
            </w:pPr>
            <w:r>
              <w:rPr>
                <w:rFonts w:ascii="Arial" w:cs="Arial" w:eastAsia="Arial" w:hAnsi="Arial"/>
                <w:sz w:val="12"/>
                <w:szCs w:val="12"/>
                <w:b w:val="1"/>
                <w:bCs w:val="1"/>
                <w:color w:val="auto"/>
              </w:rPr>
              <w:t>Statement of Operations</w:t>
            </w: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87"/>
              </w:rPr>
              <w:t>Nine Months Ended October 31, 2021</w:t>
            </w:r>
          </w:p>
        </w:tc>
        <w:tc>
          <w:tcPr>
            <w:tcW w:w="40" w:type="dxa"/>
            <w:vAlign w:val="bottom"/>
          </w:tcPr>
          <w:p>
            <w:pPr>
              <w:spacing w:after="0"/>
              <w:rPr>
                <w:sz w:val="13"/>
                <w:szCs w:val="13"/>
                <w:color w:val="auto"/>
              </w:rPr>
            </w:pPr>
          </w:p>
        </w:tc>
      </w:tr>
      <w:tr>
        <w:trPr>
          <w:trHeight w:val="114"/>
        </w:trPr>
        <w:tc>
          <w:tcPr>
            <w:tcW w:w="7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tcPr>
          <w:p>
            <w:pPr>
              <w:jc w:val="right"/>
              <w:ind w:right="562"/>
              <w:spacing w:after="0" w:line="114" w:lineRule="exact"/>
              <w:rPr>
                <w:sz w:val="20"/>
                <w:szCs w:val="20"/>
                <w:color w:val="auto"/>
              </w:rPr>
            </w:pPr>
            <w:r>
              <w:rPr>
                <w:rFonts w:ascii="Arial" w:cs="Arial" w:eastAsia="Arial" w:hAnsi="Arial"/>
                <w:sz w:val="10"/>
                <w:szCs w:val="10"/>
                <w:b w:val="1"/>
                <w:bCs w:val="1"/>
                <w:color w:val="auto"/>
              </w:rPr>
              <w:t>(in thousands)</w:t>
            </w:r>
          </w:p>
        </w:tc>
        <w:tc>
          <w:tcPr>
            <w:tcW w:w="40" w:type="dxa"/>
            <w:vAlign w:val="bottom"/>
          </w:tcPr>
          <w:p>
            <w:pPr>
              <w:spacing w:after="0"/>
              <w:rPr>
                <w:sz w:val="9"/>
                <w:szCs w:val="9"/>
                <w:color w:val="auto"/>
              </w:rPr>
            </w:pPr>
          </w:p>
        </w:tc>
      </w:tr>
      <w:tr>
        <w:trPr>
          <w:trHeight w:val="154"/>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3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1,019,935</w:t>
            </w:r>
          </w:p>
        </w:tc>
        <w:tc>
          <w:tcPr>
            <w:tcW w:w="40" w:type="dxa"/>
            <w:vAlign w:val="bottom"/>
          </w:tcPr>
          <w:p>
            <w:pPr>
              <w:spacing w:after="0"/>
              <w:rPr>
                <w:sz w:val="13"/>
                <w:szCs w:val="13"/>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2"/>
                <w:szCs w:val="12"/>
                <w:color w:val="auto"/>
              </w:rPr>
              <w:t>Cost of revenue</w:t>
            </w: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ind w:right="2"/>
              <w:spacing w:after="0"/>
              <w:rPr>
                <w:sz w:val="20"/>
                <w:szCs w:val="20"/>
                <w:color w:val="auto"/>
              </w:rPr>
            </w:pPr>
            <w:r>
              <w:rPr>
                <w:rFonts w:ascii="Arial" w:cs="Arial" w:eastAsia="Arial" w:hAnsi="Arial"/>
                <w:sz w:val="12"/>
                <w:szCs w:val="12"/>
                <w:color w:val="auto"/>
              </w:rPr>
              <w:t>280,544</w:t>
            </w:r>
          </w:p>
        </w:tc>
        <w:tc>
          <w:tcPr>
            <w:tcW w:w="40" w:type="dxa"/>
            <w:vAlign w:val="bottom"/>
          </w:tcPr>
          <w:p>
            <w:pPr>
              <w:spacing w:after="0"/>
              <w:rPr>
                <w:sz w:val="13"/>
                <w:szCs w:val="13"/>
                <w:color w:val="auto"/>
              </w:rPr>
            </w:pPr>
          </w:p>
        </w:tc>
      </w:tr>
      <w:tr>
        <w:trPr>
          <w:trHeight w:val="153"/>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3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876,825</w:t>
            </w:r>
          </w:p>
        </w:tc>
        <w:tc>
          <w:tcPr>
            <w:tcW w:w="40" w:type="dxa"/>
            <w:vAlign w:val="bottom"/>
          </w:tcPr>
          <w:p>
            <w:pPr>
              <w:spacing w:after="0"/>
              <w:rPr>
                <w:sz w:val="13"/>
                <w:szCs w:val="13"/>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2"/>
                <w:szCs w:val="12"/>
                <w:color w:val="auto"/>
              </w:rPr>
              <w:t>Loss from operations</w:t>
            </w: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(137,434)</w:t>
            </w:r>
          </w:p>
        </w:tc>
        <w:tc>
          <w:tcPr>
            <w:tcW w:w="40" w:type="dxa"/>
            <w:vAlign w:val="bottom"/>
          </w:tcPr>
          <w:p>
            <w:pPr>
              <w:spacing w:after="0"/>
              <w:rPr>
                <w:sz w:val="13"/>
                <w:szCs w:val="13"/>
                <w:color w:val="auto"/>
              </w:rPr>
            </w:pPr>
          </w:p>
        </w:tc>
      </w:tr>
      <w:tr>
        <w:trPr>
          <w:trHeight w:val="153"/>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3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(162,627)</w:t>
            </w:r>
          </w:p>
        </w:tc>
        <w:tc>
          <w:tcPr>
            <w:tcW w:w="40" w:type="dxa"/>
            <w:vAlign w:val="bottom"/>
          </w:tcPr>
          <w:p>
            <w:pPr>
              <w:spacing w:after="0"/>
              <w:rPr>
                <w:sz w:val="13"/>
                <w:szCs w:val="13"/>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2"/>
                <w:szCs w:val="12"/>
                <w:color w:val="auto"/>
              </w:rPr>
              <w:t>Net loss attributable to CrowdStrike</w:t>
            </w: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(162,627)</w:t>
            </w:r>
          </w:p>
        </w:tc>
        <w:tc>
          <w:tcPr>
            <w:tcW w:w="40" w:type="dxa"/>
            <w:vAlign w:val="bottom"/>
          </w:tcPr>
          <w:p>
            <w:pPr>
              <w:spacing w:after="0"/>
              <w:rPr>
                <w:sz w:val="13"/>
                <w:szCs w:val="13"/>
                <w:color w:val="auto"/>
              </w:rPr>
            </w:pPr>
          </w:p>
        </w:tc>
      </w:tr>
      <w:tr>
        <w:trPr>
          <w:trHeight w:val="378"/>
        </w:trPr>
        <w:tc>
          <w:tcPr>
            <w:tcW w:w="7500" w:type="dxa"/>
            <w:vAlign w:val="bottom"/>
          </w:tcPr>
          <w:p>
            <w:pPr>
              <w:spacing w:after="0"/>
              <w:rPr>
                <w:sz w:val="20"/>
                <w:szCs w:val="20"/>
                <w:color w:val="auto"/>
              </w:rPr>
            </w:pPr>
            <w:r>
              <w:rPr>
                <w:rFonts w:ascii="Arial" w:cs="Arial" w:eastAsia="Arial" w:hAnsi="Arial"/>
                <w:sz w:val="12"/>
                <w:szCs w:val="12"/>
                <w:b w:val="1"/>
                <w:bCs w:val="1"/>
                <w:color w:val="auto"/>
              </w:rPr>
              <w:t>Balance Sheets</w:t>
            </w: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October 31, 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January 31, 2021</w:t>
            </w:r>
          </w:p>
        </w:tc>
        <w:tc>
          <w:tcPr>
            <w:tcW w:w="40" w:type="dxa"/>
            <w:vAlign w:val="bottom"/>
            <w:tcBorders>
              <w:bottom w:val="single" w:sz="8" w:color="auto"/>
            </w:tcBorders>
          </w:tcPr>
          <w:p>
            <w:pPr>
              <w:spacing w:after="0"/>
              <w:rPr>
                <w:sz w:val="24"/>
                <w:szCs w:val="24"/>
                <w:color w:val="auto"/>
              </w:rPr>
            </w:pPr>
          </w:p>
        </w:tc>
      </w:tr>
      <w:tr>
        <w:trPr>
          <w:trHeight w:val="138"/>
        </w:trPr>
        <w:tc>
          <w:tcPr>
            <w:tcW w:w="7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gridSpan w:val="5"/>
          </w:tcPr>
          <w:p>
            <w:pPr>
              <w:jc w:val="right"/>
              <w:ind w:right="1502"/>
              <w:spacing w:after="0"/>
              <w:rPr>
                <w:sz w:val="20"/>
                <w:szCs w:val="20"/>
                <w:color w:val="auto"/>
              </w:rPr>
            </w:pPr>
            <w:r>
              <w:rPr>
                <w:rFonts w:ascii="Arial" w:cs="Arial" w:eastAsia="Arial" w:hAnsi="Arial"/>
                <w:sz w:val="10"/>
                <w:szCs w:val="10"/>
                <w:b w:val="1"/>
                <w:bCs w:val="1"/>
                <w:color w:val="auto"/>
              </w:rPr>
              <w:t>(in thousands)</w:t>
            </w:r>
          </w:p>
        </w:tc>
        <w:tc>
          <w:tcPr>
            <w:tcW w:w="40" w:type="dxa"/>
            <w:vAlign w:val="bottom"/>
          </w:tcPr>
          <w:p>
            <w:pPr>
              <w:spacing w:after="0"/>
              <w:rPr>
                <w:sz w:val="12"/>
                <w:szCs w:val="12"/>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Current assets (excluding intercompany receivables from non-Guarantors)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2,245,328</w:t>
            </w:r>
          </w:p>
        </w:tc>
        <w:tc>
          <w:tcPr>
            <w:tcW w:w="10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2,249,834</w:t>
            </w:r>
          </w:p>
        </w:tc>
        <w:tc>
          <w:tcPr>
            <w:tcW w:w="40" w:type="dxa"/>
            <w:vAlign w:val="bottom"/>
            <w:shd w:val="clear" w:color="auto" w:fill="CCEEFF"/>
          </w:tcPr>
          <w:p>
            <w:pPr>
              <w:spacing w:after="0"/>
              <w:rPr>
                <w:sz w:val="13"/>
                <w:szCs w:val="13"/>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2"/>
                <w:szCs w:val="12"/>
                <w:color w:val="auto"/>
              </w:rPr>
              <w:t>Intercompany receivables from non-Guarantors</w:t>
            </w: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7,290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8,822</w:t>
            </w:r>
          </w:p>
        </w:tc>
        <w:tc>
          <w:tcPr>
            <w:tcW w:w="40" w:type="dxa"/>
            <w:vAlign w:val="bottom"/>
          </w:tcPr>
          <w:p>
            <w:pPr>
              <w:spacing w:after="0"/>
              <w:rPr>
                <w:sz w:val="13"/>
                <w:szCs w:val="13"/>
                <w:color w:val="auto"/>
              </w:rPr>
            </w:pPr>
          </w:p>
        </w:tc>
      </w:tr>
      <w:tr>
        <w:trPr>
          <w:trHeight w:val="153"/>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Noncurrent assets</w:t>
            </w:r>
          </w:p>
        </w:tc>
        <w:tc>
          <w:tcPr>
            <w:tcW w:w="3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973,605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398,656</w:t>
            </w:r>
          </w:p>
        </w:tc>
        <w:tc>
          <w:tcPr>
            <w:tcW w:w="40" w:type="dxa"/>
            <w:vAlign w:val="bottom"/>
            <w:shd w:val="clear" w:color="auto" w:fill="CCEEFF"/>
          </w:tcPr>
          <w:p>
            <w:pPr>
              <w:spacing w:after="0"/>
              <w:rPr>
                <w:sz w:val="13"/>
                <w:szCs w:val="13"/>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2"/>
                <w:szCs w:val="12"/>
                <w:color w:val="auto"/>
              </w:rPr>
              <w:t>Current liabilities</w:t>
            </w: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1,138,581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834,462</w:t>
            </w:r>
          </w:p>
        </w:tc>
        <w:tc>
          <w:tcPr>
            <w:tcW w:w="40" w:type="dxa"/>
            <w:vAlign w:val="bottom"/>
          </w:tcPr>
          <w:p>
            <w:pPr>
              <w:spacing w:after="0"/>
              <w:rPr>
                <w:sz w:val="13"/>
                <w:szCs w:val="13"/>
                <w:color w:val="auto"/>
              </w:rPr>
            </w:pPr>
          </w:p>
        </w:tc>
      </w:tr>
      <w:tr>
        <w:trPr>
          <w:trHeight w:val="153"/>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 (excluding intercompany payable to non-Guarantors)</w:t>
            </w:r>
          </w:p>
        </w:tc>
        <w:tc>
          <w:tcPr>
            <w:tcW w:w="3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1,089,455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988,391</w:t>
            </w:r>
          </w:p>
        </w:tc>
        <w:tc>
          <w:tcPr>
            <w:tcW w:w="40" w:type="dxa"/>
            <w:vAlign w:val="bottom"/>
            <w:shd w:val="clear" w:color="auto" w:fill="CCEEFF"/>
          </w:tcPr>
          <w:p>
            <w:pPr>
              <w:spacing w:after="0"/>
              <w:rPr>
                <w:sz w:val="13"/>
                <w:szCs w:val="13"/>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2"/>
                <w:szCs w:val="12"/>
                <w:color w:val="auto"/>
              </w:rPr>
              <w:t>Intercompany payable to non-Guarantors</w:t>
            </w: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149,670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r>
    </w:tbl>
    <w:p>
      <w:pPr>
        <w:spacing w:after="0" w:line="153"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Strategic Investments</w:t>
      </w:r>
    </w:p>
    <w:p>
      <w:pPr>
        <w:spacing w:after="0" w:line="150" w:lineRule="exact"/>
        <w:rPr>
          <w:sz w:val="20"/>
          <w:szCs w:val="20"/>
          <w:color w:val="auto"/>
        </w:rPr>
      </w:pPr>
    </w:p>
    <w:p>
      <w:pPr>
        <w:ind w:left="8" w:right="100" w:firstLine="432"/>
        <w:spacing w:after="0" w:line="256" w:lineRule="auto"/>
        <w:rPr>
          <w:sz w:val="20"/>
          <w:szCs w:val="20"/>
          <w:color w:val="auto"/>
        </w:rPr>
      </w:pPr>
      <w:r>
        <w:rPr>
          <w:rFonts w:ascii="Arial" w:cs="Arial" w:eastAsia="Arial" w:hAnsi="Arial"/>
          <w:sz w:val="12"/>
          <w:szCs w:val="12"/>
          <w:color w:val="auto"/>
        </w:rPr>
        <w:t>In July 2019, we agreed to commit up to $10.0 million to a newly formed entity, CrowdStrike Falcon Fund LLC (“Falcon Fund”), in exchange for 50% of the sharing percentage of any distribution by Falcon Fund. Additionally, entities associated with Accel, a holder of more than 5% of our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Falcon Fund has a duration of ten years which may be extended for three additional years. At dissolution, Falcon Fund will be liquidated and the remaining assets will be distributed to the investors based on their sharing percentage. We have made contributions totaling $9.2 million to Falcon Fund as of October 31, 2021.</w:t>
      </w:r>
    </w:p>
    <w:p>
      <w:pPr>
        <w:spacing w:after="0" w:line="9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150" w:lineRule="exact"/>
        <w:rPr>
          <w:sz w:val="20"/>
          <w:szCs w:val="20"/>
          <w:color w:val="auto"/>
        </w:rPr>
      </w:pPr>
    </w:p>
    <w:p>
      <w:pPr>
        <w:ind w:left="8" w:right="80" w:firstLine="432"/>
        <w:spacing w:after="0" w:line="276" w:lineRule="auto"/>
        <w:rPr>
          <w:sz w:val="20"/>
          <w:szCs w:val="20"/>
          <w:color w:val="auto"/>
        </w:rPr>
      </w:pPr>
      <w:r>
        <w:rPr>
          <w:rFonts w:ascii="Arial" w:cs="Arial" w:eastAsia="Arial" w:hAnsi="Arial"/>
          <w:sz w:val="12"/>
          <w:szCs w:val="12"/>
          <w:color w:val="auto"/>
        </w:rPr>
        <w:t>Through October 31,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Contractual Obligations and Commitments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our contractual obligations as of October 31, 2021 and the fiscal years in which these obligations are due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180"/>
              <w:spacing w:after="0"/>
              <w:rPr>
                <w:sz w:val="20"/>
                <w:szCs w:val="20"/>
                <w:color w:val="auto"/>
              </w:rPr>
            </w:pPr>
            <w:r>
              <w:rPr>
                <w:rFonts w:ascii="Arial" w:cs="Arial" w:eastAsia="Arial" w:hAnsi="Arial"/>
                <w:sz w:val="10"/>
                <w:szCs w:val="10"/>
                <w:b w:val="1"/>
                <w:bCs w:val="1"/>
                <w:color w:val="auto"/>
              </w:rPr>
              <w:t>Total</w:t>
            </w:r>
          </w:p>
        </w:tc>
        <w:tc>
          <w:tcPr>
            <w:tcW w:w="640" w:type="dxa"/>
            <w:vAlign w:val="bottom"/>
          </w:tcPr>
          <w:p>
            <w:pPr>
              <w:spacing w:after="0"/>
              <w:rPr>
                <w:sz w:val="11"/>
                <w:szCs w:val="11"/>
                <w:color w:val="auto"/>
              </w:rPr>
            </w:pPr>
          </w:p>
        </w:tc>
        <w:tc>
          <w:tcPr>
            <w:tcW w:w="740" w:type="dxa"/>
            <w:vAlign w:val="bottom"/>
          </w:tcPr>
          <w:p>
            <w:pPr>
              <w:jc w:val="right"/>
              <w:ind w:right="287"/>
              <w:spacing w:after="0"/>
              <w:rPr>
                <w:sz w:val="20"/>
                <w:szCs w:val="20"/>
                <w:color w:val="auto"/>
              </w:rPr>
            </w:pPr>
            <w:r>
              <w:rPr>
                <w:rFonts w:ascii="Arial" w:cs="Arial" w:eastAsia="Arial" w:hAnsi="Arial"/>
                <w:sz w:val="10"/>
                <w:szCs w:val="10"/>
                <w:b w:val="1"/>
                <w:bCs w:val="1"/>
                <w:color w:val="auto"/>
              </w:rPr>
              <w:t>2022</w:t>
            </w:r>
            <w:r>
              <w:rPr>
                <w:rFonts w:ascii="Arial" w:cs="Arial" w:eastAsia="Arial" w:hAnsi="Arial"/>
                <w:sz w:val="6"/>
                <w:szCs w:val="6"/>
                <w:b w:val="1"/>
                <w:bCs w:val="1"/>
                <w:color w:val="auto"/>
              </w:rPr>
              <w:t>(6)</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jc w:val="right"/>
              <w:ind w:right="307"/>
              <w:spacing w:after="0"/>
              <w:rPr>
                <w:sz w:val="20"/>
                <w:szCs w:val="20"/>
                <w:color w:val="auto"/>
              </w:rPr>
            </w:pPr>
            <w:r>
              <w:rPr>
                <w:rFonts w:ascii="Arial" w:cs="Arial" w:eastAsia="Arial" w:hAnsi="Arial"/>
                <w:sz w:val="10"/>
                <w:szCs w:val="10"/>
                <w:b w:val="1"/>
                <w:bCs w:val="1"/>
                <w:color w:val="auto"/>
              </w:rPr>
              <w:t>2023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jc w:val="right"/>
              <w:ind w:right="307"/>
              <w:spacing w:after="0"/>
              <w:rPr>
                <w:sz w:val="20"/>
                <w:szCs w:val="20"/>
                <w:color w:val="auto"/>
              </w:rPr>
            </w:pPr>
            <w:r>
              <w:rPr>
                <w:rFonts w:ascii="Arial" w:cs="Arial" w:eastAsia="Arial" w:hAnsi="Arial"/>
                <w:sz w:val="10"/>
                <w:szCs w:val="10"/>
                <w:b w:val="1"/>
                <w:bCs w:val="1"/>
                <w:color w:val="auto"/>
              </w:rPr>
              <w:t>2024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jc w:val="right"/>
              <w:ind w:right="307"/>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jc w:val="right"/>
              <w:ind w:right="327"/>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jc w:val="right"/>
              <w:ind w:right="207"/>
              <w:spacing w:after="0"/>
              <w:rPr>
                <w:sz w:val="20"/>
                <w:szCs w:val="20"/>
                <w:color w:val="auto"/>
              </w:rPr>
            </w:pPr>
            <w:r>
              <w:rPr>
                <w:rFonts w:ascii="Arial" w:cs="Arial" w:eastAsia="Arial" w:hAnsi="Arial"/>
                <w:sz w:val="10"/>
                <w:szCs w:val="10"/>
                <w:b w:val="1"/>
                <w:bCs w:val="1"/>
                <w:color w:val="auto"/>
              </w:rPr>
              <w:t>Thereafter</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Real estate</w:t>
            </w:r>
          </w:p>
        </w:tc>
        <w:tc>
          <w:tcPr>
            <w:tcW w:w="66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41,428</w:t>
            </w:r>
          </w:p>
        </w:tc>
        <w:tc>
          <w:tcPr>
            <w:tcW w:w="60" w:type="dxa"/>
            <w:vAlign w:val="bottom"/>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1,489</w:t>
            </w:r>
          </w:p>
        </w:tc>
        <w:tc>
          <w:tcPr>
            <w:tcW w:w="60" w:type="dxa"/>
            <w:vAlign w:val="bottom"/>
            <w:shd w:val="clear" w:color="auto" w:fill="CCEEFF"/>
          </w:tcPr>
          <w:p>
            <w:pPr>
              <w:spacing w:after="0"/>
              <w:rPr>
                <w:sz w:val="10"/>
                <w:szCs w:val="10"/>
                <w:color w:val="auto"/>
              </w:rPr>
            </w:pPr>
          </w:p>
        </w:tc>
        <w:tc>
          <w:tcPr>
            <w:tcW w:w="66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11,895</w:t>
            </w: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11,861</w:t>
            </w: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10,764</w:t>
            </w: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4,811</w:t>
            </w:r>
          </w:p>
        </w:tc>
        <w:tc>
          <w:tcPr>
            <w:tcW w:w="80" w:type="dxa"/>
            <w:vAlign w:val="bottom"/>
            <w:shd w:val="clear" w:color="auto" w:fill="CCEEFF"/>
          </w:tcPr>
          <w:p>
            <w:pPr>
              <w:spacing w:after="0"/>
              <w:rPr>
                <w:sz w:val="10"/>
                <w:szCs w:val="10"/>
                <w:color w:val="auto"/>
              </w:rPr>
            </w:pPr>
          </w:p>
        </w:tc>
        <w:tc>
          <w:tcPr>
            <w:tcW w:w="600" w:type="dxa"/>
            <w:vAlign w:val="bottom"/>
            <w:tcBorders>
              <w:top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608</w:t>
            </w: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spacing w:after="0" w:line="141" w:lineRule="exact"/>
              <w:rPr>
                <w:sz w:val="20"/>
                <w:szCs w:val="20"/>
                <w:color w:val="auto"/>
              </w:rPr>
            </w:pPr>
            <w:r>
              <w:rPr>
                <w:rFonts w:ascii="Arial" w:cs="Arial" w:eastAsia="Arial" w:hAnsi="Arial"/>
                <w:sz w:val="11"/>
                <w:szCs w:val="11"/>
                <w:color w:val="auto"/>
              </w:rPr>
              <w:t xml:space="preserve">arrangements </w:t>
            </w:r>
            <w:r>
              <w:rPr>
                <w:rFonts w:ascii="Arial" w:cs="Arial" w:eastAsia="Arial" w:hAnsi="Arial"/>
                <w:sz w:val="14"/>
                <w:szCs w:val="14"/>
                <w:color w:val="auto"/>
                <w:vertAlign w:val="superscript"/>
              </w:rPr>
              <w:t>(1)</w:t>
            </w:r>
          </w:p>
        </w:tc>
        <w:tc>
          <w:tcPr>
            <w:tcW w:w="66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60" w:type="dxa"/>
            <w:vAlign w:val="bottom"/>
          </w:tcPr>
          <w:p>
            <w:pPr>
              <w:spacing w:after="0"/>
              <w:rPr>
                <w:sz w:val="9"/>
                <w:szCs w:val="9"/>
                <w:color w:val="auto"/>
              </w:rPr>
            </w:pPr>
          </w:p>
        </w:tc>
        <w:tc>
          <w:tcPr>
            <w:tcW w:w="920" w:type="dxa"/>
            <w:vAlign w:val="bottom"/>
          </w:tcPr>
          <w:p>
            <w:pPr>
              <w:ind w:left="180"/>
              <w:spacing w:after="0" w:line="112" w:lineRule="exact"/>
              <w:rPr>
                <w:sz w:val="20"/>
                <w:szCs w:val="20"/>
                <w:color w:val="auto"/>
              </w:rPr>
            </w:pPr>
            <w:r>
              <w:rPr>
                <w:rFonts w:ascii="Arial" w:cs="Arial" w:eastAsia="Arial" w:hAnsi="Arial"/>
                <w:sz w:val="11"/>
                <w:szCs w:val="11"/>
                <w:color w:val="auto"/>
              </w:rPr>
              <w:t>Data center</w:t>
            </w:r>
          </w:p>
        </w:tc>
        <w:tc>
          <w:tcPr>
            <w:tcW w:w="66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56,425</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7,031</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15,893</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15,143</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9,180</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6,980</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2,198</w:t>
            </w:r>
          </w:p>
        </w:tc>
        <w:tc>
          <w:tcPr>
            <w:tcW w:w="0" w:type="dxa"/>
            <w:vAlign w:val="bottom"/>
          </w:tcPr>
          <w:p>
            <w:pPr>
              <w:spacing w:after="0"/>
              <w:rPr>
                <w:sz w:val="1"/>
                <w:szCs w:val="1"/>
                <w:color w:val="auto"/>
              </w:rPr>
            </w:pPr>
          </w:p>
        </w:tc>
      </w:tr>
      <w:tr>
        <w:trPr>
          <w:trHeight w:val="141"/>
        </w:trPr>
        <w:tc>
          <w:tcPr>
            <w:tcW w:w="1180" w:type="dxa"/>
            <w:vAlign w:val="bottom"/>
            <w:gridSpan w:val="2"/>
          </w:tcPr>
          <w:p>
            <w:pPr>
              <w:spacing w:after="0" w:line="141" w:lineRule="exact"/>
              <w:rPr>
                <w:sz w:val="20"/>
                <w:szCs w:val="20"/>
                <w:color w:val="auto"/>
              </w:rPr>
            </w:pPr>
            <w:r>
              <w:rPr>
                <w:rFonts w:ascii="Arial" w:cs="Arial" w:eastAsia="Arial" w:hAnsi="Arial"/>
                <w:sz w:val="11"/>
                <w:szCs w:val="11"/>
                <w:color w:val="auto"/>
              </w:rPr>
              <w:t xml:space="preserve">commitments </w:t>
            </w:r>
            <w:r>
              <w:rPr>
                <w:rFonts w:ascii="Arial" w:cs="Arial" w:eastAsia="Arial" w:hAnsi="Arial"/>
                <w:sz w:val="14"/>
                <w:szCs w:val="14"/>
                <w:color w:val="auto"/>
                <w:vertAlign w:val="superscript"/>
              </w:rPr>
              <w:t>(2)</w:t>
            </w: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60" w:type="dxa"/>
            <w:vAlign w:val="bottom"/>
            <w:shd w:val="clear" w:color="auto" w:fill="CCEEFF"/>
          </w:tcPr>
          <w:p>
            <w:pPr>
              <w:spacing w:after="0"/>
              <w:rPr>
                <w:sz w:val="9"/>
                <w:szCs w:val="9"/>
                <w:color w:val="auto"/>
              </w:rPr>
            </w:pPr>
          </w:p>
        </w:tc>
        <w:tc>
          <w:tcPr>
            <w:tcW w:w="9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4"/>
              </w:rPr>
              <w:t>Other purchase</w:t>
            </w:r>
          </w:p>
        </w:tc>
        <w:tc>
          <w:tcPr>
            <w:tcW w:w="6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107,954</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22,288</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44,783</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39,349</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867</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348</w:t>
            </w: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spacing w:after="0" w:line="141" w:lineRule="exact"/>
              <w:rPr>
                <w:sz w:val="20"/>
                <w:szCs w:val="20"/>
                <w:color w:val="auto"/>
              </w:rPr>
            </w:pPr>
            <w:r>
              <w:rPr>
                <w:rFonts w:ascii="Arial" w:cs="Arial" w:eastAsia="Arial" w:hAnsi="Arial"/>
                <w:sz w:val="11"/>
                <w:szCs w:val="11"/>
                <w:color w:val="auto"/>
              </w:rPr>
              <w:t xml:space="preserve">obligations </w:t>
            </w:r>
            <w:r>
              <w:rPr>
                <w:rFonts w:ascii="Arial" w:cs="Arial" w:eastAsia="Arial" w:hAnsi="Arial"/>
                <w:sz w:val="14"/>
                <w:szCs w:val="14"/>
                <w:color w:val="auto"/>
                <w:vertAlign w:val="superscript"/>
              </w:rPr>
              <w:t>(3)</w:t>
            </w:r>
          </w:p>
        </w:tc>
        <w:tc>
          <w:tcPr>
            <w:tcW w:w="66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vMerge w:val="restart"/>
          </w:tcPr>
          <w:p>
            <w:pPr>
              <w:spacing w:after="0"/>
              <w:rPr>
                <w:sz w:val="20"/>
                <w:szCs w:val="20"/>
                <w:color w:val="auto"/>
              </w:rPr>
            </w:pPr>
            <w:r>
              <w:rPr>
                <w:rFonts w:ascii="Arial" w:cs="Arial" w:eastAsia="Arial" w:hAnsi="Arial"/>
                <w:sz w:val="7"/>
                <w:szCs w:val="7"/>
                <w:color w:val="auto"/>
              </w:rPr>
              <w:t>(4)</w:t>
            </w:r>
          </w:p>
        </w:tc>
        <w:tc>
          <w:tcPr>
            <w:tcW w:w="920" w:type="dxa"/>
            <w:vAlign w:val="bottom"/>
          </w:tcPr>
          <w:p>
            <w:pPr>
              <w:ind w:left="180"/>
              <w:spacing w:after="0"/>
              <w:rPr>
                <w:sz w:val="20"/>
                <w:szCs w:val="20"/>
                <w:color w:val="auto"/>
              </w:rPr>
            </w:pPr>
            <w:r>
              <w:rPr>
                <w:rFonts w:ascii="Arial" w:cs="Arial" w:eastAsia="Arial" w:hAnsi="Arial"/>
                <w:sz w:val="11"/>
                <w:szCs w:val="11"/>
                <w:color w:val="auto"/>
                <w:w w:val="91"/>
              </w:rPr>
              <w:t>Debt obligations</w:t>
            </w:r>
          </w:p>
        </w:tc>
        <w:tc>
          <w:tcPr>
            <w:tcW w:w="6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750,000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750,000</w:t>
            </w:r>
          </w:p>
        </w:tc>
        <w:tc>
          <w:tcPr>
            <w:tcW w:w="0" w:type="dxa"/>
            <w:vAlign w:val="bottom"/>
          </w:tcPr>
          <w:p>
            <w:pPr>
              <w:spacing w:after="0"/>
              <w:rPr>
                <w:sz w:val="1"/>
                <w:szCs w:val="1"/>
                <w:color w:val="auto"/>
              </w:rPr>
            </w:pPr>
          </w:p>
        </w:tc>
      </w:tr>
      <w:tr>
        <w:trPr>
          <w:trHeight w:val="65"/>
        </w:trPr>
        <w:tc>
          <w:tcPr>
            <w:tcW w:w="2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60" w:type="dxa"/>
            <w:vAlign w:val="bottom"/>
            <w:shd w:val="clear" w:color="auto" w:fill="CCEEFF"/>
          </w:tcPr>
          <w:p>
            <w:pPr>
              <w:spacing w:after="0"/>
              <w:rPr>
                <w:sz w:val="9"/>
                <w:szCs w:val="9"/>
                <w:color w:val="auto"/>
              </w:rPr>
            </w:pPr>
          </w:p>
        </w:tc>
        <w:tc>
          <w:tcPr>
            <w:tcW w:w="92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Interest</w:t>
            </w:r>
          </w:p>
        </w:tc>
        <w:tc>
          <w:tcPr>
            <w:tcW w:w="6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color w:val="auto"/>
                <w:w w:val="92"/>
              </w:rPr>
              <w:t>payments associated with</w:t>
            </w:r>
          </w:p>
        </w:tc>
        <w:tc>
          <w:tcPr>
            <w:tcW w:w="6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168,750</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10,312</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22,500</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22,500</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22,500</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22,500</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68,438</w:t>
            </w:r>
          </w:p>
        </w:tc>
        <w:tc>
          <w:tcPr>
            <w:tcW w:w="0" w:type="dxa"/>
            <w:vAlign w:val="bottom"/>
          </w:tcPr>
          <w:p>
            <w:pPr>
              <w:spacing w:after="0"/>
              <w:rPr>
                <w:sz w:val="1"/>
                <w:szCs w:val="1"/>
                <w:color w:val="auto"/>
              </w:rPr>
            </w:pPr>
          </w:p>
        </w:tc>
      </w:tr>
      <w:tr>
        <w:trPr>
          <w:trHeight w:val="141"/>
        </w:trPr>
        <w:tc>
          <w:tcPr>
            <w:tcW w:w="1180" w:type="dxa"/>
            <w:vAlign w:val="bottom"/>
            <w:gridSpan w:val="2"/>
            <w:shd w:val="clear" w:color="auto" w:fill="CCEEFF"/>
          </w:tcPr>
          <w:p>
            <w:pPr>
              <w:spacing w:after="0" w:line="141" w:lineRule="exact"/>
              <w:rPr>
                <w:sz w:val="20"/>
                <w:szCs w:val="20"/>
                <w:color w:val="auto"/>
              </w:rPr>
            </w:pPr>
            <w:r>
              <w:rPr>
                <w:rFonts w:ascii="Arial" w:cs="Arial" w:eastAsia="Arial" w:hAnsi="Arial"/>
                <w:sz w:val="11"/>
                <w:szCs w:val="11"/>
                <w:color w:val="auto"/>
              </w:rPr>
              <w:t xml:space="preserve">all debt obligations </w:t>
            </w:r>
            <w:r>
              <w:rPr>
                <w:rFonts w:ascii="Arial" w:cs="Arial" w:eastAsia="Arial" w:hAnsi="Arial"/>
                <w:sz w:val="14"/>
                <w:szCs w:val="14"/>
                <w:color w:val="auto"/>
                <w:vertAlign w:val="superscript"/>
              </w:rPr>
              <w:t>(5)</w:t>
            </w:r>
          </w:p>
        </w:tc>
        <w:tc>
          <w:tcPr>
            <w:tcW w:w="6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920" w:type="dxa"/>
            <w:vAlign w:val="bottom"/>
          </w:tcPr>
          <w:p>
            <w:pPr>
              <w:ind w:left="180"/>
              <w:spacing w:after="0"/>
              <w:rPr>
                <w:sz w:val="20"/>
                <w:szCs w:val="20"/>
                <w:color w:val="auto"/>
              </w:rPr>
            </w:pPr>
            <w:r>
              <w:rPr>
                <w:rFonts w:ascii="Arial" w:cs="Arial" w:eastAsia="Arial" w:hAnsi="Arial"/>
                <w:sz w:val="11"/>
                <w:szCs w:val="11"/>
                <w:color w:val="auto"/>
              </w:rPr>
              <w:t>Total</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1,124,557</w:t>
            </w:r>
          </w:p>
        </w:tc>
        <w:tc>
          <w:tcPr>
            <w:tcW w:w="60" w:type="dxa"/>
            <w:vAlign w:val="bottom"/>
          </w:tcPr>
          <w:p>
            <w:pPr>
              <w:spacing w:after="0"/>
              <w:rPr>
                <w:sz w:val="11"/>
                <w:szCs w:val="11"/>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41,120</w:t>
            </w:r>
          </w:p>
        </w:tc>
        <w:tc>
          <w:tcPr>
            <w:tcW w:w="60" w:type="dxa"/>
            <w:vAlign w:val="bottom"/>
          </w:tcPr>
          <w:p>
            <w:pPr>
              <w:spacing w:after="0"/>
              <w:rPr>
                <w:sz w:val="11"/>
                <w:szCs w:val="11"/>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95,071</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88,853</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43,311</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34,610</w:t>
            </w:r>
          </w:p>
        </w:tc>
        <w:tc>
          <w:tcPr>
            <w:tcW w:w="80" w:type="dxa"/>
            <w:vAlign w:val="bottom"/>
          </w:tcPr>
          <w:p>
            <w:pPr>
              <w:spacing w:after="0"/>
              <w:rPr>
                <w:sz w:val="11"/>
                <w:szCs w:val="11"/>
                <w:color w:val="auto"/>
              </w:rPr>
            </w:pP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821,592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___________________________________________</w:t>
      </w:r>
    </w:p>
    <w:p>
      <w:pPr>
        <w:spacing w:after="0" w:line="15" w:lineRule="exact"/>
        <w:rPr>
          <w:sz w:val="20"/>
          <w:szCs w:val="20"/>
          <w:color w:val="auto"/>
        </w:rPr>
      </w:pPr>
    </w:p>
    <w:p>
      <w:pPr>
        <w:ind w:left="428" w:right="40" w:hanging="428"/>
        <w:spacing w:after="0" w:line="260" w:lineRule="auto"/>
        <w:tabs>
          <w:tab w:leader="none" w:pos="424"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Relates to non-cancellable real estate arrangements where the amounts are reflected on an undiscounted basis. For additional information refer to Note 7, “Leases”, in our Notes to Condensed Consolidated Financial Statements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408940</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38" w:right="299" w:bottom="1440" w:gutter="0" w:footer="0" w:header="0"/>
        </w:sectPr>
      </w:pPr>
    </w:p>
    <w:bookmarkStart w:id="49" w:name="page50"/>
    <w:bookmarkEnd w:id="49"/>
    <w:p>
      <w:pPr>
        <w:ind w:left="428" w:hanging="428"/>
        <w:spacing w:after="0"/>
        <w:tabs>
          <w:tab w:leader="none" w:pos="428"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Relates to non-cancelable commitments to data center vendors.</w:t>
      </w:r>
    </w:p>
    <w:p>
      <w:pPr>
        <w:spacing w:after="0" w:line="69" w:lineRule="exact"/>
        <w:rPr>
          <w:rFonts w:ascii="Arial" w:cs="Arial" w:eastAsia="Arial" w:hAnsi="Arial"/>
          <w:sz w:val="12"/>
          <w:szCs w:val="12"/>
          <w:color w:val="auto"/>
        </w:rPr>
      </w:pPr>
    </w:p>
    <w:p>
      <w:pPr>
        <w:ind w:left="428" w:hanging="428"/>
        <w:spacing w:after="0"/>
        <w:tabs>
          <w:tab w:leader="none" w:pos="428"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Relates to non-cancelable purchase commitments with various parties to purchase products and services entered into in the normal course of business.</w:t>
      </w:r>
    </w:p>
    <w:p>
      <w:pPr>
        <w:spacing w:after="0" w:line="60" w:lineRule="exact"/>
        <w:rPr>
          <w:rFonts w:ascii="Arial" w:cs="Arial" w:eastAsia="Arial" w:hAnsi="Arial"/>
          <w:sz w:val="12"/>
          <w:szCs w:val="12"/>
          <w:color w:val="auto"/>
        </w:rPr>
      </w:pPr>
    </w:p>
    <w:p>
      <w:pPr>
        <w:ind w:left="428" w:hanging="428"/>
        <w:spacing w:after="0"/>
        <w:tabs>
          <w:tab w:leader="none" w:pos="428"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Relates to $750.0 million aggregate principal amount of Senior Notes due in fiscal 2030.</w:t>
      </w:r>
    </w:p>
    <w:p>
      <w:pPr>
        <w:spacing w:after="0" w:line="69" w:lineRule="exact"/>
        <w:rPr>
          <w:rFonts w:ascii="Arial" w:cs="Arial" w:eastAsia="Arial" w:hAnsi="Arial"/>
          <w:sz w:val="12"/>
          <w:szCs w:val="12"/>
          <w:color w:val="auto"/>
        </w:rPr>
      </w:pPr>
    </w:p>
    <w:p>
      <w:pPr>
        <w:ind w:left="428" w:right="480" w:hanging="428"/>
        <w:spacing w:after="0" w:line="276" w:lineRule="auto"/>
        <w:tabs>
          <w:tab w:leader="none" w:pos="424"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Relates to the interest payments associated with the Senior Notes based on the principal amount multiplied by the applicable interest rate. For additional information refer to Note 5, “Debt”, in our Notes to Condensed Consolidated Financial Statements in Part I, Item 1 of this Quarterly Report on Form 10-Q.</w:t>
      </w:r>
    </w:p>
    <w:p>
      <w:pPr>
        <w:spacing w:after="0" w:line="33" w:lineRule="exact"/>
        <w:rPr>
          <w:rFonts w:ascii="Arial" w:cs="Arial" w:eastAsia="Arial" w:hAnsi="Arial"/>
          <w:sz w:val="12"/>
          <w:szCs w:val="12"/>
          <w:color w:val="auto"/>
        </w:rPr>
      </w:pPr>
    </w:p>
    <w:p>
      <w:pPr>
        <w:ind w:left="428" w:hanging="428"/>
        <w:spacing w:after="0"/>
        <w:tabs>
          <w:tab w:leader="none" w:pos="428" w:val="left"/>
        </w:tabs>
        <w:numPr>
          <w:ilvl w:val="0"/>
          <w:numId w:val="28"/>
        </w:numPr>
        <w:rPr>
          <w:rFonts w:ascii="Arial" w:cs="Arial" w:eastAsia="Arial" w:hAnsi="Arial"/>
          <w:sz w:val="12"/>
          <w:szCs w:val="12"/>
          <w:color w:val="auto"/>
        </w:rPr>
      </w:pPr>
      <w:r>
        <w:rPr>
          <w:rFonts w:ascii="Arial" w:cs="Arial" w:eastAsia="Arial" w:hAnsi="Arial"/>
          <w:sz w:val="12"/>
          <w:szCs w:val="12"/>
          <w:color w:val="auto"/>
        </w:rPr>
        <w:t>For the remaining three months of fiscal year 2022.</w:t>
      </w:r>
    </w:p>
    <w:p>
      <w:pPr>
        <w:spacing w:after="0" w:line="150" w:lineRule="exact"/>
        <w:rPr>
          <w:sz w:val="20"/>
          <w:szCs w:val="20"/>
          <w:color w:val="auto"/>
        </w:rPr>
      </w:pPr>
    </w:p>
    <w:p>
      <w:pPr>
        <w:ind w:left="8" w:right="80" w:firstLine="432"/>
        <w:spacing w:after="0" w:line="263" w:lineRule="auto"/>
        <w:rPr>
          <w:sz w:val="20"/>
          <w:szCs w:val="20"/>
          <w:color w:val="auto"/>
        </w:rPr>
      </w:pPr>
      <w:r>
        <w:rPr>
          <w:rFonts w:ascii="Arial" w:cs="Arial" w:eastAsia="Arial" w:hAnsi="Arial"/>
          <w:sz w:val="12"/>
          <w:szCs w:val="12"/>
          <w:color w:val="auto"/>
        </w:rPr>
        <w:t>In October 2021, we entered into a new private pricing addendum with Amazon Web Services (“AWS”), which provides us with cloud computing infrastructure. Under the new pricing addendum, we committed to purchase a minimum of $600.0 million of cloud services from AWS through September 2026. As of October 31, 2021, our remaining contractual commitment is $587.7 million, which is excluded from the table above. We expect to meet our remaining commitment with AWS.</w:t>
      </w:r>
    </w:p>
    <w:p>
      <w:pPr>
        <w:spacing w:after="0" w:line="122" w:lineRule="exact"/>
        <w:rPr>
          <w:sz w:val="20"/>
          <w:szCs w:val="20"/>
          <w:color w:val="auto"/>
        </w:rPr>
      </w:pPr>
    </w:p>
    <w:p>
      <w:pPr>
        <w:ind w:left="8" w:right="80" w:firstLine="432"/>
        <w:spacing w:after="0" w:line="276" w:lineRule="auto"/>
        <w:rPr>
          <w:sz w:val="20"/>
          <w:szCs w:val="20"/>
          <w:color w:val="auto"/>
        </w:rPr>
      </w:pPr>
      <w:r>
        <w:rPr>
          <w:rFonts w:ascii="Arial" w:cs="Arial" w:eastAsia="Arial" w:hAnsi="Arial"/>
          <w:sz w:val="12"/>
          <w:szCs w:val="12"/>
          <w:color w:val="auto"/>
        </w:rPr>
        <w:t>As of October 31, 2021, our unrecognized tax benefits included $1.3 million which were classified as long-term liabilities. Due to the inherent uncertainty with respect to the timing of future cash outflows associated with our unrecognized tax benefits, the liabilities have been excluded from the contractual obligation table above.</w:t>
      </w:r>
    </w:p>
    <w:p>
      <w:pPr>
        <w:spacing w:after="0" w:line="79" w:lineRule="exact"/>
        <w:rPr>
          <w:sz w:val="20"/>
          <w:szCs w:val="20"/>
          <w:color w:val="auto"/>
        </w:rPr>
      </w:pPr>
    </w:p>
    <w:p>
      <w:pPr>
        <w:ind w:left="8" w:right="40" w:firstLine="432"/>
        <w:spacing w:after="0" w:line="379" w:lineRule="auto"/>
        <w:rPr>
          <w:sz w:val="20"/>
          <w:szCs w:val="20"/>
          <w:color w:val="auto"/>
        </w:rPr>
      </w:pPr>
      <w:r>
        <w:rPr>
          <w:rFonts w:ascii="Arial" w:cs="Arial" w:eastAsia="Arial" w:hAnsi="Arial"/>
          <w:sz w:val="10"/>
          <w:szCs w:val="10"/>
          <w:color w:val="auto"/>
        </w:rPr>
        <w:t>The contractual commitment amounts in the table above are associated with agreements that are enforceable and legally binding. Obligations under contracts, including purchase orders, that we can cancel without a significant penalty are not included in the table above. Purchase orders issued in the ordinary course of business are not included in the table above, as such purchase orders represent authorizations to purchase rather than binding agreements.</w:t>
      </w:r>
    </w:p>
    <w:p>
      <w:pPr>
        <w:spacing w:after="0" w:line="69"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Indemnification</w:t>
      </w:r>
    </w:p>
    <w:p>
      <w:pPr>
        <w:spacing w:after="0" w:line="150" w:lineRule="exact"/>
        <w:rPr>
          <w:sz w:val="20"/>
          <w:szCs w:val="20"/>
          <w:color w:val="auto"/>
        </w:rPr>
      </w:pPr>
    </w:p>
    <w:p>
      <w:pPr>
        <w:ind w:left="8" w:firstLine="432"/>
        <w:spacing w:after="0" w:line="256" w:lineRule="auto"/>
        <w:rPr>
          <w:sz w:val="20"/>
          <w:szCs w:val="20"/>
          <w:color w:val="auto"/>
        </w:rPr>
      </w:pPr>
      <w:r>
        <w:rPr>
          <w:rFonts w:ascii="Arial" w:cs="Arial" w:eastAsia="Arial" w:hAnsi="Arial"/>
          <w:sz w:val="12"/>
          <w:szCs w:val="12"/>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sheets as of October 31, 2021 or January 31, 2021.</w:t>
      </w:r>
    </w:p>
    <w:p>
      <w:pPr>
        <w:spacing w:after="0" w:line="128" w:lineRule="exact"/>
        <w:rPr>
          <w:sz w:val="20"/>
          <w:szCs w:val="20"/>
          <w:color w:val="auto"/>
        </w:rPr>
      </w:pPr>
    </w:p>
    <w:p>
      <w:pPr>
        <w:ind w:left="8" w:right="60" w:firstLine="432"/>
        <w:spacing w:after="0" w:line="298" w:lineRule="auto"/>
        <w:rPr>
          <w:sz w:val="20"/>
          <w:szCs w:val="20"/>
          <w:color w:val="auto"/>
        </w:rPr>
      </w:pPr>
      <w:r>
        <w:rPr>
          <w:rFonts w:ascii="Arial" w:cs="Arial" w:eastAsia="Arial" w:hAnsi="Arial"/>
          <w:sz w:val="11"/>
          <w:szCs w:val="11"/>
          <w:color w:val="auto"/>
        </w:rPr>
        <w:t>We also agreed to indemnify our directors and certain executive officers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condensed consolidated balance sheets as of October 31, 2021 or January 31, 2021.</w:t>
      </w:r>
    </w:p>
    <w:p>
      <w:pPr>
        <w:spacing w:after="0" w:line="101"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ind w:left="8" w:right="20" w:firstLine="432"/>
        <w:spacing w:after="0" w:line="283" w:lineRule="auto"/>
        <w:rPr>
          <w:sz w:val="20"/>
          <w:szCs w:val="20"/>
          <w:color w:val="auto"/>
        </w:rPr>
      </w:pPr>
      <w:r>
        <w:rPr>
          <w:rFonts w:ascii="Arial" w:cs="Arial" w:eastAsia="Arial" w:hAnsi="Arial"/>
          <w:sz w:val="11"/>
          <w:szCs w:val="11"/>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Our management evaluates our estimates on an ongoing basis including, but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the fair value of assets acquired and liabilities assumed for business combinations, and the fair value and effective interest rate for the Senior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671" w:right="339" w:bottom="1440" w:gutter="0" w:footer="0" w:header="0"/>
        </w:sectPr>
      </w:pPr>
    </w:p>
    <w:bookmarkStart w:id="50" w:name="page51"/>
    <w:bookmarkEnd w:id="50"/>
    <w:p>
      <w:pPr>
        <w:ind w:right="20" w:firstLine="432"/>
        <w:spacing w:after="0" w:line="259" w:lineRule="auto"/>
        <w:rPr>
          <w:sz w:val="20"/>
          <w:szCs w:val="20"/>
          <w:color w:val="auto"/>
        </w:rPr>
      </w:pPr>
      <w:r>
        <w:rPr>
          <w:rFonts w:ascii="Arial" w:cs="Arial" w:eastAsia="Arial" w:hAnsi="Arial"/>
          <w:sz w:val="12"/>
          <w:szCs w:val="12"/>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24" w:lineRule="exact"/>
        <w:rPr>
          <w:sz w:val="20"/>
          <w:szCs w:val="20"/>
          <w:color w:val="auto"/>
        </w:rPr>
      </w:pPr>
    </w:p>
    <w:p>
      <w:pPr>
        <w:ind w:right="140" w:firstLine="432"/>
        <w:spacing w:after="0" w:line="298" w:lineRule="auto"/>
        <w:rPr>
          <w:sz w:val="20"/>
          <w:szCs w:val="20"/>
          <w:color w:val="auto"/>
        </w:rPr>
      </w:pPr>
      <w:r>
        <w:rPr>
          <w:rFonts w:ascii="Arial" w:cs="Arial" w:eastAsia="Arial" w:hAnsi="Arial"/>
          <w:sz w:val="11"/>
          <w:szCs w:val="11"/>
          <w:color w:val="auto"/>
        </w:rPr>
        <w:t>Our significant accounting policies are more fully described in Note 2, “Summary of Significant Accounting Policies”, to our condensed consolidated financial statements. Our critical accounting policies and our more significant judgments and estimates used in the preparation of our financial statements are discussed in “Management’s Discussion and Analysis of Financial Condition and Results of Operations” in our Annual Report on Form 10-K for the fiscal year ended January 31, 2021, filed with the SEC on March 18, 2021, and there have been no significant changes to these policies for the nine months ended October 31, 2021.</w:t>
      </w:r>
    </w:p>
    <w:p>
      <w:pPr>
        <w:spacing w:after="0" w:line="101"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Backlog</w:t>
      </w:r>
    </w:p>
    <w:p>
      <w:pPr>
        <w:spacing w:after="0" w:line="154"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We enter into both single and multi-year subscription contracts for our solutions. We generally invoice the entire amount at contract signing prior to commencement of subscription period. Until such time as these amounts are invoiced, they are not recorded in deferred revenue or elsewhere in our condensed consolidated financial statements, and are considered by us to be backlog. As of October 31, 2021, we had backlog of approximately $654.7 million. Of this amount, approximately $214.0 million is not reasonably expected to be billed in the next twelve months.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24"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Seasonality</w:t>
      </w:r>
    </w:p>
    <w:p>
      <w:pPr>
        <w:spacing w:after="0" w:line="154" w:lineRule="exact"/>
        <w:rPr>
          <w:sz w:val="20"/>
          <w:szCs w:val="20"/>
          <w:color w:val="auto"/>
        </w:rPr>
      </w:pPr>
    </w:p>
    <w:p>
      <w:pPr>
        <w:ind w:right="40" w:firstLine="432"/>
        <w:spacing w:after="0" w:line="298" w:lineRule="auto"/>
        <w:rPr>
          <w:sz w:val="20"/>
          <w:szCs w:val="20"/>
          <w:color w:val="auto"/>
        </w:rPr>
      </w:pPr>
      <w:r>
        <w:rPr>
          <w:rFonts w:ascii="Arial" w:cs="Arial" w:eastAsia="Arial" w:hAnsi="Arial"/>
          <w:sz w:val="11"/>
          <w:szCs w:val="11"/>
          <w:color w:val="auto"/>
        </w:rPr>
        <w:t>Given the annual budget approval process of many of our customers, we see seasonal patterns in our business. We expect these seasonal variations to become more pronounced in future periods, with net new ARR generation being greater in the second half of the year, particularly in the fourth quarter, as compared to the first half of the year. In addition, we also experience seasonality in our operating margin, with a lower margin in the first half of our fiscal year due to a step up in costs for payroll taxes, new hires, and annual sales and marketing events. This also impacts the timing of operating cash flow and free cash flow.</w:t>
      </w:r>
    </w:p>
    <w:p>
      <w:pPr>
        <w:spacing w:after="0" w:line="101"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right="140" w:firstLine="432"/>
        <w:spacing w:after="0" w:line="340" w:lineRule="auto"/>
        <w:rPr>
          <w:sz w:val="20"/>
          <w:szCs w:val="20"/>
          <w:color w:val="auto"/>
        </w:rPr>
      </w:pPr>
      <w:r>
        <w:rPr>
          <w:rFonts w:ascii="Arial" w:cs="Arial" w:eastAsia="Arial" w:hAnsi="Arial"/>
          <w:sz w:val="10"/>
          <w:szCs w:val="10"/>
          <w:color w:val="auto"/>
        </w:rPr>
        <w:t>As of October 31, 2021, we had 4,543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and comply with, local labor law requirements which may automatically make our employees subject to industry-wide collective bargaining agreements. We may be required to comply with the terms of these collective bargaining agreements. We have not experienced any work stoppages, and we consider our relations with our employees to be good.</w:t>
      </w:r>
    </w:p>
    <w:p>
      <w:pPr>
        <w:spacing w:after="0" w:line="83"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Corporate Information</w:t>
      </w:r>
    </w:p>
    <w:p>
      <w:pPr>
        <w:spacing w:after="0" w:line="17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Our principal executive offices are located at 150 Mathilda Place, Suite 300, Sunnyvale, California 94086, and our telephone number is (888) 512-8906. Our website address is www.crowdstrike.com. Information contained on, or that can be accessed through, our website does not constitute part of this Quarterly Report on Form 10-Q.</w:t>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54"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See Note 2, “Summary of Significant Accounting Policies”, of our condensed consolidated financial statements included elsewhere in this Quarterly Report on Form 10-Q, for more information about the impact of certain recent accounting pronouncements on our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363220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operations in the United States and internationally, and we are exposed to market risk in the ordinary course of business.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50" w:lineRule="exact"/>
        <w:rPr>
          <w:sz w:val="20"/>
          <w:szCs w:val="20"/>
          <w:color w:val="auto"/>
        </w:rPr>
      </w:pPr>
    </w:p>
    <w:p>
      <w:pPr>
        <w:ind w:right="40" w:firstLine="432"/>
        <w:spacing w:after="0" w:line="285" w:lineRule="auto"/>
        <w:rPr>
          <w:sz w:val="20"/>
          <w:szCs w:val="20"/>
          <w:color w:val="auto"/>
        </w:rPr>
      </w:pPr>
      <w:r>
        <w:rPr>
          <w:rFonts w:ascii="Arial" w:cs="Arial" w:eastAsia="Arial" w:hAnsi="Arial"/>
          <w:sz w:val="11"/>
          <w:szCs w:val="11"/>
          <w:color w:val="auto"/>
        </w:rPr>
        <w:t>Our cash and cash equivalents primarily consist of cash on hand and highly liquid investments in bank deposits and money market funds. Our investments are exposed to market risk due to fluctuations in interest rates, which may affect our interest income and the fair value of our investments. As of October 31, 2021, we had cash and cash equivalents of $1.9 billion and no marketable securities.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Due to the short-term nature of our investment portfolio, the effect of a hypothetical 100 basis point change in interest rates would not have had a material effect on the fair market value of our portfolio as of October 31, 2021. We therefore do not expect our results of operations or cash flows to be materially affected by a sudden change in market interest rates.</w:t>
      </w:r>
    </w:p>
    <w:p>
      <w:pPr>
        <w:spacing w:after="0" w:line="113"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Our debt obligations consist of a variety of financial instruments that expose us to interest rate risk, including, but not limited to our revolving credit facility and the Senior Notes. The interest on the revolving credit facility is tied to short term interest rate benchmarks including prime rate or LIBOR. The interest rate on the Senior Notes is fixed.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Foreign Currency Risk</w:t>
      </w:r>
    </w:p>
    <w:p>
      <w:pPr>
        <w:spacing w:after="0" w:line="150"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(expense), net. During the three months ended October 31, 2021, foreign currency exchange rate loss recorded to Other comprehensive income (loss) was $0.7 million. A hypothetical 10% decrease in the U.S. dollar against other currencies would have resulted in an increase in operating loss of approximately $21.3 million for the nine months ended October 31, 2021. We have not entered into derivative or hedging transactions, but we may do so in the future if our exposure to foreign currency becomes more significant.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Inflation Rate Risk</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do not believe that inflation had a material effect on our business, financial conditions or results of operations during the nine months ended October 31, 2021.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150"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2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management, with the participation of our Chief Executive Officer and our Chief Financial Officer, evaluated the effectiveness of our disclosure controls and procedures as of October 31, 2021. Based on the evaluation of our disclosure controls and procedures as of October 31, 2021, our Chief Executive Officer and Chief Financial Officer concluded that, as of such date, our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367665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829" w:right="399" w:bottom="1440" w:gutter="0" w:footer="0" w:header="0"/>
        </w:sectPr>
      </w:pPr>
    </w:p>
    <w:bookmarkStart w:id="52" w:name="page53"/>
    <w:bookmarkEnd w:id="52"/>
    <w:p>
      <w:pPr>
        <w:ind w:left="420"/>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15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There was no change in our internal control over financial reporting identified in connection with the evaluation required by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Inherent Limitations on Effectiveness of Controls</w:t>
      </w:r>
    </w:p>
    <w:p>
      <w:pPr>
        <w:spacing w:after="0" w:line="150" w:lineRule="exact"/>
        <w:rPr>
          <w:sz w:val="20"/>
          <w:szCs w:val="20"/>
          <w:color w:val="auto"/>
        </w:rPr>
      </w:pPr>
    </w:p>
    <w:p>
      <w:pPr>
        <w:ind w:right="60" w:firstLine="432"/>
        <w:spacing w:after="0" w:line="255" w:lineRule="auto"/>
        <w:rPr>
          <w:sz w:val="20"/>
          <w:szCs w:val="20"/>
          <w:color w:val="auto"/>
        </w:rPr>
      </w:pPr>
      <w:r>
        <w:rPr>
          <w:rFonts w:ascii="Arial" w:cs="Arial" w:eastAsia="Arial" w:hAnsi="Arial"/>
          <w:sz w:val="12"/>
          <w:szCs w:val="12"/>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72" w:lineRule="exact"/>
        <w:rPr>
          <w:sz w:val="20"/>
          <w:szCs w:val="20"/>
          <w:color w:val="auto"/>
        </w:rPr>
      </w:pPr>
    </w:p>
    <w:p>
      <w:pPr>
        <w:jc w:val="both"/>
        <w:ind w:right="180" w:firstLine="432"/>
        <w:spacing w:after="0" w:line="247" w:lineRule="auto"/>
        <w:rPr>
          <w:sz w:val="20"/>
          <w:szCs w:val="20"/>
          <w:color w:val="auto"/>
        </w:rPr>
      </w:pPr>
      <w:r>
        <w:rPr>
          <w:rFonts w:ascii="Arial" w:cs="Arial" w:eastAsia="Arial" w:hAnsi="Arial"/>
          <w:sz w:val="12"/>
          <w:szCs w:val="12"/>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10, “Commitments and Contingencies” in our Notes to Condensed Consolidated Financial Statements in Part I, Item 1 of this Quarterly Report on Form 10-Q.</w:t>
      </w:r>
    </w:p>
    <w:p>
      <w:pPr>
        <w:spacing w:after="0" w:line="12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auto"/>
        </w:rPr>
        <w:t>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condensed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ind w:right="100" w:firstLine="432"/>
        <w:spacing w:after="0" w:line="289" w:lineRule="auto"/>
        <w:rPr>
          <w:sz w:val="20"/>
          <w:szCs w:val="20"/>
          <w:color w:val="auto"/>
        </w:rPr>
      </w:pPr>
      <w:r>
        <w:rPr>
          <w:rFonts w:ascii="Arial" w:cs="Arial" w:eastAsia="Arial" w:hAnsi="Arial"/>
          <w:sz w:val="11"/>
          <w:szCs w:val="11"/>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and Industry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experienced rapid growth in recent periods, and if we do not manage our future growth, our business and results of operations will be adversely affected.</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experienced rapid revenue growth in recent periods and we expect to continue to invest broadly across our organization to support our growth. For example, our headcount grew from 1,455 employees as of January 31, 2019, to 4,543 employees as of October 31, 2021. Although we have experienced rapid growth historically, we may not sustain our current growth rates and our investments to support our growth may not be successful. The growth and expansion of our business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367665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53" w:name="page54"/>
    <w:bookmarkEnd w:id="53"/>
    <w:p>
      <w:pPr>
        <w:ind w:right="20"/>
        <w:spacing w:after="0" w:line="276" w:lineRule="auto"/>
        <w:rPr>
          <w:sz w:val="20"/>
          <w:szCs w:val="20"/>
          <w:color w:val="auto"/>
        </w:rPr>
      </w:pPr>
      <w:r>
        <w:rPr>
          <w:rFonts w:ascii="Arial" w:cs="Arial" w:eastAsia="Arial" w:hAnsi="Arial"/>
          <w:sz w:val="12"/>
          <w:szCs w:val="12"/>
          <w:color w:val="auto"/>
        </w:rPr>
        <w:t>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15" w:lineRule="exact"/>
        <w:rPr>
          <w:sz w:val="20"/>
          <w:szCs w:val="20"/>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effectively attract, integrate, and retain a large number of new employees, particularly members of our sales and marketing and research and development teams;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further improve our Falcon platform, including our cloud modules, and IT infrastructure, including expanding and optimizing our data centers, to support our business needs;</w:t>
      </w:r>
    </w:p>
    <w:p>
      <w:pPr>
        <w:spacing w:after="0" w:line="150" w:lineRule="exact"/>
        <w:rPr>
          <w:rFonts w:ascii="Arial" w:cs="Arial" w:eastAsia="Arial" w:hAnsi="Arial"/>
          <w:sz w:val="12"/>
          <w:szCs w:val="12"/>
          <w:color w:val="auto"/>
        </w:rPr>
      </w:pPr>
    </w:p>
    <w:p>
      <w:pPr>
        <w:ind w:left="640" w:right="260" w:hanging="216"/>
        <w:spacing w:after="0" w:line="276" w:lineRule="auto"/>
        <w:tabs>
          <w:tab w:leader="none" w:pos="637" w:val="left"/>
        </w:tabs>
        <w:numPr>
          <w:ilvl w:val="0"/>
          <w:numId w:val="29"/>
        </w:numPr>
        <w:rPr>
          <w:rFonts w:ascii="Arial" w:cs="Arial" w:eastAsia="Arial" w:hAnsi="Arial"/>
          <w:sz w:val="12"/>
          <w:szCs w:val="12"/>
          <w:color w:val="auto"/>
        </w:rPr>
      </w:pPr>
      <w:r>
        <w:rPr>
          <w:rFonts w:ascii="Arial" w:cs="Arial" w:eastAsia="Arial" w:hAnsi="Arial"/>
          <w:sz w:val="12"/>
          <w:szCs w:val="12"/>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improve our financial, management, and compliance systems and controls.</w:t>
      </w:r>
    </w:p>
    <w:p>
      <w:pPr>
        <w:spacing w:after="0" w:line="150" w:lineRule="exact"/>
        <w:rPr>
          <w:sz w:val="20"/>
          <w:szCs w:val="20"/>
          <w:color w:val="auto"/>
        </w:rPr>
      </w:pPr>
    </w:p>
    <w:p>
      <w:pPr>
        <w:ind w:right="220" w:firstLine="432"/>
        <w:spacing w:after="0" w:line="263" w:lineRule="auto"/>
        <w:rPr>
          <w:sz w:val="20"/>
          <w:szCs w:val="20"/>
          <w:color w:val="auto"/>
        </w:rPr>
      </w:pPr>
      <w:r>
        <w:rPr>
          <w:rFonts w:ascii="Arial" w:cs="Arial" w:eastAsia="Arial" w:hAnsi="Arial"/>
          <w:sz w:val="12"/>
          <w:szCs w:val="12"/>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history of losses and may not be able to achieve or sustain profitability in the future.</w:t>
      </w:r>
    </w:p>
    <w:p>
      <w:pPr>
        <w:spacing w:after="0" w:line="150"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We have incurred net losses in all periods since our inception, and we may not achieve or maintain profitability in the future. We experienced net losses of $140.1 million, $141.8 million, and $92.6 million for fiscal 2019, fiscal 2020, and fiscal 2021, respectively. As of October 31, 2021, we had an accumulated deficit of $922.9 million. While we have experienced significant growth in revenue in recent periods, we cannot assure you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which we expect to further increase because we are no longer an “emerging growth company.” Any failure to increase our revenue as we invest in our business or to manage our costs could prevent us from achieving or maintaining profitability or positive cash flow.</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limited operating history makes it difficult to evaluate our current business and future prospects, and may increase the risk of your investment.</w:t>
      </w:r>
    </w:p>
    <w:p>
      <w:pPr>
        <w:spacing w:after="0" w:line="150" w:lineRule="exact"/>
        <w:rPr>
          <w:sz w:val="20"/>
          <w:szCs w:val="20"/>
          <w:color w:val="auto"/>
        </w:rPr>
      </w:pPr>
    </w:p>
    <w:p>
      <w:pPr>
        <w:ind w:right="80" w:firstLine="432"/>
        <w:spacing w:after="0" w:line="320" w:lineRule="auto"/>
        <w:rPr>
          <w:sz w:val="20"/>
          <w:szCs w:val="20"/>
          <w:color w:val="auto"/>
        </w:rPr>
      </w:pPr>
      <w:r>
        <w:rPr>
          <w:rFonts w:ascii="Arial" w:cs="Arial" w:eastAsia="Arial" w:hAnsi="Arial"/>
          <w:sz w:val="10"/>
          <w:szCs w:val="10"/>
          <w:color w:val="auto"/>
        </w:rPr>
        <w:t>We were founded in November 2011 and launched our first endpoint security solution in 2013. Our limited operating history makes it difficult to evaluate our current business, future prospects, and other trends, including our ability to plan for and model future growth. We have encountered and will continue to encounter risks, uncertainties, and difficulties frequently experienced by rapidly growing companies in evolving industries, including our ability to achieve broad market acceptance of cloud-based, SaaS-delivered endpoint security solutions and our Falcon platform, attract additional customers, grow partnerships, compete effectively, build and maintain effective compliance programs, and manage costs and operating expenses. If we do not address these risks, uncertainties, and difficulties successfully, our business, and results of operations will be harmed. Further, we have limited historical financial data, and we operate in a rapidly evolving market. As a result, any predictions about our future revenue and expenses may not be as accurate as they would be if we had a longer operating history or operated in a more predictable market.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COVID-19 pandemic could adversely affect our business, operating results and future revenue.</w:t>
      </w:r>
    </w:p>
    <w:p>
      <w:pPr>
        <w:spacing w:after="0" w:line="168"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In March 2020, the World Health Organization declared COVID-19 a global pandemic. This contagious disease outbreak has spread across the globe and is impacting worldwide economic activity and financial markets. In light of the uncertain and rapidly evolving situation relating to the spread of COVID-19, we have taken precautionary measures intended to mitigate the spread of the virus and minimize the risk to our employees, customers, partners, and the communities in which we operate. These precautionary measures could negatively affect our customer success efforts, delay and lengthen our sales cycles, impact our sales and marketing efforts, reduce employee efficiency and productivity, increase employee attrition, slow our international expansion efforts, increase cybersecurity risks, and create operational or other challenges, any of which could harm our business and results of operations. As we monitor the situation, taking into account vaccination progress, disease variants, infection rates and 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371475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54" w:name="page55"/>
    <w:bookmarkEnd w:id="54"/>
    <w:p>
      <w:pPr>
        <w:spacing w:after="0"/>
        <w:rPr>
          <w:sz w:val="20"/>
          <w:szCs w:val="20"/>
          <w:color w:val="auto"/>
        </w:rPr>
      </w:pPr>
      <w:r>
        <w:rPr>
          <w:rFonts w:ascii="Arial" w:cs="Arial" w:eastAsia="Arial" w:hAnsi="Arial"/>
          <w:sz w:val="11"/>
          <w:szCs w:val="11"/>
          <w:color w:val="auto"/>
        </w:rPr>
        <w:t>public health guidance, planning and risk management relating to our work policies and office operations will require time from management and other employees, which may reduce the amount of time available for other initiatives.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Moreover, due to our subscription-based business model, the effect of the COVID-19 pandemic may not be fully reflected in our results of operations until future periods, if at all.</w:t>
      </w:r>
    </w:p>
    <w:p>
      <w:pPr>
        <w:spacing w:after="0" w:line="141"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In addition, the COVID-19 pandemic may disrupt the operations of our customers and partners for an indefinite period of time. Some of our customers have been negatively impacted by the COVID-19 pandemic which could result in delays in accounts receivable collection, or result in decreased technology spending which could negatively affect our revenues. More generally, the COVID-19 pandemic has adversely affected economies and financial markets globally, and continued uncertainty could lead to a prolonged economic downturn, which could result in a larger customer churn than we currently anticipate and reduced demand for our products and services, in which case our revenues could be significantly impacted. The impact of the COVID-19 pandemic may also exacerbate other risks discussed in this “Risk Factors” section and elsewhere in this Quarterly Report on Form 10-Q. It is not possible at this time to estimate the impact that the COVID-19 pandemic could have on our business, as the impact will depend on future developments, which are highly uncertain and cannot be predicted.</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organizations do not adopt cloud-based SaaS-delivered endpoint security solutions, our ability to grow our business and results of operations may be adversely affected.</w:t>
      </w:r>
    </w:p>
    <w:p>
      <w:pPr>
        <w:spacing w:after="0" w:line="150"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attract new customers, our future results of operations could be harmed.</w:t>
      </w:r>
    </w:p>
    <w:p>
      <w:pPr>
        <w:spacing w:after="0" w:line="150" w:lineRule="exact"/>
        <w:rPr>
          <w:sz w:val="20"/>
          <w:szCs w:val="20"/>
          <w:color w:val="auto"/>
        </w:rPr>
      </w:pPr>
    </w:p>
    <w:p>
      <w:pPr>
        <w:ind w:right="40" w:firstLine="432"/>
        <w:spacing w:after="0" w:line="278" w:lineRule="auto"/>
        <w:rPr>
          <w:sz w:val="20"/>
          <w:szCs w:val="20"/>
          <w:color w:val="auto"/>
        </w:rPr>
      </w:pPr>
      <w:r>
        <w:rPr>
          <w:rFonts w:ascii="Arial" w:cs="Arial" w:eastAsia="Arial" w:hAnsi="Arial"/>
          <w:sz w:val="11"/>
          <w:szCs w:val="11"/>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 downturn due to the outbreak of diseases such as COVID-19, may cause our current and prospective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reduced sales, lengthened sales cycles, increased churn, lower demand for our products, and adversely affect our results of operations and financial conditions.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365760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71" w:right="31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i w:val="1"/>
          <w:iCs w:val="1"/>
          <w:color w:val="auto"/>
        </w:rPr>
        <w:t>If our customers do not renew their subscriptions for our products and add additional cloud modules to their subscriptions, our future results of operations could be harmed.</w:t>
      </w:r>
    </w:p>
    <w:p>
      <w:pPr>
        <w:spacing w:after="0" w:line="150" w:lineRule="exact"/>
        <w:rPr>
          <w:sz w:val="20"/>
          <w:szCs w:val="20"/>
          <w:color w:val="auto"/>
        </w:rPr>
      </w:pPr>
    </w:p>
    <w:p>
      <w:pPr>
        <w:ind w:right="40" w:firstLine="432"/>
        <w:spacing w:after="0" w:line="316" w:lineRule="auto"/>
        <w:rPr>
          <w:sz w:val="20"/>
          <w:szCs w:val="20"/>
          <w:color w:val="auto"/>
        </w:rPr>
      </w:pPr>
      <w:r>
        <w:rPr>
          <w:rFonts w:ascii="Arial" w:cs="Arial" w:eastAsia="Arial" w:hAnsi="Arial"/>
          <w:sz w:val="10"/>
          <w:szCs w:val="10"/>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intense competition and could lose market share to our competitors, which could adversely affect our business, financial condition, and results of operations.</w:t>
      </w:r>
    </w:p>
    <w:p>
      <w:pPr>
        <w:spacing w:after="0" w:line="150" w:lineRule="exact"/>
        <w:rPr>
          <w:sz w:val="20"/>
          <w:szCs w:val="20"/>
          <w:color w:val="auto"/>
        </w:rPr>
      </w:pPr>
    </w:p>
    <w:p>
      <w:pPr>
        <w:jc w:val="both"/>
        <w:ind w:right="40" w:firstLine="432"/>
        <w:spacing w:after="0" w:line="289" w:lineRule="auto"/>
        <w:rPr>
          <w:sz w:val="20"/>
          <w:szCs w:val="20"/>
          <w:color w:val="auto"/>
        </w:rPr>
      </w:pPr>
      <w:r>
        <w:rPr>
          <w:rFonts w:ascii="Arial" w:cs="Arial" w:eastAsia="Arial" w:hAnsi="Arial"/>
          <w:sz w:val="11"/>
          <w:szCs w:val="11"/>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11" w:lineRule="exact"/>
        <w:rPr>
          <w:sz w:val="20"/>
          <w:szCs w:val="20"/>
          <w:color w:val="auto"/>
        </w:rPr>
      </w:pPr>
    </w:p>
    <w:p>
      <w:pPr>
        <w:ind w:left="640" w:hanging="216"/>
        <w:spacing w:after="0"/>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product capabilities, including performance and reliability, of our Falcon platform, including our cloud modules, services, and features compared to those of our competitors;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and the ability of our competitors, to improve existing products, services, and features, or to develop new ones to address evolving customer needs;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attract, retain, and motivate talented employees;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establish and maintain relationships with channel partners;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strength of our sales and marketing efforts;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acquisitions or consolidation within our industry, which may result in more formidable competitors.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competitors include the following by general category:</w:t>
      </w:r>
    </w:p>
    <w:p>
      <w:pPr>
        <w:spacing w:after="0" w:line="150" w:lineRule="exact"/>
        <w:rPr>
          <w:sz w:val="20"/>
          <w:szCs w:val="20"/>
          <w:color w:val="auto"/>
        </w:rPr>
      </w:pPr>
    </w:p>
    <w:p>
      <w:pPr>
        <w:ind w:left="640" w:right="400" w:hanging="216"/>
        <w:spacing w:after="0" w:line="276" w:lineRule="auto"/>
        <w:tabs>
          <w:tab w:leader="none" w:pos="637" w:val="left"/>
        </w:tabs>
        <w:numPr>
          <w:ilvl w:val="0"/>
          <w:numId w:val="31"/>
        </w:numPr>
        <w:rPr>
          <w:rFonts w:ascii="Arial" w:cs="Arial" w:eastAsia="Arial" w:hAnsi="Arial"/>
          <w:sz w:val="12"/>
          <w:szCs w:val="12"/>
          <w:color w:val="auto"/>
        </w:rPr>
      </w:pPr>
      <w:r>
        <w:rPr>
          <w:rFonts w:ascii="Arial" w:cs="Arial" w:eastAsia="Arial" w:hAnsi="Arial"/>
          <w:sz w:val="12"/>
          <w:szCs w:val="12"/>
          <w:color w:val="auto"/>
        </w:rPr>
        <w:t>legacy antivirus product providers, such as McAfee Enterprise, Broadcom Inc.’s Symantec Enterprise division, and Microsoft Corporation, who offer a broad range of approaches and solutions including traditional antivirus and signature-based protection;</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1"/>
          <w:szCs w:val="11"/>
          <w:color w:val="auto"/>
        </w:rPr>
      </w:pPr>
      <w:r>
        <w:rPr>
          <w:rFonts w:ascii="Arial" w:cs="Arial" w:eastAsia="Arial" w:hAnsi="Arial"/>
          <w:sz w:val="11"/>
          <w:szCs w:val="11"/>
          <w:color w:val="auto"/>
        </w:rPr>
        <w:t>alternative endpoint security providers, such as Blackberry Cylance, VMware Carbon Black and SentinelOne, who offer point products based on malware-only or application whitelisting techniques; and</w:t>
      </w:r>
    </w:p>
    <w:p>
      <w:pPr>
        <w:spacing w:after="0" w:line="161" w:lineRule="exact"/>
        <w:rPr>
          <w:rFonts w:ascii="Arial" w:cs="Arial" w:eastAsia="Arial" w:hAnsi="Arial"/>
          <w:sz w:val="11"/>
          <w:szCs w:val="11"/>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network security vendors, such as Palo Alto Networks, Inc. and FireEye, who are supplementing their core perimeter-based offerings with endpoint security solutions.</w:t>
      </w:r>
    </w:p>
    <w:p>
      <w:pPr>
        <w:spacing w:after="0" w:line="150"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Many of these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356870</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5" w:right="339" w:bottom="1440" w:gutter="0" w:footer="0" w:header="0"/>
        </w:sectPr>
      </w:pPr>
    </w:p>
    <w:bookmarkStart w:id="56" w:name="page57"/>
    <w:bookmarkEnd w:id="56"/>
    <w:p>
      <w:pPr>
        <w:spacing w:after="0" w:line="279" w:lineRule="auto"/>
        <w:rPr>
          <w:sz w:val="20"/>
          <w:szCs w:val="20"/>
          <w:color w:val="auto"/>
        </w:rPr>
      </w:pPr>
      <w:r>
        <w:rPr>
          <w:rFonts w:ascii="Arial" w:cs="Arial" w:eastAsia="Arial" w:hAnsi="Arial"/>
          <w:sz w:val="11"/>
          <w:szCs w:val="11"/>
          <w:color w:val="auto"/>
        </w:rPr>
        <w:t>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Competitive pricing pressure may reduce our gross profits and adversely affect our financial results.</w:t>
      </w:r>
    </w:p>
    <w:p>
      <w:pPr>
        <w:spacing w:after="0" w:line="150" w:lineRule="exact"/>
        <w:rPr>
          <w:sz w:val="20"/>
          <w:szCs w:val="20"/>
          <w:color w:val="auto"/>
        </w:rPr>
      </w:pPr>
    </w:p>
    <w:p>
      <w:pPr>
        <w:ind w:right="100" w:firstLine="432"/>
        <w:spacing w:after="0" w:line="289" w:lineRule="auto"/>
        <w:rPr>
          <w:sz w:val="20"/>
          <w:szCs w:val="20"/>
          <w:color w:val="auto"/>
        </w:rPr>
      </w:pPr>
      <w:r>
        <w:rPr>
          <w:rFonts w:ascii="Arial" w:cs="Arial" w:eastAsia="Arial" w:hAnsi="Arial"/>
          <w:sz w:val="11"/>
          <w:szCs w:val="11"/>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Competition continues to increase in the market segments in which we operate, and we expect competition to further increase in the future. Larger competitors with more diverse product and service offerings may reduce the price of products or subscriptions that compete with ours or may bundle them with other products and subscriptions.</w:t>
      </w:r>
    </w:p>
    <w:p>
      <w:pPr>
        <w:spacing w:after="0" w:line="111"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15"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 or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15"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371475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57" w:name="page58"/>
    <w:bookmarkEnd w:id="57"/>
    <w:p>
      <w:pPr>
        <w:ind w:right="60" w:firstLine="432"/>
        <w:spacing w:after="0" w:line="313" w:lineRule="auto"/>
        <w:rPr>
          <w:sz w:val="20"/>
          <w:szCs w:val="20"/>
          <w:color w:val="auto"/>
        </w:rPr>
      </w:pPr>
      <w:r>
        <w:rPr>
          <w:rFonts w:ascii="Arial" w:cs="Arial" w:eastAsia="Arial" w:hAnsi="Arial"/>
          <w:sz w:val="10"/>
          <w:szCs w:val="10"/>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0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15" w:lineRule="exact"/>
        <w:rPr>
          <w:sz w:val="20"/>
          <w:szCs w:val="20"/>
          <w:color w:val="auto"/>
        </w:rPr>
      </w:pPr>
    </w:p>
    <w:p>
      <w:pPr>
        <w:ind w:right="20" w:firstLine="432"/>
        <w:spacing w:after="0" w:line="279" w:lineRule="auto"/>
        <w:rPr>
          <w:sz w:val="20"/>
          <w:szCs w:val="20"/>
          <w:color w:val="auto"/>
        </w:rPr>
      </w:pPr>
      <w:r>
        <w:rPr>
          <w:rFonts w:ascii="Arial" w:cs="Arial" w:eastAsia="Arial" w:hAnsi="Arial"/>
          <w:sz w:val="11"/>
          <w:szCs w:val="11"/>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We are also susceptible to inadvertent compromises of our systems and data, including those arising from process, coding, or human errors. We also utilize third-party service providers to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17"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15"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368935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58" w:name="page59"/>
    <w:bookmarkEnd w:id="58"/>
    <w:p>
      <w:pPr>
        <w:spacing w:after="0" w:line="276" w:lineRule="auto"/>
        <w:rPr>
          <w:sz w:val="20"/>
          <w:szCs w:val="20"/>
          <w:color w:val="auto"/>
        </w:rPr>
      </w:pPr>
      <w:r>
        <w:rPr>
          <w:rFonts w:ascii="Arial" w:cs="Arial" w:eastAsia="Arial" w:hAnsi="Arial"/>
          <w:sz w:val="12"/>
          <w:szCs w:val="12"/>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1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factors, many of which are beyond our control, can affect the delivery, availability, and the performance of our Falcon platform:</w:t>
      </w:r>
    </w:p>
    <w:p>
      <w:pPr>
        <w:spacing w:after="0" w:line="150" w:lineRule="exact"/>
        <w:rPr>
          <w:sz w:val="20"/>
          <w:szCs w:val="20"/>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development and maintenance of the infrastructure of the internet;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performance and availability of third-party providers of cloud infrastructure services, such as AWS, with the necessary speed, data capacity and security for providing reliable internet access and services;</w:t>
      </w:r>
    </w:p>
    <w:p>
      <w:pPr>
        <w:spacing w:after="0" w:line="161" w:lineRule="exact"/>
        <w:rPr>
          <w:rFonts w:ascii="Arial" w:cs="Arial" w:eastAsia="Arial" w:hAnsi="Arial"/>
          <w:sz w:val="11"/>
          <w:szCs w:val="11"/>
          <w:color w:val="auto"/>
        </w:rPr>
      </w:pPr>
    </w:p>
    <w:p>
      <w:pPr>
        <w:ind w:left="640" w:right="100" w:hanging="216"/>
        <w:spacing w:after="0" w:line="276" w:lineRule="auto"/>
        <w:tabs>
          <w:tab w:leader="none" w:pos="637" w:val="left"/>
        </w:tabs>
        <w:numPr>
          <w:ilvl w:val="0"/>
          <w:numId w:val="32"/>
        </w:numPr>
        <w:rPr>
          <w:rFonts w:ascii="Arial" w:cs="Arial" w:eastAsia="Arial" w:hAnsi="Arial"/>
          <w:sz w:val="12"/>
          <w:szCs w:val="12"/>
          <w:color w:val="auto"/>
        </w:rPr>
      </w:pPr>
      <w:r>
        <w:rPr>
          <w:rFonts w:ascii="Arial" w:cs="Arial" w:eastAsia="Arial" w:hAnsi="Arial"/>
          <w:sz w:val="12"/>
          <w:szCs w:val="12"/>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physical or electronic break-ins, acts of war or terrorism, human error or interference (including by disgruntled employees, former employees or contractors) and other catastrophic events;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cyberattacks, including denial of service attacks, targeted at us, our data centers, or the infrastructure of the internet;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failure by us to maintain and update our cloud infrastructure to meet our data capacity requirements;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errors, defects or performance problems in our software, including third-party software incorporated in our software;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improper deployment or configuration of our solutions;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failure of our redundancy systems, in the event of a service disruption at one of our data centers, to provide failover to other data centers in our data center network;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failure of our disaster recovery and business continuity arrangements.</w:t>
      </w:r>
    </w:p>
    <w:p>
      <w:pPr>
        <w:spacing w:after="0" w:line="150" w:lineRule="exact"/>
        <w:rPr>
          <w:sz w:val="20"/>
          <w:szCs w:val="20"/>
          <w:color w:val="auto"/>
        </w:rPr>
      </w:pPr>
    </w:p>
    <w:p>
      <w:pPr>
        <w:ind w:right="20" w:firstLine="432"/>
        <w:spacing w:after="0" w:line="283" w:lineRule="auto"/>
        <w:rPr>
          <w:sz w:val="20"/>
          <w:szCs w:val="20"/>
          <w:color w:val="auto"/>
        </w:rPr>
      </w:pPr>
      <w:r>
        <w:rPr>
          <w:rFonts w:ascii="Arial" w:cs="Arial" w:eastAsia="Arial" w:hAnsi="Arial"/>
          <w:sz w:val="11"/>
          <w:szCs w:val="11"/>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50" w:lineRule="exact"/>
        <w:rPr>
          <w:sz w:val="20"/>
          <w:szCs w:val="20"/>
          <w:color w:val="auto"/>
        </w:rPr>
      </w:pPr>
    </w:p>
    <w:p>
      <w:pPr>
        <w:jc w:val="both"/>
        <w:ind w:right="160" w:firstLine="432"/>
        <w:spacing w:after="0" w:line="263" w:lineRule="auto"/>
        <w:rPr>
          <w:sz w:val="20"/>
          <w:szCs w:val="20"/>
          <w:color w:val="auto"/>
        </w:rPr>
      </w:pPr>
      <w:r>
        <w:rPr>
          <w:rFonts w:ascii="Arial" w:cs="Arial" w:eastAsia="Arial" w:hAnsi="Arial"/>
          <w:sz w:val="12"/>
          <w:szCs w:val="12"/>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367665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59" w:name="page60"/>
    <w:bookmarkEnd w:id="59"/>
    <w:p>
      <w:pPr>
        <w:ind w:right="20"/>
        <w:spacing w:after="0" w:line="283" w:lineRule="auto"/>
        <w:rPr>
          <w:sz w:val="20"/>
          <w:szCs w:val="20"/>
          <w:color w:val="auto"/>
        </w:rPr>
      </w:pPr>
      <w:r>
        <w:rPr>
          <w:rFonts w:ascii="Arial" w:cs="Arial" w:eastAsia="Arial" w:hAnsi="Arial"/>
          <w:sz w:val="11"/>
          <w:szCs w:val="11"/>
          <w:color w:val="auto"/>
        </w:rPr>
        <w:t>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62"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50" w:lineRule="exact"/>
        <w:rPr>
          <w:sz w:val="20"/>
          <w:szCs w:val="20"/>
          <w:color w:val="auto"/>
        </w:rPr>
      </w:pPr>
    </w:p>
    <w:p>
      <w:pPr>
        <w:ind w:right="60" w:firstLine="432"/>
        <w:spacing w:after="0" w:line="323" w:lineRule="auto"/>
        <w:rPr>
          <w:sz w:val="20"/>
          <w:szCs w:val="20"/>
          <w:color w:val="auto"/>
        </w:rPr>
      </w:pPr>
      <w:r>
        <w:rPr>
          <w:rFonts w:ascii="Arial" w:cs="Arial" w:eastAsia="Arial" w:hAnsi="Arial"/>
          <w:sz w:val="11"/>
          <w:szCs w:val="11"/>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92" w:lineRule="exact"/>
        <w:rPr>
          <w:sz w:val="20"/>
          <w:szCs w:val="20"/>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impact of the COVID-19 pandemic on our operations, financial results, and liquidity and capital resources, including on customers, sales, expenses, and employees;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our ability to attract new and retain existing customers;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budgeting cycles, seasonal buying patterns, and purchasing practices of customers;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timing and length of our sales cycles;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changes in customer or channel partner requirements or market needs;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changes in the growth rate of the cloud-based SaaS-delivered endpoint security solutions market;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timing and success of new product and service introductions by us or our competitors or any other competitive developments, including consolidation among our customers or competitors;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level of awareness of cybersecurity threats, particularly advanced cyberattacks, and the market adoption of our Falcon platform;</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our ability to successfully expand our business domestically and internationally;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decisions by organizations to purchase security solutions from larger, more established security vendors or from their primary IT equipment vendors;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changes in our pricing policies or those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385445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5" w:right="339" w:bottom="1440" w:gutter="0" w:footer="0" w:header="0"/>
        </w:sectPr>
      </w:pPr>
    </w:p>
    <w:bookmarkStart w:id="60" w:name="page61"/>
    <w:bookmarkEnd w:id="60"/>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any disruption in our relationship with channel partners;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insolvency or credit difficulties confronting our customers, affecting their ability to purchase or pay for our solutions;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significant security breaches of, technical difficulties with or interruptions to, the use of our Falcon platform;</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extraordinary expenses such as litigation or other dispute-related settlement payments or outcomes;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general economic conditions, both domestic and in our foreign markets;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future accounting pronouncements or changes in our accounting policies or practices;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negative media coverage or publicity;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political events;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amount and timing of operating costs and capital expenditures related to the expansion of our business;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increases or decreases in our expenses caused by fluctuations in foreign currency exchange rates.</w:t>
      </w:r>
    </w:p>
    <w:p>
      <w:pPr>
        <w:spacing w:after="0" w:line="150"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sales cycles can be long and unpredictable, and our sales efforts require considerable time and expense.</w:t>
      </w:r>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122"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our key technical, sales and management personnel to grow our business, and the loss of one or more key employees could harm our business.</w:t>
      </w:r>
    </w:p>
    <w:p>
      <w:pPr>
        <w:spacing w:after="0" w:line="150"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If Mr. Kurtz, or one or more of our key employees, or members of our management team resigns or otherwise ceases to provide us with their service, our business could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371475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i w:val="1"/>
          <w:iCs w:val="1"/>
          <w:color w:val="auto"/>
        </w:rPr>
        <w:t>If we are unable to attract and retain qualified personnel, our business could be harmed.</w:t>
      </w:r>
    </w:p>
    <w:p>
      <w:pPr>
        <w:spacing w:after="0" w:line="150" w:lineRule="exact"/>
        <w:rPr>
          <w:sz w:val="20"/>
          <w:szCs w:val="20"/>
          <w:color w:val="auto"/>
        </w:rPr>
      </w:pPr>
    </w:p>
    <w:p>
      <w:pPr>
        <w:ind w:right="20" w:firstLine="432"/>
        <w:spacing w:after="0" w:line="279" w:lineRule="auto"/>
        <w:rPr>
          <w:sz w:val="20"/>
          <w:szCs w:val="20"/>
          <w:color w:val="auto"/>
        </w:rPr>
      </w:pPr>
      <w:r>
        <w:rPr>
          <w:rFonts w:ascii="Arial" w:cs="Arial" w:eastAsia="Arial" w:hAnsi="Arial"/>
          <w:sz w:val="11"/>
          <w:szCs w:val="11"/>
          <w:color w:val="auto"/>
        </w:rPr>
        <w:t>There is also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62" w:lineRule="exact"/>
        <w:rPr>
          <w:sz w:val="20"/>
          <w:szCs w:val="20"/>
          <w:color w:val="auto"/>
        </w:rPr>
      </w:pPr>
    </w:p>
    <w:p>
      <w:pPr>
        <w:ind w:right="60" w:firstLine="432"/>
        <w:spacing w:after="0" w:line="289" w:lineRule="auto"/>
        <w:rPr>
          <w:sz w:val="20"/>
          <w:szCs w:val="20"/>
          <w:color w:val="auto"/>
        </w:rPr>
      </w:pPr>
      <w:r>
        <w:rPr>
          <w:rFonts w:ascii="Arial" w:cs="Arial" w:eastAsia="Arial" w:hAnsi="Arial"/>
          <w:sz w:val="11"/>
          <w:szCs w:val="11"/>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11"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customers as well as assist in analyzing and remediating high profile cyberattacks. Our work with such customers has exposed us to publicity and media coverage.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2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363220</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62" w:name="page63"/>
    <w:bookmarkEnd w:id="62"/>
    <w:p>
      <w:pPr>
        <w:ind w:firstLine="432"/>
        <w:spacing w:after="0" w:line="255" w:lineRule="auto"/>
        <w:rPr>
          <w:sz w:val="20"/>
          <w:szCs w:val="20"/>
          <w:color w:val="auto"/>
        </w:rPr>
      </w:pPr>
      <w:r>
        <w:rPr>
          <w:rFonts w:ascii="Arial" w:cs="Arial" w:eastAsia="Arial" w:hAnsi="Arial"/>
          <w:sz w:val="12"/>
          <w:szCs w:val="12"/>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28"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15"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Although we anticipate that they may increase in the future, sales to U.S. federal, state, and local governmental agencies have not accounted for, and may never account for, a significant portion of our revenue. U.S. federal, state and local government sales are subject to a number of challenges and risks that may adversely impact our business. Sales to such government entities include the following risks:</w:t>
      </w:r>
    </w:p>
    <w:p>
      <w:pPr>
        <w:spacing w:after="0" w:line="111" w:lineRule="exact"/>
        <w:rPr>
          <w:sz w:val="20"/>
          <w:szCs w:val="20"/>
          <w:color w:val="auto"/>
        </w:rPr>
      </w:pPr>
    </w:p>
    <w:p>
      <w:pPr>
        <w:ind w:left="640" w:hanging="216"/>
        <w:spacing w:after="0"/>
        <w:tabs>
          <w:tab w:leader="none" w:pos="6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selling to governmental agencies can be highly competitive, expensive and time consuming, often requiring significant upfront time and expense without any assurance that such efforts will generate a sale;</w:t>
      </w:r>
    </w:p>
    <w:p>
      <w:pPr>
        <w:spacing w:after="0" w:line="161" w:lineRule="exact"/>
        <w:rPr>
          <w:rFonts w:ascii="Arial" w:cs="Arial" w:eastAsia="Arial" w:hAnsi="Arial"/>
          <w:sz w:val="11"/>
          <w:szCs w:val="11"/>
          <w:color w:val="auto"/>
        </w:rPr>
      </w:pPr>
    </w:p>
    <w:p>
      <w:pPr>
        <w:ind w:left="640" w:right="40" w:hanging="216"/>
        <w:spacing w:after="0" w:line="263" w:lineRule="auto"/>
        <w:tabs>
          <w:tab w:leader="none" w:pos="637" w:val="left"/>
        </w:tabs>
        <w:numPr>
          <w:ilvl w:val="0"/>
          <w:numId w:val="35"/>
        </w:numPr>
        <w:rPr>
          <w:rFonts w:ascii="Arial" w:cs="Arial" w:eastAsia="Arial" w:hAnsi="Arial"/>
          <w:sz w:val="12"/>
          <w:szCs w:val="12"/>
          <w:color w:val="auto"/>
        </w:rPr>
      </w:pPr>
      <w:r>
        <w:rPr>
          <w:rFonts w:ascii="Arial" w:cs="Arial" w:eastAsia="Arial" w:hAnsi="Arial"/>
          <w:sz w:val="12"/>
          <w:szCs w:val="12"/>
          <w:color w:val="auto"/>
        </w:rPr>
        <w:t>government certification, software supply chain, or source code transparency requirements applicable to our products may change and, in doing so, restrict our ability to sell into the U.S. federal government sector until we have attained the revised certification or meet other new requirements. For example, although we are currently certified under the Federal Risk and Authorization Management Program, or FedRAMP, such certification is costly to maintain and if we lose our certification it would restrict our ability to sell to government customers;</w:t>
      </w:r>
    </w:p>
    <w:p>
      <w:pPr>
        <w:spacing w:after="0" w:line="122"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35"/>
        </w:numPr>
        <w:rPr>
          <w:rFonts w:ascii="Arial" w:cs="Arial" w:eastAsia="Arial" w:hAnsi="Arial"/>
          <w:sz w:val="12"/>
          <w:szCs w:val="12"/>
          <w:color w:val="auto"/>
        </w:rPr>
      </w:pPr>
      <w:r>
        <w:rPr>
          <w:rFonts w:ascii="Arial" w:cs="Arial" w:eastAsia="Arial" w:hAnsi="Arial"/>
          <w:sz w:val="12"/>
          <w:szCs w:val="12"/>
          <w:color w:val="auto"/>
        </w:rPr>
        <w:t>government demand and payment for our Falcon platform may be impacted by public sector budgetary cycles and funding authorizations, with funding reductions or delays adversely affecting public sector demand for our Falcon platform;</w:t>
      </w:r>
    </w:p>
    <w:p>
      <w:pPr>
        <w:spacing w:after="0" w:line="114" w:lineRule="exact"/>
        <w:rPr>
          <w:rFonts w:ascii="Arial" w:cs="Arial" w:eastAsia="Arial" w:hAnsi="Arial"/>
          <w:sz w:val="12"/>
          <w:szCs w:val="12"/>
          <w:color w:val="auto"/>
        </w:rPr>
      </w:pPr>
    </w:p>
    <w:p>
      <w:pPr>
        <w:ind w:left="640" w:right="300" w:hanging="216"/>
        <w:spacing w:after="0" w:line="276" w:lineRule="auto"/>
        <w:tabs>
          <w:tab w:leader="none" w:pos="637" w:val="left"/>
        </w:tabs>
        <w:numPr>
          <w:ilvl w:val="0"/>
          <w:numId w:val="35"/>
        </w:numPr>
        <w:rPr>
          <w:rFonts w:ascii="Arial" w:cs="Arial" w:eastAsia="Arial" w:hAnsi="Arial"/>
          <w:sz w:val="12"/>
          <w:szCs w:val="12"/>
          <w:color w:val="auto"/>
        </w:rPr>
      </w:pPr>
      <w:r>
        <w:rPr>
          <w:rFonts w:ascii="Arial" w:cs="Arial" w:eastAsia="Arial" w:hAnsi="Arial"/>
          <w:sz w:val="12"/>
          <w:szCs w:val="12"/>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14" w:lineRule="exact"/>
        <w:rPr>
          <w:rFonts w:ascii="Arial" w:cs="Arial" w:eastAsia="Arial" w:hAnsi="Arial"/>
          <w:sz w:val="12"/>
          <w:szCs w:val="12"/>
          <w:color w:val="auto"/>
        </w:rPr>
      </w:pPr>
    </w:p>
    <w:p>
      <w:pPr>
        <w:ind w:left="640" w:right="80" w:hanging="216"/>
        <w:spacing w:after="0" w:line="276" w:lineRule="auto"/>
        <w:tabs>
          <w:tab w:leader="none" w:pos="637" w:val="left"/>
        </w:tabs>
        <w:numPr>
          <w:ilvl w:val="0"/>
          <w:numId w:val="35"/>
        </w:numPr>
        <w:rPr>
          <w:rFonts w:ascii="Arial" w:cs="Arial" w:eastAsia="Arial" w:hAnsi="Arial"/>
          <w:sz w:val="12"/>
          <w:szCs w:val="12"/>
          <w:color w:val="auto"/>
        </w:rPr>
      </w:pPr>
      <w:r>
        <w:rPr>
          <w:rFonts w:ascii="Arial" w:cs="Arial" w:eastAsia="Arial" w:hAnsi="Arial"/>
          <w:sz w:val="12"/>
          <w:szCs w:val="12"/>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15"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The occurrence of any of the foregoing could cause governments and governmental agencies to delay or refrain from purchasing our solutions in the future or otherwise have an adverse effect on our business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timely and cost-effectively scale and adapt our existing technology to meet our customers’ performance and other requirements.</w:t>
      </w:r>
    </w:p>
    <w:p>
      <w:pPr>
        <w:spacing w:after="0" w:line="150"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371475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63" w:name="page64"/>
    <w:bookmarkEnd w:id="63"/>
    <w:p>
      <w:pPr>
        <w:ind w:right="300"/>
        <w:spacing w:after="0" w:line="298" w:lineRule="auto"/>
        <w:rPr>
          <w:sz w:val="20"/>
          <w:szCs w:val="20"/>
          <w:color w:val="auto"/>
        </w:rPr>
      </w:pPr>
      <w:r>
        <w:rPr>
          <w:rFonts w:ascii="Arial" w:cs="Arial" w:eastAsia="Arial" w:hAnsi="Arial"/>
          <w:sz w:val="11"/>
          <w:szCs w:val="11"/>
          <w:color w:val="auto"/>
        </w:rPr>
        <w:t>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05"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maintain customer satisfaction depends in part on the quality of our customer support.</w:t>
      </w:r>
    </w:p>
    <w:p>
      <w:pPr>
        <w:spacing w:after="0" w:line="150" w:lineRule="exact"/>
        <w:rPr>
          <w:sz w:val="20"/>
          <w:szCs w:val="20"/>
          <w:color w:val="auto"/>
        </w:rPr>
      </w:pPr>
    </w:p>
    <w:p>
      <w:pPr>
        <w:ind w:firstLine="432"/>
        <w:spacing w:after="0" w:line="243" w:lineRule="auto"/>
        <w:rPr>
          <w:sz w:val="20"/>
          <w:szCs w:val="20"/>
          <w:color w:val="auto"/>
        </w:rPr>
      </w:pPr>
      <w:r>
        <w:rPr>
          <w:rFonts w:ascii="Arial" w:cs="Arial" w:eastAsia="Arial" w:hAnsi="Arial"/>
          <w:sz w:val="12"/>
          <w:szCs w:val="12"/>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34" w:lineRule="exact"/>
        <w:rPr>
          <w:sz w:val="20"/>
          <w:szCs w:val="20"/>
          <w:color w:val="auto"/>
        </w:rPr>
      </w:pPr>
    </w:p>
    <w:p>
      <w:pPr>
        <w:ind w:right="80"/>
        <w:spacing w:after="0" w:line="234" w:lineRule="auto"/>
        <w:rPr>
          <w:sz w:val="20"/>
          <w:szCs w:val="20"/>
          <w:color w:val="auto"/>
        </w:rPr>
      </w:pPr>
      <w:r>
        <w:rPr>
          <w:rFonts w:ascii="Arial" w:cs="Arial" w:eastAsia="Arial" w:hAnsi="Arial"/>
          <w:sz w:val="12"/>
          <w:szCs w:val="12"/>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36" w:lineRule="exact"/>
        <w:rPr>
          <w:sz w:val="20"/>
          <w:szCs w:val="20"/>
          <w:color w:val="auto"/>
        </w:rPr>
      </w:pPr>
    </w:p>
    <w:p>
      <w:pPr>
        <w:ind w:right="40" w:firstLine="432"/>
        <w:spacing w:after="0" w:line="239" w:lineRule="auto"/>
        <w:rPr>
          <w:sz w:val="20"/>
          <w:szCs w:val="20"/>
          <w:color w:val="auto"/>
        </w:rPr>
      </w:pPr>
      <w:r>
        <w:rPr>
          <w:rFonts w:ascii="Arial" w:cs="Arial" w:eastAsia="Arial" w:hAnsi="Arial"/>
          <w:sz w:val="12"/>
          <w:szCs w:val="12"/>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62" w:lineRule="exact"/>
        <w:rPr>
          <w:sz w:val="20"/>
          <w:szCs w:val="20"/>
          <w:color w:val="auto"/>
        </w:rPr>
      </w:pPr>
    </w:p>
    <w:p>
      <w:pPr>
        <w:ind w:right="20" w:firstLine="432"/>
        <w:spacing w:after="0" w:line="272" w:lineRule="auto"/>
        <w:rPr>
          <w:sz w:val="20"/>
          <w:szCs w:val="20"/>
          <w:color w:val="auto"/>
        </w:rPr>
      </w:pPr>
      <w:r>
        <w:rPr>
          <w:rFonts w:ascii="Arial" w:cs="Arial" w:eastAsia="Arial" w:hAnsi="Arial"/>
          <w:sz w:val="11"/>
          <w:szCs w:val="11"/>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463550</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i w:val="1"/>
          <w:iCs w:val="1"/>
          <w:color w:val="auto"/>
        </w:rPr>
        <w:t>Our international operations and plans for future international expansion expose us to significant risks, and failure to manage those risks could adversely impact our business.</w:t>
      </w:r>
    </w:p>
    <w:p>
      <w:pPr>
        <w:spacing w:after="0" w:line="150" w:lineRule="exact"/>
        <w:rPr>
          <w:sz w:val="20"/>
          <w:szCs w:val="20"/>
          <w:color w:val="auto"/>
        </w:rPr>
      </w:pPr>
    </w:p>
    <w:p>
      <w:pPr>
        <w:ind w:right="80" w:firstLine="432"/>
        <w:spacing w:after="0" w:line="243" w:lineRule="auto"/>
        <w:rPr>
          <w:sz w:val="20"/>
          <w:szCs w:val="20"/>
          <w:color w:val="auto"/>
        </w:rPr>
      </w:pPr>
      <w:r>
        <w:rPr>
          <w:rFonts w:ascii="Arial" w:cs="Arial" w:eastAsia="Arial" w:hAnsi="Arial"/>
          <w:sz w:val="12"/>
          <w:szCs w:val="12"/>
          <w:color w:val="auto"/>
        </w:rPr>
        <w:t>We derived approximately 23%, 26%, 28% and 27% of our total revenue from our international customers for fiscal 2019, fiscal 2020, fiscal 2021 and the nine months ended October 31, 2021,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89" w:lineRule="exact"/>
        <w:rPr>
          <w:sz w:val="20"/>
          <w:szCs w:val="20"/>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greater difficulty in negotiating contracts with standard terms, enforcing contracts and managing collections, and longer collection periods;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higher costs of doing business internationally, including costs incurred in establishing and maintaining office space and equipment for our international operations;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management communication and integration problems resulting from cultural and geographic dispersion;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risks associated with trade restrictions and foreign legal requirements, including any importation, certification, and localization of our Falcon platform that may be required in foreign countries;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greater risk of unexpected changes in regulatory practices, tariffs, and tax laws and treaties;</w:t>
      </w:r>
    </w:p>
    <w:p>
      <w:pPr>
        <w:spacing w:after="0" w:line="150" w:lineRule="exact"/>
        <w:rPr>
          <w:rFonts w:ascii="Arial" w:cs="Arial" w:eastAsia="Arial" w:hAnsi="Arial"/>
          <w:sz w:val="12"/>
          <w:szCs w:val="12"/>
          <w:color w:val="auto"/>
        </w:rPr>
      </w:pPr>
    </w:p>
    <w:p>
      <w:pPr>
        <w:ind w:left="420" w:right="300" w:hanging="212"/>
        <w:spacing w:after="0" w:line="276" w:lineRule="auto"/>
        <w:tabs>
          <w:tab w:leader="none" w:pos="417"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14" w:lineRule="exact"/>
        <w:rPr>
          <w:rFonts w:ascii="Arial" w:cs="Arial" w:eastAsia="Arial" w:hAnsi="Arial"/>
          <w:sz w:val="12"/>
          <w:szCs w:val="12"/>
          <w:color w:val="auto"/>
        </w:rPr>
      </w:pPr>
    </w:p>
    <w:p>
      <w:pPr>
        <w:ind w:left="420" w:right="400" w:hanging="212"/>
        <w:spacing w:after="0" w:line="276" w:lineRule="auto"/>
        <w:tabs>
          <w:tab w:leader="none" w:pos="417" w:val="left"/>
        </w:tabs>
        <w:numPr>
          <w:ilvl w:val="0"/>
          <w:numId w:val="36"/>
        </w:numPr>
        <w:rPr>
          <w:rFonts w:ascii="Arial" w:cs="Arial" w:eastAsia="Arial" w:hAnsi="Arial"/>
          <w:sz w:val="12"/>
          <w:szCs w:val="12"/>
          <w:color w:val="auto"/>
        </w:rPr>
      </w:pPr>
      <w:r>
        <w:rPr>
          <w:rFonts w:ascii="Arial" w:cs="Arial" w:eastAsia="Arial" w:hAnsi="Arial"/>
          <w:sz w:val="12"/>
          <w:szCs w:val="12"/>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uncertainty of protection for intellectual property rights in some countries;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general economic and political conditions in these foreign markets;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foreign exchange controls or tax regulations that might prevent us from repatriating cash earned outside the United States;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political and economic instability in some countries;</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double taxation of our international earnings and potentially adverse tax consequences due to changes in the tax laws of the United States or the foreign jurisdictions in which we operate;</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unexpected costs for the localization of our services, including translation into foreign languages and adaptation for local practices and regulatory requirements;</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requirements to comply with foreign privacy, data protection, and information security laws and regulations and the risks and costs of noncompliance;</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greater difficulty in identifying, attracting and retaining local qualified personnel, and the costs and expenses associated with such activities;</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greater difficulty identifying qualified channel partners and maintaining successful relationships with such partners;</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differing employment practices and labor relations issues; and</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difficulties in managing and staffing international offices and increased travel, infrastructure, and legal compliance costs associated with multiple international locations.</w:t>
      </w:r>
    </w:p>
    <w:p>
      <w:pPr>
        <w:spacing w:after="0" w:line="150"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and Indian Rupee,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62" w:right="319" w:bottom="1440" w:gutter="0" w:footer="0" w:header="0"/>
        </w:sectPr>
      </w:pPr>
    </w:p>
    <w:bookmarkStart w:id="65" w:name="page66"/>
    <w:bookmarkEnd w:id="65"/>
    <w:p>
      <w:pPr>
        <w:ind w:right="60"/>
        <w:spacing w:after="0" w:line="260" w:lineRule="auto"/>
        <w:rPr>
          <w:sz w:val="20"/>
          <w:szCs w:val="20"/>
          <w:color w:val="auto"/>
        </w:rPr>
      </w:pPr>
      <w:r>
        <w:rPr>
          <w:rFonts w:ascii="Arial" w:cs="Arial" w:eastAsia="Arial" w:hAnsi="Arial"/>
          <w:sz w:val="12"/>
          <w:szCs w:val="12"/>
          <w:color w:val="auto"/>
        </w:rPr>
        <w:t>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33" w:lineRule="exact"/>
        <w:rPr>
          <w:sz w:val="20"/>
          <w:szCs w:val="20"/>
          <w:color w:val="auto"/>
        </w:rPr>
      </w:pPr>
    </w:p>
    <w:p>
      <w:pPr>
        <w:ind w:right="140" w:firstLine="432"/>
        <w:spacing w:after="0" w:line="247" w:lineRule="auto"/>
        <w:rPr>
          <w:sz w:val="20"/>
          <w:szCs w:val="20"/>
          <w:color w:val="auto"/>
        </w:rPr>
      </w:pPr>
      <w:r>
        <w:rPr>
          <w:rFonts w:ascii="Arial" w:cs="Arial" w:eastAsia="Arial" w:hAnsi="Arial"/>
          <w:sz w:val="12"/>
          <w:szCs w:val="12"/>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32" w:lineRule="exact"/>
        <w:rPr>
          <w:sz w:val="20"/>
          <w:szCs w:val="20"/>
          <w:color w:val="auto"/>
        </w:rPr>
      </w:pPr>
    </w:p>
    <w:p>
      <w:pPr>
        <w:ind w:right="100"/>
        <w:spacing w:after="0" w:line="234" w:lineRule="auto"/>
        <w:rPr>
          <w:sz w:val="20"/>
          <w:szCs w:val="20"/>
          <w:color w:val="auto"/>
        </w:rPr>
      </w:pPr>
      <w:r>
        <w:rPr>
          <w:rFonts w:ascii="Arial" w:cs="Arial" w:eastAsia="Arial" w:hAnsi="Arial"/>
          <w:sz w:val="12"/>
          <w:szCs w:val="12"/>
          <w:b w:val="1"/>
          <w:bCs w:val="1"/>
          <w:i w:val="1"/>
          <w:iCs w:val="1"/>
          <w:color w:val="auto"/>
        </w:rPr>
        <w:t>CrowdStrike is a highly-visible public company whose management, products, business, results of operations, statements and actions are scrutinized by third-parties whose influence could negatively impact the perception of our brand and the market value of our Class A common stock.</w:t>
      </w:r>
    </w:p>
    <w:p>
      <w:pPr>
        <w:spacing w:after="0" w:line="136" w:lineRule="exact"/>
        <w:rPr>
          <w:sz w:val="20"/>
          <w:szCs w:val="20"/>
          <w:color w:val="auto"/>
        </w:rPr>
      </w:pPr>
    </w:p>
    <w:p>
      <w:pPr>
        <w:ind w:right="20" w:firstLine="432"/>
        <w:spacing w:after="0" w:line="243" w:lineRule="auto"/>
        <w:rPr>
          <w:sz w:val="20"/>
          <w:szCs w:val="20"/>
          <w:color w:val="auto"/>
        </w:rPr>
      </w:pPr>
      <w:r>
        <w:rPr>
          <w:rFonts w:ascii="Arial" w:cs="Arial" w:eastAsia="Arial" w:hAnsi="Arial"/>
          <w:sz w:val="12"/>
          <w:szCs w:val="12"/>
          <w:color w:val="auto"/>
        </w:rPr>
        <w:t>CrowdStrike is a highly-visible public company whose management, products, business, results of operations, statements and actions are publicized. Such attention sometimes includes criticism of us by a range of third-parties. Our continued success depends on our ability to focus on executing on our mission and business plan while maintaining the trust of our current and potential customers, employees, stockholders and business partners. Any criticism, whether or not accurate, could influence the perception of our brand or our management by our customers, suppliers or investors, which could adversely impact our business prospects, operating results and the market value of our Class A common stock.</w:t>
      </w:r>
    </w:p>
    <w:p>
      <w:pPr>
        <w:spacing w:after="0" w:line="134" w:lineRule="exact"/>
        <w:rPr>
          <w:sz w:val="20"/>
          <w:szCs w:val="20"/>
          <w:color w:val="auto"/>
        </w:rPr>
      </w:pPr>
    </w:p>
    <w:p>
      <w:pPr>
        <w:ind w:right="200"/>
        <w:spacing w:after="0" w:line="234" w:lineRule="auto"/>
        <w:rPr>
          <w:sz w:val="20"/>
          <w:szCs w:val="20"/>
          <w:color w:val="auto"/>
        </w:rPr>
      </w:pPr>
      <w:r>
        <w:rPr>
          <w:rFonts w:ascii="Arial" w:cs="Arial" w:eastAsia="Arial" w:hAnsi="Arial"/>
          <w:sz w:val="12"/>
          <w:szCs w:val="12"/>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136" w:lineRule="exact"/>
        <w:rPr>
          <w:sz w:val="20"/>
          <w:szCs w:val="20"/>
          <w:color w:val="auto"/>
        </w:rPr>
      </w:pPr>
    </w:p>
    <w:p>
      <w:pPr>
        <w:ind w:firstLine="432"/>
        <w:spacing w:after="0" w:line="260" w:lineRule="auto"/>
        <w:rPr>
          <w:sz w:val="20"/>
          <w:szCs w:val="20"/>
          <w:color w:val="auto"/>
        </w:rPr>
      </w:pPr>
      <w:r>
        <w:rPr>
          <w:rFonts w:ascii="Arial" w:cs="Arial" w:eastAsia="Arial" w:hAnsi="Arial"/>
          <w:sz w:val="11"/>
          <w:szCs w:val="11"/>
          <w:color w:val="auto"/>
        </w:rPr>
        <w:t>Our corporate headquarters are located in the San Francisco Bay Area, a region known for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The outbreak of a contagious disease like COVID-19 has, among other things, prompted responses such as government-imposed travel restrictions, the grounding of flights, and the shutdown of workplaces. It is not possible at this time to estimate the impact that the COVID-19 pandemic could have on our business, as the impact will depend on future developments, which are highly uncertain and cannot be predicted.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44" w:lineRule="exact"/>
        <w:rPr>
          <w:sz w:val="20"/>
          <w:szCs w:val="20"/>
          <w:color w:val="auto"/>
        </w:rPr>
      </w:pPr>
    </w:p>
    <w:p>
      <w:pPr>
        <w:ind w:right="140" w:firstLine="432"/>
        <w:spacing w:after="0" w:line="320" w:lineRule="auto"/>
        <w:rPr>
          <w:sz w:val="20"/>
          <w:szCs w:val="20"/>
          <w:color w:val="auto"/>
        </w:rPr>
      </w:pPr>
      <w:r>
        <w:rPr>
          <w:rFonts w:ascii="Arial" w:cs="Arial" w:eastAsia="Arial" w:hAnsi="Arial"/>
          <w:sz w:val="10"/>
          <w:szCs w:val="10"/>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351790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71" w:right="319" w:bottom="1440" w:gutter="0" w:footer="0" w:header="0"/>
        </w:sectPr>
      </w:pPr>
    </w:p>
    <w:bookmarkStart w:id="66" w:name="page67"/>
    <w:bookmarkEnd w:id="66"/>
    <w:p>
      <w:pPr>
        <w:spacing w:after="0"/>
        <w:rPr>
          <w:sz w:val="20"/>
          <w:szCs w:val="20"/>
          <w:color w:val="auto"/>
        </w:rPr>
      </w:pPr>
      <w:r>
        <w:rPr>
          <w:rFonts w:ascii="Arial" w:cs="Arial" w:eastAsia="Arial" w:hAnsi="Arial"/>
          <w:sz w:val="12"/>
          <w:szCs w:val="12"/>
          <w:color w:val="auto"/>
        </w:rPr>
        <w:t>additional taxes, interest and penalties, which could result in one-time tax charges, higher effective tax rates, reduced cash flows and lower overall profitability of our operations.</w:t>
      </w:r>
    </w:p>
    <w:p>
      <w:pPr>
        <w:spacing w:after="0" w:line="150"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The Biden administration has proposed several corporate tax increases, including raising the U.S. corporate income tax rate and greater taxation of international income that, if enacted, may have an adverse impact on our tax liability.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15" w:lineRule="exact"/>
        <w:rPr>
          <w:sz w:val="20"/>
          <w:szCs w:val="20"/>
          <w:color w:val="auto"/>
        </w:rPr>
      </w:pPr>
    </w:p>
    <w:p>
      <w:pPr>
        <w:ind w:right="160" w:firstLine="432"/>
        <w:spacing w:after="0" w:line="285" w:lineRule="auto"/>
        <w:rPr>
          <w:sz w:val="20"/>
          <w:szCs w:val="20"/>
          <w:color w:val="auto"/>
        </w:rPr>
      </w:pPr>
      <w:r>
        <w:rPr>
          <w:rFonts w:ascii="Arial" w:cs="Arial" w:eastAsia="Arial" w:hAnsi="Arial"/>
          <w:sz w:val="11"/>
          <w:szCs w:val="11"/>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A significant majority of countries in the OECD’s Inclusive Framework have agreed in principle to a proposed solution to address the tax challenges arising from the digitalization of the economy. Future tax reform resulting from these developments may result in changes to long-standing tax principles, which could adversely affect our effective tax rate or result in higher cash tax liabilities. The OECD’s proposed solution envisages new international tax rules and the removal of all Digital Services Taxes (“DST”). Notwithstanding this, some countries, in the European Union and beyond, continue to operate a DST regime to capture tax revenue on digital services more immediately. Such laws may increase our tax obligations in those countries or change the manner in which we operate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 Legal, and Regulatory Matters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success of our business depends in part on our ability to protect and enforce our intellectual property rights.</w:t>
      </w:r>
    </w:p>
    <w:p>
      <w:pPr>
        <w:spacing w:after="0" w:line="150"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17" w:lineRule="exact"/>
        <w:rPr>
          <w:sz w:val="20"/>
          <w:szCs w:val="20"/>
          <w:color w:val="auto"/>
        </w:rPr>
      </w:pPr>
    </w:p>
    <w:p>
      <w:pPr>
        <w:ind w:right="20" w:firstLine="432"/>
        <w:spacing w:after="0" w:line="320" w:lineRule="auto"/>
        <w:rPr>
          <w:sz w:val="20"/>
          <w:szCs w:val="20"/>
          <w:color w:val="auto"/>
        </w:rPr>
      </w:pPr>
      <w:r>
        <w:rPr>
          <w:rFonts w:ascii="Arial" w:cs="Arial" w:eastAsia="Arial" w:hAnsi="Arial"/>
          <w:sz w:val="10"/>
          <w:szCs w:val="10"/>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351790</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5" w:right="339" w:bottom="1440" w:gutter="0" w:footer="0" w:header="0"/>
        </w:sectPr>
      </w:pPr>
    </w:p>
    <w:bookmarkStart w:id="67" w:name="page68"/>
    <w:bookmarkEnd w:id="67"/>
    <w:p>
      <w:pPr>
        <w:spacing w:after="0"/>
        <w:rPr>
          <w:sz w:val="20"/>
          <w:szCs w:val="20"/>
          <w:color w:val="auto"/>
        </w:rPr>
      </w:pPr>
      <w:r>
        <w:rPr>
          <w:rFonts w:ascii="Arial" w:cs="Arial" w:eastAsia="Arial" w:hAnsi="Arial"/>
          <w:sz w:val="10"/>
          <w:szCs w:val="10"/>
          <w:color w:val="auto"/>
        </w:rPr>
        <w:t>provide us with competitive advantages or distinguish our services from those of our competitors or that our competitors will not independently develop similar technology, duplicate any of our technology, or design around our patents.</w:t>
      </w: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73" w:lineRule="exact"/>
        <w:rPr>
          <w:sz w:val="20"/>
          <w:szCs w:val="20"/>
          <w:color w:val="auto"/>
        </w:rPr>
      </w:pPr>
    </w:p>
    <w:p>
      <w:pPr>
        <w:ind w:right="80" w:firstLine="432"/>
        <w:spacing w:after="0" w:line="280" w:lineRule="auto"/>
        <w:rPr>
          <w:sz w:val="20"/>
          <w:szCs w:val="20"/>
          <w:color w:val="auto"/>
        </w:rPr>
      </w:pPr>
      <w:r>
        <w:rPr>
          <w:rFonts w:ascii="Arial" w:cs="Arial" w:eastAsia="Arial" w:hAnsi="Arial"/>
          <w:sz w:val="11"/>
          <w:szCs w:val="11"/>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115" w:lineRule="exact"/>
        <w:rPr>
          <w:sz w:val="20"/>
          <w:szCs w:val="20"/>
          <w:color w:val="auto"/>
        </w:rPr>
      </w:pPr>
    </w:p>
    <w:p>
      <w:pPr>
        <w:ind w:right="80" w:firstLine="432"/>
        <w:spacing w:after="0" w:line="255" w:lineRule="auto"/>
        <w:rPr>
          <w:sz w:val="20"/>
          <w:szCs w:val="20"/>
          <w:color w:val="auto"/>
        </w:rPr>
      </w:pPr>
      <w:r>
        <w:rPr>
          <w:rFonts w:ascii="Arial" w:cs="Arial" w:eastAsia="Arial" w:hAnsi="Arial"/>
          <w:sz w:val="12"/>
          <w:szCs w:val="12"/>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28" w:lineRule="exact"/>
        <w:rPr>
          <w:sz w:val="20"/>
          <w:szCs w:val="20"/>
          <w:color w:val="auto"/>
        </w:rPr>
      </w:pPr>
    </w:p>
    <w:p>
      <w:pPr>
        <w:ind w:right="40" w:firstLine="432"/>
        <w:spacing w:after="0" w:line="289" w:lineRule="auto"/>
        <w:rPr>
          <w:sz w:val="20"/>
          <w:szCs w:val="20"/>
          <w:color w:val="auto"/>
        </w:rPr>
      </w:pPr>
      <w:r>
        <w:rPr>
          <w:rFonts w:ascii="Arial" w:cs="Arial" w:eastAsia="Arial" w:hAnsi="Arial"/>
          <w:sz w:val="11"/>
          <w:szCs w:val="11"/>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111"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license technology from third parties, and our inability to maintain those licenses could harm our business.</w:t>
      </w:r>
    </w:p>
    <w:p>
      <w:pPr>
        <w:spacing w:after="0" w:line="150" w:lineRule="exact"/>
        <w:rPr>
          <w:sz w:val="20"/>
          <w:szCs w:val="20"/>
          <w:color w:val="auto"/>
        </w:rPr>
      </w:pPr>
    </w:p>
    <w:p>
      <w:pPr>
        <w:ind w:right="460" w:firstLine="432"/>
        <w:spacing w:after="0" w:line="276" w:lineRule="auto"/>
        <w:rPr>
          <w:sz w:val="20"/>
          <w:szCs w:val="20"/>
          <w:color w:val="auto"/>
        </w:rPr>
      </w:pPr>
      <w:r>
        <w:rPr>
          <w:rFonts w:ascii="Arial" w:cs="Arial" w:eastAsia="Arial" w:hAnsi="Arial"/>
          <w:sz w:val="12"/>
          <w:szCs w:val="12"/>
          <w:color w:val="auto"/>
        </w:rPr>
        <w:t>We currently incorporate, and will in the future incorporate, technology that we license from third parties, including software, into our solutions. We cannot be certain that our licensors do not or will not infringe on the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363220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68" w:name="page69"/>
    <w:bookmarkEnd w:id="68"/>
    <w:p>
      <w:pPr>
        <w:ind w:right="120"/>
        <w:spacing w:after="0" w:line="255" w:lineRule="auto"/>
        <w:rPr>
          <w:sz w:val="20"/>
          <w:szCs w:val="20"/>
          <w:color w:val="auto"/>
        </w:rPr>
      </w:pPr>
      <w:r>
        <w:rPr>
          <w:rFonts w:ascii="Arial" w:cs="Arial" w:eastAsia="Arial" w:hAnsi="Arial"/>
          <w:sz w:val="12"/>
          <w:szCs w:val="12"/>
          <w:color w:val="auto"/>
        </w:rPr>
        <w:t>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62" w:lineRule="exact"/>
        <w:rPr>
          <w:sz w:val="20"/>
          <w:szCs w:val="20"/>
          <w:color w:val="auto"/>
        </w:rPr>
      </w:pPr>
    </w:p>
    <w:p>
      <w:pPr>
        <w:ind w:firstLine="432"/>
        <w:spacing w:after="0" w:line="310" w:lineRule="auto"/>
        <w:rPr>
          <w:sz w:val="20"/>
          <w:szCs w:val="20"/>
          <w:color w:val="auto"/>
        </w:rPr>
      </w:pPr>
      <w:r>
        <w:rPr>
          <w:rFonts w:ascii="Arial" w:cs="Arial" w:eastAsia="Arial" w:hAnsi="Arial"/>
          <w:sz w:val="10"/>
          <w:szCs w:val="10"/>
          <w:color w:val="auto"/>
        </w:rPr>
        <w:t>Personal privacy, data protection, information security, telecommunications regulations, and other laws applicable to specific categories of information are significant issues in the United States, Europe and in other jurisdictions where we offer our solutions. The data that we collect, analyze, and store is subject to a variety of laws and regulations, including regulation by various government agencies. The U.S. federal government, and various state and foreign governments, have adopted or proposed limitations on the collection, distribution, use, and storage of certain categories of information, such as personally identifiable information of individuals, health information, and other sector-specific types of data, including the Federal Trade Commission, the Electronic Communication Privacy Act, Computer Fraud and Abuse Act, the Health Insurance Portability and Accountability Act, and the Gramm Leach Bliley Act.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information of certain categories, such as financial or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103" w:lineRule="exact"/>
        <w:rPr>
          <w:sz w:val="20"/>
          <w:szCs w:val="20"/>
          <w:color w:val="auto"/>
        </w:rPr>
      </w:pPr>
    </w:p>
    <w:p>
      <w:pPr>
        <w:ind w:right="80" w:firstLine="432"/>
        <w:spacing w:after="0" w:line="277" w:lineRule="auto"/>
        <w:rPr>
          <w:sz w:val="20"/>
          <w:szCs w:val="20"/>
          <w:color w:val="auto"/>
        </w:rPr>
      </w:pPr>
      <w:r>
        <w:rPr>
          <w:rFonts w:ascii="Arial" w:cs="Arial" w:eastAsia="Arial" w:hAnsi="Arial"/>
          <w:sz w:val="11"/>
          <w:szCs w:val="11"/>
          <w:color w:val="auto"/>
        </w:rPr>
        <w:t>We also expect that there will continue to be new proposed laws, regulations, and industry standards concerning privacy, data protection, information security, specific categories of data, electronic, and telecommunications services in the United States, the European Union and other jurisdictions in which we operate or may operate, and we cannot yet determine the impact such future laws, regulations, standards, or perception of their requirements may have on our business. For example, the European Commission adopted the European General Data Protection Regulation, or GDPR, that became fully effective in May 2018, and applies to the processing (which includes the collection and use) of certain personal data. As compared to previously-effective data protection law in the European Union, the GDPR imposes additional obligations and risk upon our business and increases substantially the penalties to which we could be subject in the event of any non-compliance. Administrative fines under the GDPR can amount up to 20 million Euros or four percent of our worldwide annual revenue for the prior fiscal year, whichever is higher. We have incurred substantial expense in complying with the obligations imposed by the GDPR and we may be required to do so in the future, potentially making significant changes in our business operations, which may adversely affect our revenue and our business overall. Additionally, because GDPR regulatory enforcement actions against companies are relatively new, we are unable to predict how they will be applied to us or our customers. Despite our efforts to attempt to comply with the GDPR, a regulator may determine that we have not done so and subject us to fines and public censure, which could harm our company. Among other requirements, the GDPR regulates transfers of personal data subject to the GDPR to third countries that have not been found to provide adequate protection to such personal data, including the United States. We have undertaken certain efforts to conform transfers of personal data from the European Economic Area, or EEA, to the United States and other jurisdictions based on our understanding of current regulatory obligations and the guidance of data protection authorities. Despite this, we may be unsuccessful in establishing or maintaining conforming means of transferring such data from the EEA, in particular as a result of continued legal and legislative activity within the European Union that has challenged or called into question the legal basis for existing means of data transfers to countries that have not been found to provide adequate protection for personal data.</w:t>
      </w:r>
    </w:p>
    <w:p>
      <w:pPr>
        <w:spacing w:after="0" w:line="12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implementation of the GDPR has led other jurisdictions to either amend, or propose legislation to amend their existing data privacy and cybersecurity laws to resemble all or a portion of the requirements of the GDPR (e.g., for purposes of having an adequate level of data protection to facilitate data transfers from the EU) or enact new laws to do the same. Accordingly, the challenges we face in the EU will likely also apply to other jurisdictions outside the EU that adopt laws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367665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69" w:name="page70"/>
    <w:bookmarkEnd w:id="69"/>
    <w:p>
      <w:pPr>
        <w:spacing w:after="0" w:line="253" w:lineRule="auto"/>
        <w:rPr>
          <w:sz w:val="20"/>
          <w:szCs w:val="20"/>
          <w:color w:val="auto"/>
        </w:rPr>
      </w:pPr>
      <w:r>
        <w:rPr>
          <w:rFonts w:ascii="Arial" w:cs="Arial" w:eastAsia="Arial" w:hAnsi="Arial"/>
          <w:sz w:val="12"/>
          <w:szCs w:val="12"/>
          <w:color w:val="auto"/>
        </w:rPr>
        <w:t>in construction to the GDPR or regulatory frameworks of equivalent complexity. In the United States in particular, state and local governments have expanded their focus on cybersecurity and data privacy, with as many as 30 states with comprehensive privacy bills in various stages as of April 2021. For example, on June 28, 2018, California adopted the California Consumer Privacy Act of 2018, or CCPA, which went into effect on January 1, 2020, with enforcement commencing on July 1, 2020. The CCPA has been characterized as the first “GDPR-like” privacy statute to be enacted in the United States because it contains a number of provisions similar to certain provisions of the GDPR. In addition, the California Privacy Rights Act of 2020, or the CPRA was passed by California voters in November 2020. The CPRA amends the CCPA by creating additional privacy rights for California consumers and additional obligations on businesses, which could subject us to additional compliance costs as well as potential fines, individual claims and commercial liabilities. The majority of the CPRA provisions will take effect on January 1, 2023. The CCPA and CPRA mark the beginning of a trend toward more stringent privacy legislation in the United States, as other states or the federal government may follow California’s lead and increase protections for U.S. residents. For example, the Virginia Consumer Data Protection Act, enacted in March 2021, and the Colorado Privacy Act, enacted in June 2021, will take effect on January 1, 2023, and July 1, 2023, respectively. The CCPA has already prompted a number of proposals for new federal and state privacy legislation that, if passed, could increase our potential liability, add layers of complexity to compliance in the U.S. market, increase our compliance costs and adversely affect our business.</w:t>
      </w:r>
    </w:p>
    <w:p>
      <w:pPr>
        <w:spacing w:after="0" w:line="131"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technology alliance partnerships that may involve the sharing of data. Even the perception of privacy concerns, whether or not valid, may harm our reputation, inhibit adoption of our products by current and future customers, or adversely impact our ability to attract and retain workforce talent. In addition, changes in laws or regulations that adversely affect the use of the internet, including laws impacting net neutrality, could impact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146"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Beyond broader data processing regulations affecting our business, the cybersecurity industry may face direct regulation. In recent years, some regulators have proposed or introduced cybersecurity licensing requirements or certification regimes for specific sectors, such as critical infrastructure. These may impose new requirements on us or our current or prospective customers including, but not limited to, data processing locations, breach notification, and security standards. Such requirements may cause us to incur significant organizational costs and increase barriers of entry into new markets.</w:t>
      </w:r>
    </w:p>
    <w:p>
      <w:pPr>
        <w:spacing w:after="0" w:line="122" w:lineRule="exact"/>
        <w:rPr>
          <w:sz w:val="20"/>
          <w:szCs w:val="20"/>
          <w:color w:val="auto"/>
        </w:rPr>
      </w:pPr>
    </w:p>
    <w:p>
      <w:pPr>
        <w:ind w:right="40" w:firstLine="432"/>
        <w:spacing w:after="0" w:line="279" w:lineRule="auto"/>
        <w:rPr>
          <w:sz w:val="20"/>
          <w:szCs w:val="20"/>
          <w:color w:val="auto"/>
        </w:rPr>
      </w:pPr>
      <w:r>
        <w:rPr>
          <w:rFonts w:ascii="Arial" w:cs="Arial" w:eastAsia="Arial" w:hAnsi="Arial"/>
          <w:sz w:val="11"/>
          <w:szCs w:val="11"/>
          <w:color w:val="auto"/>
        </w:rPr>
        <w:t>Although we work to comply with applicable laws and regulations, certain applicable industry standards with which we represent compliance, and our contractual obligations and other legal obligations, those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or our employees, representatives, contractors, channel partners, agents, intermediaries, or other third parties to comply with applicable laws and regulations, or applicable industry standards that we represent compliance with or that may be asserted to apply to us, or to comply with employee, customer, partner, and other data privacy and data security requirements pursuant to contract and our stated notices or policies, could result in enforcement actions against us, including fines, imprisonment of company officials and public censure, claims for damages by customers and other affected individuals, damage to our reputation and loss of goodwill (both in relation to existing customers and prospective customers), any of which could have a material adverse effect on our operations, financial performance and business. Any inability of us or our employees, representatives, contractors, channel partners, agents, intermediaries, or other third parties to adequately address privacy and security concerns, even if unfounded, or comply with applicable laws, regulations, standards and obligations, could result in additional cost and liability to us, damage our reputation, inhibit sales, and adversely affect our business and results of operations.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15"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367665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70" w:name="page71"/>
    <w:bookmarkEnd w:id="70"/>
    <w:p>
      <w:pPr>
        <w:spacing w:after="0"/>
        <w:rPr>
          <w:sz w:val="20"/>
          <w:szCs w:val="20"/>
          <w:color w:val="auto"/>
        </w:rPr>
      </w:pPr>
      <w:r>
        <w:rPr>
          <w:rFonts w:ascii="Arial" w:cs="Arial" w:eastAsia="Arial" w:hAnsi="Arial"/>
          <w:sz w:val="11"/>
          <w:szCs w:val="11"/>
          <w:color w:val="auto"/>
        </w:rPr>
        <w:t>than in the United States. Noncompliance by us, our employees, representatives, contractors, channel partners, agents, intermediaries, or other third parties with applicable regulations or requirements could subject us to:</w:t>
      </w:r>
    </w:p>
    <w:p>
      <w:pPr>
        <w:spacing w:after="0" w:line="162" w:lineRule="exact"/>
        <w:rPr>
          <w:sz w:val="20"/>
          <w:szCs w:val="20"/>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investigations, enforcement actions and sanctions;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mandatory changes to our Falcon platform;</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disgorgement of profits, fines and damages;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civil and criminal penalties or injunctions;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claims for damages by our customers or channel partners;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termination of contracts;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loss of intellectual property rights;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loss of our license to do business in the jurisdictions in which we operate;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temporary or permanent debarment from sales to government organizations.</w:t>
      </w:r>
    </w:p>
    <w:p>
      <w:pPr>
        <w:spacing w:after="0" w:line="150"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22"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15"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and could result in reduced sales of our products, substantial product inventory write-offs, reputational damage, penalties, and other sanctions, any of which could harm our business, reputation, and results of operations.</w:t>
      </w:r>
    </w:p>
    <w:p>
      <w:pPr>
        <w:spacing w:after="0" w:line="8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15"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363220</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5" w:right="339" w:bottom="1440" w:gutter="0" w:footer="0" w:header="0"/>
        </w:sectPr>
      </w:pPr>
    </w:p>
    <w:bookmarkStart w:id="71" w:name="page72"/>
    <w:bookmarkEnd w:id="71"/>
    <w:p>
      <w:pPr>
        <w:spacing w:after="0"/>
        <w:rPr>
          <w:sz w:val="20"/>
          <w:szCs w:val="20"/>
          <w:color w:val="auto"/>
        </w:rPr>
      </w:pPr>
      <w:r>
        <w:rPr>
          <w:rFonts w:ascii="Arial" w:cs="Arial" w:eastAsia="Arial" w:hAnsi="Arial"/>
          <w:sz w:val="12"/>
          <w:szCs w:val="12"/>
          <w:color w:val="auto"/>
        </w:rPr>
        <w:t>applicable laws and regulations in the collection of this information also could have negative consequences to us, including reputational harm, government investigations and penalties.</w:t>
      </w:r>
    </w:p>
    <w:p>
      <w:pPr>
        <w:spacing w:after="0" w:line="150"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11"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28" w:lineRule="exact"/>
        <w:rPr>
          <w:sz w:val="20"/>
          <w:szCs w:val="20"/>
          <w:color w:val="auto"/>
        </w:rPr>
      </w:pPr>
    </w:p>
    <w:p>
      <w:pPr>
        <w:ind w:firstLine="432"/>
        <w:spacing w:after="0" w:line="278" w:lineRule="auto"/>
        <w:rPr>
          <w:sz w:val="20"/>
          <w:szCs w:val="20"/>
          <w:color w:val="auto"/>
        </w:rPr>
      </w:pPr>
      <w:r>
        <w:rPr>
          <w:rFonts w:ascii="Arial" w:cs="Arial" w:eastAsia="Arial" w:hAnsi="Arial"/>
          <w:sz w:val="11"/>
          <w:szCs w:val="11"/>
          <w:color w:val="auto"/>
        </w:rPr>
        <w:t>We are also subject to the FCPA, the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the FCPA, the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Some of our technology incorporates “open source” software, which could negatively affect our ability to sell our Falcon platform and subject us to possible litigation.</w:t>
      </w:r>
    </w:p>
    <w:p>
      <w:pPr>
        <w:spacing w:after="0" w:line="114"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11"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368935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72" w:name="page73"/>
    <w:bookmarkEnd w:id="72"/>
    <w:p>
      <w:pPr>
        <w:spacing w:after="0"/>
        <w:rPr>
          <w:sz w:val="20"/>
          <w:szCs w:val="20"/>
          <w:color w:val="auto"/>
        </w:rPr>
      </w:pPr>
      <w:r>
        <w:rPr>
          <w:rFonts w:ascii="Arial" w:cs="Arial" w:eastAsia="Arial" w:hAnsi="Arial"/>
          <w:sz w:val="12"/>
          <w:szCs w:val="12"/>
          <w:color w:val="auto"/>
        </w:rPr>
        <w:t>eliminate the value of our services. This would allow our competitors to create similar products with lower development effort and time and ultimately could result in a loss of sales for us.</w:t>
      </w:r>
    </w:p>
    <w:p>
      <w:pPr>
        <w:spacing w:after="0" w:line="150" w:lineRule="exact"/>
        <w:rPr>
          <w:sz w:val="20"/>
          <w:szCs w:val="20"/>
          <w:color w:val="auto"/>
        </w:rPr>
      </w:pPr>
    </w:p>
    <w:p>
      <w:pPr>
        <w:ind w:firstLine="432"/>
        <w:spacing w:after="0" w:line="316" w:lineRule="auto"/>
        <w:rPr>
          <w:sz w:val="20"/>
          <w:szCs w:val="20"/>
          <w:color w:val="auto"/>
        </w:rPr>
      </w:pPr>
      <w:r>
        <w:rPr>
          <w:rFonts w:ascii="Arial" w:cs="Arial" w:eastAsia="Arial" w:hAnsi="Arial"/>
          <w:sz w:val="10"/>
          <w:szCs w:val="10"/>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00" w:lineRule="exact"/>
        <w:rPr>
          <w:sz w:val="20"/>
          <w:szCs w:val="20"/>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resulting in time-consuming and costly litigation;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diverting management’s time and attention from developing our business;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requiring us to pay monetary damages or enter into royalty and licensing agreements that we would not normally find acceptable;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causing delays in the deployment of our Falcon platform or service offerings to our customers;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requiring us to stop offering certain services or features of our Falcon platform;</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requiring us to redesign certain components of our Falcon platform using alternative non-infringing or non-open source technology, which could require significant effort and expense;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requiring us to disclose our software source code and the detailed program commands for our software;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requiring us to satisfy indemnification obligations to our customers.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73"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involved in litigation that may adversely affect us.</w:t>
      </w:r>
    </w:p>
    <w:p>
      <w:pPr>
        <w:spacing w:after="0" w:line="150"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73" w:name="page74"/>
    <w:bookmarkEnd w:id="73"/>
    <w:p>
      <w:pPr>
        <w:ind w:right="160"/>
        <w:spacing w:after="0" w:line="259" w:lineRule="auto"/>
        <w:rPr>
          <w:sz w:val="20"/>
          <w:szCs w:val="20"/>
          <w:color w:val="auto"/>
        </w:rPr>
      </w:pPr>
      <w:r>
        <w:rPr>
          <w:rFonts w:ascii="Arial" w:cs="Arial" w:eastAsia="Arial" w:hAnsi="Arial"/>
          <w:sz w:val="12"/>
          <w:szCs w:val="12"/>
          <w:color w:val="auto"/>
        </w:rPr>
        <w:t>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24"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15" w:lineRule="exact"/>
        <w:rPr>
          <w:sz w:val="20"/>
          <w:szCs w:val="20"/>
          <w:color w:val="auto"/>
        </w:rPr>
      </w:pPr>
    </w:p>
    <w:p>
      <w:pPr>
        <w:ind w:right="120" w:firstLine="432"/>
        <w:spacing w:after="0" w:line="289" w:lineRule="auto"/>
        <w:rPr>
          <w:sz w:val="20"/>
          <w:szCs w:val="20"/>
          <w:color w:val="auto"/>
        </w:rPr>
      </w:pPr>
      <w:r>
        <w:rPr>
          <w:rFonts w:ascii="Arial" w:cs="Arial" w:eastAsia="Arial" w:hAnsi="Arial"/>
          <w:sz w:val="11"/>
          <w:szCs w:val="11"/>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11"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24"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28"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22"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371475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74" w:name="page75"/>
    <w:bookmarkEnd w:id="74"/>
    <w:p>
      <w:pPr>
        <w:spacing w:after="0"/>
        <w:rPr>
          <w:sz w:val="20"/>
          <w:szCs w:val="20"/>
          <w:color w:val="auto"/>
        </w:rPr>
      </w:pPr>
      <w:r>
        <w:rPr>
          <w:rFonts w:ascii="Arial" w:cs="Arial" w:eastAsia="Arial" w:hAnsi="Arial"/>
          <w:sz w:val="12"/>
          <w:szCs w:val="12"/>
          <w:b w:val="1"/>
          <w:bCs w:val="1"/>
          <w:color w:val="auto"/>
        </w:rPr>
        <w:t>Risks Related to Ownership of Our Class A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of our Class A common stock may be volatile, and you could lose all or part of your investment.</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In addition, the limited public float of our Class A common stock tends to increase the volatility of the trading price of our Class A common stock. These fluctuations could cause you to lose all or part of your investment in our Class A common stock. Factors that could cause fluctuations in the market price of our Class A common stock include the following:</w:t>
      </w:r>
    </w:p>
    <w:p>
      <w:pPr>
        <w:spacing w:after="0" w:line="105" w:lineRule="exact"/>
        <w:rPr>
          <w:sz w:val="20"/>
          <w:szCs w:val="20"/>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actual or anticipated changes or fluctuations in our results of operations;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financial projections we may provide to the public, any changes in these projections or our failure to meet these projections;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announcements by us or our competitors of new products or new or terminated significant contracts, commercial relationships or capital commitments;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industry or financial analyst or investor reaction to our press releases, other public announcements and filings with the SEC;</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rumors and market speculation involving us or other companies in our industry;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price and volume fluctuations in the overall stock market from time to time;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changes in operating performance and stock market valuations of other technology companies generally, or those in our industry in particular;</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1"/>
          <w:szCs w:val="11"/>
          <w:color w:val="auto"/>
        </w:rPr>
      </w:pPr>
      <w:r>
        <w:rPr>
          <w:rFonts w:ascii="Arial" w:cs="Arial" w:eastAsia="Arial" w:hAnsi="Arial"/>
          <w:sz w:val="11"/>
          <w:szCs w:val="11"/>
          <w:color w:val="auto"/>
        </w:rPr>
        <w:t>failure of industry or financial analysts to maintain coverage of us, changes in financial estimates by any analysts who follow our company, or our failure to meet these estimates or the expectations of investors;</w:t>
      </w:r>
    </w:p>
    <w:p>
      <w:pPr>
        <w:spacing w:after="0" w:line="161" w:lineRule="exact"/>
        <w:rPr>
          <w:rFonts w:ascii="Arial" w:cs="Arial" w:eastAsia="Arial" w:hAnsi="Arial"/>
          <w:sz w:val="11"/>
          <w:szCs w:val="11"/>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actual or anticipated developments in our business or our competitors’ businesses or the competitive landscape generally;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litigation involving us, our industry or both, or investigations by regulators into our operations or those of our competitors;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developments or disputes concerning our intellectual property rights or our solutions, or third-party proprietary rights;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announced or completed acquisitions of businesses or technologies by us or our competitors;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new laws or regulations or new interpretations of existing laws or regulations applicable to our business;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any major changes in our management or our board of directors, particularly with respect to Mr. Kurtz;</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effects of public health crises, pandemics and epidemics, such as COVID-19;</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general economic conditions and slow or negative growth of our markets;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other events or factors, including those resulting from war, incidents of terrorism or responses to these events.</w:t>
      </w:r>
    </w:p>
    <w:p>
      <w:pPr>
        <w:spacing w:after="0" w:line="150" w:lineRule="exact"/>
        <w:rPr>
          <w:sz w:val="20"/>
          <w:szCs w:val="20"/>
          <w:color w:val="auto"/>
        </w:rPr>
      </w:pPr>
    </w:p>
    <w:p>
      <w:pPr>
        <w:ind w:right="100" w:firstLine="432"/>
        <w:spacing w:after="0" w:line="298" w:lineRule="auto"/>
        <w:rPr>
          <w:sz w:val="20"/>
          <w:szCs w:val="20"/>
          <w:color w:val="auto"/>
        </w:rPr>
      </w:pPr>
      <w:r>
        <w:rPr>
          <w:rFonts w:ascii="Arial" w:cs="Arial" w:eastAsia="Arial" w:hAnsi="Arial"/>
          <w:sz w:val="11"/>
          <w:szCs w:val="11"/>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356870</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300" w:top="811" w:right="499" w:bottom="1440" w:gutter="0" w:footer="0" w:header="0"/>
        </w:sectPr>
      </w:pPr>
    </w:p>
    <w:bookmarkStart w:id="75" w:name="page76"/>
    <w:bookmarkEnd w:id="75"/>
    <w:p>
      <w:pPr>
        <w:spacing w:after="0"/>
        <w:rPr>
          <w:sz w:val="20"/>
          <w:szCs w:val="20"/>
          <w:color w:val="auto"/>
        </w:rPr>
      </w:pPr>
      <w:r>
        <w:rPr>
          <w:rFonts w:ascii="Arial" w:cs="Arial" w:eastAsia="Arial" w:hAnsi="Arial"/>
          <w:sz w:val="10"/>
          <w:szCs w:val="10"/>
          <w:color w:val="auto"/>
        </w:rPr>
        <w:t>litigation, if instituted against us, could result in substantial costs and divert our management’s attention and resources from our business. This could have an adverse effect on our business, results of operations and financial condition.</w:t>
      </w:r>
    </w:p>
    <w:p>
      <w:pPr>
        <w:spacing w:after="0" w:line="173"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15"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November 30, 2021, we had 208,207,247 shares of Class A common stock outstanding and 21,132,067 shares of Class B common stock outstanding.</w:t>
      </w:r>
    </w:p>
    <w:p>
      <w:pPr>
        <w:spacing w:after="0" w:line="122"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All of the shares of Class A common stock sold in our initial public offering are freely tradable without restrictions or further registration under the Securities Act of 1933, except for any shares held by our affiliates as defined in Rule 144 under the Securities Act.</w:t>
      </w:r>
    </w:p>
    <w:p>
      <w:pPr>
        <w:spacing w:after="0" w:line="115"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15"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73"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the analysts who publish information about our Class A common stock have had relatively little experience with our company, which could affect their ability to accurately forecast our results and make it more likely that we fail to meet their estimates.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22" w:lineRule="exact"/>
        <w:rPr>
          <w:sz w:val="20"/>
          <w:szCs w:val="20"/>
          <w:color w:val="auto"/>
        </w:rPr>
      </w:pPr>
    </w:p>
    <w:p>
      <w:pPr>
        <w:ind w:right="120" w:firstLine="432"/>
        <w:spacing w:after="0" w:line="256" w:lineRule="auto"/>
        <w:rPr>
          <w:sz w:val="20"/>
          <w:szCs w:val="20"/>
          <w:color w:val="auto"/>
        </w:rPr>
      </w:pPr>
      <w:r>
        <w:rPr>
          <w:rFonts w:ascii="Arial" w:cs="Arial" w:eastAsia="Arial" w:hAnsi="Arial"/>
          <w:sz w:val="12"/>
          <w:szCs w:val="12"/>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371475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76" w:name="page77"/>
    <w:bookmarkEnd w:id="76"/>
    <w:p>
      <w:pPr>
        <w:ind w:firstLine="432"/>
        <w:spacing w:after="0" w:line="255" w:lineRule="auto"/>
        <w:rPr>
          <w:sz w:val="20"/>
          <w:szCs w:val="20"/>
          <w:color w:val="auto"/>
        </w:rPr>
      </w:pPr>
      <w:r>
        <w:rPr>
          <w:rFonts w:ascii="Arial" w:cs="Arial" w:eastAsia="Arial" w:hAnsi="Arial"/>
          <w:sz w:val="12"/>
          <w:szCs w:val="12"/>
          <w:color w:val="auto"/>
        </w:rPr>
        <w:t>As of October 31, 2021, our executive officers, directors, one of our current stockholders and its respective affiliates held, in aggregate, 49% of the voting power of our outstanding capital stock. Furthermore, one of our current stockholders and its respective affiliates held, in aggregate, 15%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Corporate action might be taken even if other stockholders, including those who purchased shares in our initial public offering, oppose them.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28"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Shares of our common stock are subordinate to our debts and other liabilities, resulting in a greater risk of loss for stockholders.</w:t>
      </w:r>
    </w:p>
    <w:p>
      <w:pPr>
        <w:spacing w:after="0" w:line="15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Shares of our common stock are subordinate in right of payment to all of our current and future debt. We cannot assure that there would be any remaining funds after the payment of all of our debts for any distribution to our common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50"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issuance of additional stock in connection with financings, acquisitions, investments, our stock incentive plans, or otherwise will dilute all other stockholders.</w:t>
      </w:r>
    </w:p>
    <w:p>
      <w:pPr>
        <w:spacing w:after="0" w:line="150"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Our amended and restated certificate of incorporation authorizes us to issue up to 2,000,000,000 shares of Class A common stock, up to 300,000,000 shares of Class B common stock, and up to 100,000,000 shares of preferred stock with such rights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stock incentive plans or otherwise. Any such issuance could result in substantial dilution to our existing stockholders and cause the market price of our Class A common stock to decline.</w:t>
      </w:r>
    </w:p>
    <w:p>
      <w:pPr>
        <w:spacing w:after="0" w:line="124"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15" w:lineRule="exact"/>
        <w:rPr>
          <w:sz w:val="20"/>
          <w:szCs w:val="20"/>
          <w:color w:val="auto"/>
        </w:rPr>
      </w:pPr>
    </w:p>
    <w:p>
      <w:pPr>
        <w:ind w:right="340" w:firstLine="432"/>
        <w:spacing w:after="0" w:line="323" w:lineRule="auto"/>
        <w:rPr>
          <w:sz w:val="20"/>
          <w:szCs w:val="20"/>
          <w:color w:val="auto"/>
        </w:rPr>
      </w:pPr>
      <w:r>
        <w:rPr>
          <w:rFonts w:ascii="Arial" w:cs="Arial" w:eastAsia="Arial" w:hAnsi="Arial"/>
          <w:sz w:val="11"/>
          <w:szCs w:val="11"/>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2" w:lineRule="exact"/>
        <w:rPr>
          <w:sz w:val="20"/>
          <w:szCs w:val="20"/>
          <w:color w:val="auto"/>
        </w:rPr>
      </w:pPr>
    </w:p>
    <w:p>
      <w:pPr>
        <w:ind w:left="640" w:right="60" w:hanging="216"/>
        <w:spacing w:after="0" w:line="276" w:lineRule="auto"/>
        <w:tabs>
          <w:tab w:leader="none" w:pos="637" w:val="left"/>
        </w:tabs>
        <w:numPr>
          <w:ilvl w:val="0"/>
          <w:numId w:val="40"/>
        </w:numPr>
        <w:rPr>
          <w:rFonts w:ascii="Arial" w:cs="Arial" w:eastAsia="Arial" w:hAnsi="Arial"/>
          <w:sz w:val="12"/>
          <w:szCs w:val="12"/>
          <w:color w:val="auto"/>
        </w:rPr>
      </w:pPr>
      <w:r>
        <w:rPr>
          <w:rFonts w:ascii="Arial" w:cs="Arial" w:eastAsia="Arial" w:hAnsi="Arial"/>
          <w:sz w:val="12"/>
          <w:szCs w:val="12"/>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 classified board of directors with three-year staggered terms, which could delay the ability of stockholders to change the membership of a majority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385445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77" w:name="page78"/>
    <w:bookmarkEnd w:id="77"/>
    <w:p>
      <w:pPr>
        <w:ind w:left="640" w:right="60" w:hanging="216"/>
        <w:spacing w:after="0" w:line="276" w:lineRule="auto"/>
        <w:tabs>
          <w:tab w:leader="none" w:pos="637"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14" w:lineRule="exact"/>
        <w:rPr>
          <w:rFonts w:ascii="Arial" w:cs="Arial" w:eastAsia="Arial" w:hAnsi="Arial"/>
          <w:sz w:val="12"/>
          <w:szCs w:val="12"/>
          <w:color w:val="auto"/>
        </w:rPr>
      </w:pPr>
    </w:p>
    <w:p>
      <w:pPr>
        <w:ind w:left="640" w:right="80" w:hanging="216"/>
        <w:spacing w:after="0" w:line="276" w:lineRule="auto"/>
        <w:tabs>
          <w:tab w:leader="none" w:pos="637"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14" w:lineRule="exact"/>
        <w:rPr>
          <w:rFonts w:ascii="Arial" w:cs="Arial" w:eastAsia="Arial" w:hAnsi="Arial"/>
          <w:sz w:val="12"/>
          <w:szCs w:val="12"/>
          <w:color w:val="auto"/>
        </w:rPr>
      </w:pPr>
    </w:p>
    <w:p>
      <w:pPr>
        <w:ind w:left="640" w:right="20" w:hanging="216"/>
        <w:spacing w:after="0" w:line="263" w:lineRule="auto"/>
        <w:tabs>
          <w:tab w:leader="none" w:pos="637" w:val="left"/>
        </w:tabs>
        <w:numPr>
          <w:ilvl w:val="0"/>
          <w:numId w:val="41"/>
        </w:numPr>
        <w:rPr>
          <w:rFonts w:ascii="Arial" w:cs="Arial" w:eastAsia="Arial" w:hAnsi="Arial"/>
          <w:sz w:val="12"/>
          <w:szCs w:val="12"/>
          <w:color w:val="auto"/>
        </w:rPr>
      </w:pPr>
      <w:r>
        <w:rPr>
          <w:rFonts w:ascii="Arial" w:cs="Arial" w:eastAsia="Arial" w:hAnsi="Arial"/>
          <w:sz w:val="12"/>
          <w:szCs w:val="12"/>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22" w:lineRule="exact"/>
        <w:rPr>
          <w:rFonts w:ascii="Arial" w:cs="Arial" w:eastAsia="Arial" w:hAnsi="Arial"/>
          <w:sz w:val="12"/>
          <w:szCs w:val="12"/>
          <w:color w:val="auto"/>
        </w:rPr>
      </w:pPr>
    </w:p>
    <w:p>
      <w:pPr>
        <w:ind w:left="640" w:right="340" w:hanging="216"/>
        <w:spacing w:after="0" w:line="323" w:lineRule="auto"/>
        <w:tabs>
          <w:tab w:leader="none" w:pos="637"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91" w:lineRule="exact"/>
        <w:rPr>
          <w:rFonts w:ascii="Arial" w:cs="Arial" w:eastAsia="Arial" w:hAnsi="Arial"/>
          <w:sz w:val="11"/>
          <w:szCs w:val="11"/>
          <w:color w:val="auto"/>
        </w:rPr>
      </w:pPr>
    </w:p>
    <w:p>
      <w:pPr>
        <w:ind w:left="640" w:hanging="216"/>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certain amendments to our amended and restated certificate of incorporation require the approval of two-thirds of the then-outstanding voting power of our capital stock; and</w:t>
      </w:r>
    </w:p>
    <w:p>
      <w:pPr>
        <w:spacing w:after="0" w:line="150" w:lineRule="exact"/>
        <w:rPr>
          <w:rFonts w:ascii="Arial" w:cs="Arial" w:eastAsia="Arial" w:hAnsi="Arial"/>
          <w:sz w:val="12"/>
          <w:szCs w:val="12"/>
          <w:color w:val="auto"/>
        </w:rPr>
      </w:pPr>
    </w:p>
    <w:p>
      <w:pPr>
        <w:ind w:left="640" w:right="360" w:hanging="216"/>
        <w:spacing w:after="0" w:line="276" w:lineRule="auto"/>
        <w:tabs>
          <w:tab w:leader="none" w:pos="637" w:val="left"/>
        </w:tabs>
        <w:numPr>
          <w:ilvl w:val="0"/>
          <w:numId w:val="41"/>
        </w:numPr>
        <w:rPr>
          <w:rFonts w:ascii="Arial" w:cs="Arial" w:eastAsia="Arial" w:hAnsi="Arial"/>
          <w:sz w:val="12"/>
          <w:szCs w:val="12"/>
          <w:color w:val="auto"/>
        </w:rPr>
      </w:pPr>
      <w:r>
        <w:rPr>
          <w:rFonts w:ascii="Arial" w:cs="Arial" w:eastAsia="Arial" w:hAnsi="Arial"/>
          <w:sz w:val="12"/>
          <w:szCs w:val="12"/>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These provisions may prohibit large stockholders, in particular those owning 15% or more of our outstanding voting stock, from merging or combining with us for a certain period of time.</w:t>
      </w:r>
    </w:p>
    <w:p>
      <w:pPr>
        <w:spacing w:after="0" w:line="150" w:lineRule="exact"/>
        <w:rPr>
          <w:sz w:val="20"/>
          <w:szCs w:val="20"/>
          <w:color w:val="auto"/>
        </w:rPr>
      </w:pPr>
    </w:p>
    <w:p>
      <w:pPr>
        <w:spacing w:after="0" w:line="323" w:lineRule="auto"/>
        <w:rPr>
          <w:sz w:val="20"/>
          <w:szCs w:val="20"/>
          <w:color w:val="auto"/>
        </w:rPr>
      </w:pPr>
      <w:r>
        <w:rPr>
          <w:rFonts w:ascii="Arial" w:cs="Arial" w:eastAsia="Arial" w:hAnsi="Arial"/>
          <w:sz w:val="11"/>
          <w:szCs w:val="11"/>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amended and restated bylaws provide that the Court of Chancery of the State of Delaware is the exclusive forum for:</w:t>
      </w:r>
    </w:p>
    <w:p>
      <w:pPr>
        <w:spacing w:after="0" w:line="150" w:lineRule="exact"/>
        <w:rPr>
          <w:sz w:val="20"/>
          <w:szCs w:val="20"/>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derivative action or proceeding brought on our behalf;</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action asserting a breach of fiduciary duty;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action asserting a claim against us arising under the Delaware General Corporation Law, our amended and restated certificate of incorporation or our amended and restated bylaws;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action to interpret, apply, enforce or determine the validity of our amended and restated certificate of incorporation or our amended and restated bylaws;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action asserting a claim against us that is governed by the internal-affairs doctrine.</w:t>
      </w:r>
    </w:p>
    <w:p>
      <w:pPr>
        <w:spacing w:after="0" w:line="150"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2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363220</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15" w:right="359" w:bottom="1440" w:gutter="0" w:footer="0" w:header="0"/>
        </w:sectPr>
      </w:pPr>
    </w:p>
    <w:bookmarkStart w:id="78" w:name="page79"/>
    <w:bookmarkEnd w:id="78"/>
    <w:p>
      <w:pPr>
        <w:spacing w:after="0"/>
        <w:rPr>
          <w:sz w:val="20"/>
          <w:szCs w:val="20"/>
          <w:color w:val="auto"/>
        </w:rPr>
      </w:pPr>
      <w:r>
        <w:rPr>
          <w:rFonts w:ascii="Arial" w:cs="Arial" w:eastAsia="Arial" w:hAnsi="Arial"/>
          <w:sz w:val="12"/>
          <w:szCs w:val="12"/>
          <w:b w:val="1"/>
          <w:bCs w:val="1"/>
          <w:color w:val="auto"/>
        </w:rPr>
        <w:t>Risks Related to our Indebtedness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indebtedness could adversely affect our financial condition.</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As of October 31, 2021, we had $750.0 million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15" w:lineRule="exact"/>
        <w:rPr>
          <w:sz w:val="20"/>
          <w:szCs w:val="20"/>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limiting our ability to obtain additional financing to fund future working capital, capital expenditures, acquisitions or other general corporate requirements;</w:t>
      </w:r>
    </w:p>
    <w:p>
      <w:pPr>
        <w:spacing w:after="0" w:line="150"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increasing our vulnerability to adverse changes in general economic, industry and competitive conditions;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exposing us to the risk of increased interest rates as certain of our borrowings, including borrowings under our revolving facility, are at variable rates of interest; and increasing our cost of borrowing.</w:t>
      </w:r>
    </w:p>
    <w:p>
      <w:pPr>
        <w:spacing w:after="0" w:line="150"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In addition, our revolving facility and the indenture that governs our Senior Notes contain restrictive covenants that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0"/>
          <w:szCs w:val="10"/>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7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22" w:lineRule="exact"/>
        <w:rPr>
          <w:sz w:val="20"/>
          <w:szCs w:val="20"/>
          <w:color w:val="auto"/>
        </w:rPr>
      </w:pPr>
    </w:p>
    <w:p>
      <w:pPr>
        <w:ind w:right="80" w:firstLine="432"/>
        <w:spacing w:after="0" w:line="283" w:lineRule="auto"/>
        <w:rPr>
          <w:sz w:val="20"/>
          <w:szCs w:val="20"/>
          <w:color w:val="auto"/>
        </w:rPr>
      </w:pPr>
      <w:r>
        <w:rPr>
          <w:rFonts w:ascii="Arial" w:cs="Arial" w:eastAsia="Arial" w:hAnsi="Arial"/>
          <w:sz w:val="11"/>
          <w:szCs w:val="11"/>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13"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22" w:lineRule="exact"/>
        <w:rPr>
          <w:sz w:val="20"/>
          <w:szCs w:val="20"/>
          <w:color w:val="auto"/>
        </w:rPr>
      </w:pPr>
    </w:p>
    <w:p>
      <w:pPr>
        <w:ind w:right="280" w:firstLine="216"/>
        <w:spacing w:after="0" w:line="276" w:lineRule="auto"/>
        <w:rPr>
          <w:sz w:val="20"/>
          <w:szCs w:val="20"/>
          <w:color w:val="auto"/>
        </w:rPr>
      </w:pPr>
      <w:r>
        <w:rPr>
          <w:rFonts w:ascii="Arial" w:cs="Arial" w:eastAsia="Arial" w:hAnsi="Arial"/>
          <w:sz w:val="12"/>
          <w:szCs w:val="12"/>
          <w:b w:val="1"/>
          <w:bCs w:val="1"/>
          <w:i w:val="1"/>
          <w:iCs w:val="1"/>
          <w:color w:val="auto"/>
        </w:rPr>
        <w:t>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15" w:lineRule="exact"/>
        <w:rPr>
          <w:sz w:val="20"/>
          <w:szCs w:val="20"/>
          <w:color w:val="auto"/>
        </w:rPr>
      </w:pPr>
    </w:p>
    <w:p>
      <w:pPr>
        <w:ind w:right="180" w:firstLine="432"/>
        <w:spacing w:after="0" w:line="298" w:lineRule="auto"/>
        <w:rPr>
          <w:sz w:val="20"/>
          <w:szCs w:val="20"/>
          <w:color w:val="auto"/>
        </w:rPr>
      </w:pPr>
      <w:r>
        <w:rPr>
          <w:rFonts w:ascii="Arial" w:cs="Arial" w:eastAsia="Arial" w:hAnsi="Arial"/>
          <w:sz w:val="11"/>
          <w:szCs w:val="11"/>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356870</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1" w:right="339" w:bottom="1440" w:gutter="0" w:footer="0" w:header="0"/>
        </w:sectPr>
      </w:pPr>
    </w:p>
    <w:bookmarkStart w:id="79" w:name="page80"/>
    <w:bookmarkEnd w:id="79"/>
    <w:p>
      <w:pPr>
        <w:ind w:left="200"/>
        <w:spacing w:after="0"/>
        <w:rPr>
          <w:sz w:val="20"/>
          <w:szCs w:val="20"/>
          <w:color w:val="auto"/>
        </w:rPr>
      </w:pPr>
      <w:r>
        <w:rPr>
          <w:rFonts w:ascii="Arial" w:cs="Arial" w:eastAsia="Arial" w:hAnsi="Arial"/>
          <w:sz w:val="11"/>
          <w:szCs w:val="11"/>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62"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15" w:lineRule="exact"/>
        <w:rPr>
          <w:sz w:val="20"/>
          <w:szCs w:val="20"/>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incur additional indebtedness and guarantee indebtedness;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prepay, redeem or repurchase certain indebtedness;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sell or otherwise dispose of assets;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incur liens;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enter into transactions with affiliates;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alter the businesses we conduct;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enter into agreements restricting our subsidiaries’ ability to pay dividends;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consolidate, merge with, or sell all or substantially all of our assets to, another person.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covenants in the indenture and supplemental indenture that govern the Senior Notes are subject to exceptions and qualifications.</w:t>
      </w:r>
    </w:p>
    <w:p>
      <w:pPr>
        <w:spacing w:after="0" w:line="15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15" w:lineRule="exact"/>
        <w:rPr>
          <w:sz w:val="20"/>
          <w:szCs w:val="20"/>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finance our operations;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make needed capital expenditures;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make strategic acquisitions or investments or enter into joint ventures;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withstand a future downturn in our business, the industry or the economy in general;</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engage in business activities, including future opportunities, that may be in our best interest;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plan for or react to market conditions or otherwise execute our business strategies.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These restrictions may affect our ability to expand our business, which could have a material adverse effect on our business, financial condition and results of operations.</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22"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367665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80" w:name="page81"/>
    <w:bookmarkEnd w:id="80"/>
    <w:p>
      <w:pPr>
        <w:ind w:left="200"/>
        <w:spacing w:after="0"/>
        <w:rPr>
          <w:sz w:val="20"/>
          <w:szCs w:val="20"/>
          <w:color w:val="auto"/>
        </w:rPr>
      </w:pPr>
      <w:r>
        <w:rPr>
          <w:rFonts w:ascii="Arial" w:cs="Arial" w:eastAsia="Arial" w:hAnsi="Arial"/>
          <w:sz w:val="12"/>
          <w:szCs w:val="12"/>
          <w:b w:val="1"/>
          <w:bCs w:val="1"/>
          <w:i w:val="1"/>
          <w:iCs w:val="1"/>
          <w:color w:val="auto"/>
        </w:rPr>
        <w:t>Our revolving facility and the indenture that governs our Senior Notes contain cross-default provisions that could result in the acceleration of all of our indebtedness.</w:t>
      </w:r>
    </w:p>
    <w:p>
      <w:pPr>
        <w:spacing w:after="0" w:line="150"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The phase-out, replacement or unavailability of LIBOR could adversely affect our cost of capital or our financial condition.</w:t>
      </w:r>
    </w:p>
    <w:p>
      <w:pPr>
        <w:spacing w:after="0" w:line="15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2"/>
          <w:szCs w:val="12"/>
          <w:color w:val="auto"/>
        </w:rPr>
        <w:t>The head of the United Kingdom Financial Conduct Authority has announced the desire to phase out the use of LIBOR by the end of 2021. Our revolving facility provides that LIBOR may be substituted in certain circumstances with an alternative benchmark interest rate, subject to notice to all lenders and the absence of objection by the lenders. Any such substitution could have an adverse impact on our cost of capital. Currently, there is no definitive information regarding which alternative benchmark interest rate that will replace LIBOR, how such alternative benchmark interest rate may differ from LIBOR, and when such substitution may occur. As such, we cannot determine the potential effect of such transition on our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50" w:lineRule="exact"/>
        <w:rPr>
          <w:sz w:val="20"/>
          <w:szCs w:val="20"/>
          <w:color w:val="auto"/>
        </w:rPr>
      </w:pPr>
    </w:p>
    <w:p>
      <w:pPr>
        <w:ind w:right="120" w:firstLine="432"/>
        <w:spacing w:after="0" w:line="283" w:lineRule="auto"/>
        <w:rPr>
          <w:sz w:val="20"/>
          <w:szCs w:val="20"/>
          <w:color w:val="auto"/>
        </w:rPr>
      </w:pPr>
      <w:r>
        <w:rPr>
          <w:rFonts w:ascii="Arial" w:cs="Arial" w:eastAsia="Arial" w:hAnsi="Arial"/>
          <w:sz w:val="11"/>
          <w:szCs w:val="11"/>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13"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11" w:lineRule="exact"/>
        <w:rPr>
          <w:sz w:val="20"/>
          <w:szCs w:val="20"/>
          <w:color w:val="auto"/>
        </w:rPr>
      </w:pPr>
    </w:p>
    <w:p>
      <w:pPr>
        <w:ind w:right="260" w:firstLine="432"/>
        <w:spacing w:after="0" w:line="289" w:lineRule="auto"/>
        <w:rPr>
          <w:sz w:val="20"/>
          <w:szCs w:val="20"/>
          <w:color w:val="auto"/>
        </w:rPr>
      </w:pPr>
      <w:r>
        <w:rPr>
          <w:rFonts w:ascii="Arial" w:cs="Arial" w:eastAsia="Arial" w:hAnsi="Arial"/>
          <w:sz w:val="11"/>
          <w:szCs w:val="11"/>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Any failure to maintain effective disclosure controls and internal control over financial reporting could have a material and adverse effect on our business and results of operations and could cause a decline in the price of our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379730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81" w:name="page82"/>
    <w:bookmarkEnd w:id="81"/>
    <w:p>
      <w:pPr>
        <w:spacing w:after="0" w:line="276" w:lineRule="auto"/>
        <w:rPr>
          <w:sz w:val="20"/>
          <w:szCs w:val="20"/>
          <w:color w:val="auto"/>
        </w:rPr>
      </w:pPr>
      <w:r>
        <w:rPr>
          <w:rFonts w:ascii="Arial" w:cs="Arial" w:eastAsia="Arial" w:hAnsi="Arial"/>
          <w:sz w:val="12"/>
          <w:szCs w:val="12"/>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15" w:lineRule="exact"/>
        <w:rPr>
          <w:sz w:val="20"/>
          <w:szCs w:val="20"/>
          <w:color w:val="auto"/>
        </w:rPr>
      </w:pPr>
    </w:p>
    <w:p>
      <w:pPr>
        <w:ind w:firstLine="432"/>
        <w:spacing w:after="0" w:line="278" w:lineRule="auto"/>
        <w:rPr>
          <w:sz w:val="20"/>
          <w:szCs w:val="20"/>
          <w:color w:val="auto"/>
        </w:rPr>
      </w:pPr>
      <w:r>
        <w:rPr>
          <w:rFonts w:ascii="Arial" w:cs="Arial" w:eastAsia="Arial" w:hAnsi="Arial"/>
          <w:sz w:val="11"/>
          <w:szCs w:val="11"/>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Additional risks we may face in connection with acquisitions include:</w:t>
      </w:r>
    </w:p>
    <w:p>
      <w:pPr>
        <w:spacing w:after="0" w:line="150" w:lineRule="exact"/>
        <w:rPr>
          <w:sz w:val="20"/>
          <w:szCs w:val="20"/>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diversion of management time and focus from operating our business to addressing acquisition integration challenges;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coordination of research and development and sales and marketing functions;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integration of administrative systems, employee, product and service offerings;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retention of key employees from the acquired company;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changes in relationships with strategic partners as a result of product acquisitions or strategic positioning resulting from the acquisition;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need to implement or improve controls, procedures, and policies at a business that prior to the acquisition may have lacked sufficiently effective controls, procedures and policies;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additional legal, regulatory or compliance requirements;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financial reporting, revenue recognition or other financial or control deficiencies of the acquired company that we do not adequately address and that cause our reported results to be incorrect;</w:t>
      </w:r>
    </w:p>
    <w:p>
      <w:pPr>
        <w:spacing w:after="0" w:line="150" w:lineRule="exact"/>
        <w:rPr>
          <w:rFonts w:ascii="Arial" w:cs="Arial" w:eastAsia="Arial" w:hAnsi="Arial"/>
          <w:sz w:val="12"/>
          <w:szCs w:val="12"/>
          <w:color w:val="auto"/>
        </w:rPr>
      </w:pPr>
    </w:p>
    <w:p>
      <w:pPr>
        <w:ind w:left="640" w:right="160" w:hanging="216"/>
        <w:spacing w:after="0" w:line="276" w:lineRule="auto"/>
        <w:tabs>
          <w:tab w:leader="none" w:pos="637" w:val="left"/>
        </w:tabs>
        <w:numPr>
          <w:ilvl w:val="0"/>
          <w:numId w:val="46"/>
        </w:numPr>
        <w:rPr>
          <w:rFonts w:ascii="Arial" w:cs="Arial" w:eastAsia="Arial" w:hAnsi="Arial"/>
          <w:sz w:val="12"/>
          <w:szCs w:val="12"/>
          <w:color w:val="auto"/>
        </w:rPr>
      </w:pPr>
      <w:r>
        <w:rPr>
          <w:rFonts w:ascii="Arial" w:cs="Arial" w:eastAsia="Arial" w:hAnsi="Arial"/>
          <w:sz w:val="12"/>
          <w:szCs w:val="12"/>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litigation or other claims in connection with the acquired company, including claims from terminated employees, customers, former stockholders or other third parties.</w:t>
      </w:r>
    </w:p>
    <w:p>
      <w:pPr>
        <w:spacing w:after="0" w:line="15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our net operating loss carryforwards and certain other tax attributes may be limited.</w:t>
      </w:r>
    </w:p>
    <w:p>
      <w:pPr>
        <w:spacing w:after="0" w:line="132"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As of January 31, 2021, we had aggregate U.S. federal and California net operating loss carryforwards of $1.1 billion and $122.6 million, respectively, which may be available to offset future taxable income for income tax purposes. If not utilized, the federal and California net operating loss carryforwards will begin to expire in 2031. As of January 31, 2021, we had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363220</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5" w:right="339" w:bottom="1440" w:gutter="0" w:footer="0" w:header="0"/>
        </w:sectPr>
      </w:pPr>
    </w:p>
    <w:bookmarkStart w:id="82" w:name="page83"/>
    <w:bookmarkEnd w:id="82"/>
    <w:p>
      <w:pPr>
        <w:ind w:right="140"/>
        <w:spacing w:after="0" w:line="289" w:lineRule="auto"/>
        <w:rPr>
          <w:sz w:val="20"/>
          <w:szCs w:val="20"/>
          <w:color w:val="auto"/>
        </w:rPr>
      </w:pPr>
      <w:r>
        <w:rPr>
          <w:rFonts w:ascii="Arial" w:cs="Arial" w:eastAsia="Arial" w:hAnsi="Arial"/>
          <w:sz w:val="11"/>
          <w:szCs w:val="11"/>
          <w:color w:val="auto"/>
        </w:rPr>
        <w:t>operating loss carryforwards for other states of $660.7 million that will begin to expire in 2024. As of January 31, 2021, we had federal and California research and development credit carryforwards of $38.7 million and $8.7 million, respectively. The federal research and development credit carryforwards will begin to expire in 2035, and the California carryforwards are carried forward indefinitely. As of January 31, 2021, we had aggregate United Kingdom net operating loss carryforwards of $50.2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11"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33" w:lineRule="exact"/>
        <w:rPr>
          <w:sz w:val="20"/>
          <w:szCs w:val="20"/>
          <w:color w:val="auto"/>
        </w:rPr>
      </w:pPr>
    </w:p>
    <w:p>
      <w:pPr>
        <w:ind w:right="260"/>
        <w:spacing w:after="0" w:line="234" w:lineRule="auto"/>
        <w:rPr>
          <w:sz w:val="20"/>
          <w:szCs w:val="20"/>
          <w:color w:val="auto"/>
        </w:rPr>
      </w:pPr>
      <w:r>
        <w:rPr>
          <w:rFonts w:ascii="Arial" w:cs="Arial" w:eastAsia="Arial" w:hAnsi="Arial"/>
          <w:sz w:val="12"/>
          <w:szCs w:val="12"/>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1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44"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 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2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SHARES OF EQUITY SECURITIES AND USE OF PROCEEDS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476885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83" w:name="page84"/>
    <w:bookmarkEnd w:id="83"/>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54"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On November 29, 2021, Michael Carpenter, the Company’s President, Global Sales and Field Operations, transitioned to the role of Senior Advisor, Sales. Jim Seidel has been promoted to Chief Sales Officer, responsible for global sales.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EXHIBITS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filed the exhibits listed on the accompanying Exhibit Index, which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Index to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w w:val="86"/>
              </w:rPr>
              <w:t>Incorporated by Reference</w:t>
            </w:r>
          </w:p>
        </w:tc>
        <w:tc>
          <w:tcPr>
            <w:tcW w:w="10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tcPr>
          <w:p>
            <w:pPr>
              <w:ind w:left="40"/>
              <w:spacing w:after="0" w:line="87" w:lineRule="exact"/>
              <w:rPr>
                <w:sz w:val="20"/>
                <w:szCs w:val="20"/>
                <w:color w:val="auto"/>
              </w:rPr>
            </w:pPr>
            <w:r>
              <w:rPr>
                <w:rFonts w:ascii="Arial" w:cs="Arial" w:eastAsia="Arial" w:hAnsi="Arial"/>
                <w:sz w:val="10"/>
                <w:szCs w:val="10"/>
                <w:b w:val="1"/>
                <w:bCs w:val="1"/>
                <w:color w:val="auto"/>
              </w:rPr>
              <w:t>Exhibit</w:t>
            </w:r>
          </w:p>
        </w:tc>
        <w:tc>
          <w:tcPr>
            <w:tcW w:w="1420" w:type="dxa"/>
            <w:vAlign w:val="bottom"/>
          </w:tcPr>
          <w:p>
            <w:pPr>
              <w:spacing w:after="0"/>
              <w:rPr>
                <w:sz w:val="7"/>
                <w:szCs w:val="7"/>
                <w:color w:val="auto"/>
              </w:rPr>
            </w:pPr>
          </w:p>
        </w:tc>
        <w:tc>
          <w:tcPr>
            <w:tcW w:w="3500" w:type="dxa"/>
            <w:vAlign w:val="bottom"/>
            <w:gridSpan w:val="8"/>
            <w:vMerge w:val="restart"/>
          </w:tcPr>
          <w:p>
            <w:pPr>
              <w:ind w:left="640"/>
              <w:spacing w:after="0"/>
              <w:rPr>
                <w:sz w:val="20"/>
                <w:szCs w:val="20"/>
                <w:color w:val="auto"/>
              </w:rPr>
            </w:pPr>
            <w:r>
              <w:rPr>
                <w:rFonts w:ascii="Arial" w:cs="Arial" w:eastAsia="Arial" w:hAnsi="Arial"/>
                <w:sz w:val="10"/>
                <w:szCs w:val="10"/>
                <w:b w:val="1"/>
                <w:bCs w:val="1"/>
                <w:color w:val="auto"/>
              </w:rPr>
              <w:t>Exhibit Description</w:t>
            </w:r>
          </w:p>
        </w:tc>
        <w:tc>
          <w:tcPr>
            <w:tcW w:w="880" w:type="dxa"/>
            <w:vAlign w:val="bottom"/>
            <w:vMerge w:val="restart"/>
          </w:tcPr>
          <w:p>
            <w:pPr>
              <w:ind w:left="440"/>
              <w:spacing w:after="0"/>
              <w:rPr>
                <w:sz w:val="20"/>
                <w:szCs w:val="20"/>
                <w:color w:val="auto"/>
              </w:rPr>
            </w:pPr>
            <w:r>
              <w:rPr>
                <w:rFonts w:ascii="Arial" w:cs="Arial" w:eastAsia="Arial" w:hAnsi="Arial"/>
                <w:sz w:val="10"/>
                <w:szCs w:val="10"/>
                <w:b w:val="1"/>
                <w:bCs w:val="1"/>
                <w:color w:val="auto"/>
              </w:rPr>
              <w:t>Form</w:t>
            </w:r>
          </w:p>
        </w:tc>
        <w:tc>
          <w:tcPr>
            <w:tcW w:w="1120" w:type="dxa"/>
            <w:vAlign w:val="bottom"/>
            <w:vMerge w:val="restart"/>
          </w:tcPr>
          <w:p>
            <w:pPr>
              <w:ind w:left="700"/>
              <w:spacing w:after="0"/>
              <w:rPr>
                <w:sz w:val="20"/>
                <w:szCs w:val="20"/>
                <w:color w:val="auto"/>
              </w:rPr>
            </w:pPr>
            <w:r>
              <w:rPr>
                <w:rFonts w:ascii="Arial" w:cs="Arial" w:eastAsia="Arial" w:hAnsi="Arial"/>
                <w:sz w:val="10"/>
                <w:szCs w:val="10"/>
                <w:b w:val="1"/>
                <w:bCs w:val="1"/>
                <w:color w:val="auto"/>
              </w:rPr>
              <w:t>File No.</w:t>
            </w:r>
          </w:p>
        </w:tc>
        <w:tc>
          <w:tcPr>
            <w:tcW w:w="124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Exhibit</w:t>
            </w:r>
          </w:p>
        </w:tc>
        <w:tc>
          <w:tcPr>
            <w:tcW w:w="1040" w:type="dxa"/>
            <w:vAlign w:val="bottom"/>
          </w:tcPr>
          <w:p>
            <w:pPr>
              <w:jc w:val="right"/>
              <w:ind w:right="325"/>
              <w:spacing w:after="0" w:line="87" w:lineRule="exact"/>
              <w:rPr>
                <w:sz w:val="20"/>
                <w:szCs w:val="20"/>
                <w:color w:val="auto"/>
              </w:rPr>
            </w:pPr>
            <w:r>
              <w:rPr>
                <w:rFonts w:ascii="Arial" w:cs="Arial" w:eastAsia="Arial" w:hAnsi="Arial"/>
                <w:sz w:val="10"/>
                <w:szCs w:val="10"/>
                <w:b w:val="1"/>
                <w:bCs w:val="1"/>
                <w:color w:val="auto"/>
              </w:rPr>
              <w:t>Filing</w:t>
            </w:r>
          </w:p>
        </w:tc>
        <w:tc>
          <w:tcPr>
            <w:tcW w:w="1040" w:type="dxa"/>
            <w:vAlign w:val="bottom"/>
          </w:tcPr>
          <w:p>
            <w:pPr>
              <w:jc w:val="center"/>
              <w:spacing w:after="0" w:line="87" w:lineRule="exact"/>
              <w:rPr>
                <w:sz w:val="20"/>
                <w:szCs w:val="20"/>
                <w:color w:val="auto"/>
              </w:rPr>
            </w:pPr>
            <w:r>
              <w:rPr>
                <w:rFonts w:ascii="Arial" w:cs="Arial" w:eastAsia="Arial" w:hAnsi="Arial"/>
                <w:sz w:val="10"/>
                <w:szCs w:val="10"/>
                <w:b w:val="1"/>
                <w:bCs w:val="1"/>
                <w:color w:val="auto"/>
                <w:w w:val="85"/>
              </w:rPr>
              <w:t>Filed</w:t>
            </w:r>
          </w:p>
        </w:tc>
        <w:tc>
          <w:tcPr>
            <w:tcW w:w="0" w:type="dxa"/>
            <w:vAlign w:val="bottom"/>
          </w:tcPr>
          <w:p>
            <w:pPr>
              <w:spacing w:after="0"/>
              <w:rPr>
                <w:sz w:val="1"/>
                <w:szCs w:val="1"/>
                <w:color w:val="auto"/>
              </w:rPr>
            </w:pPr>
          </w:p>
        </w:tc>
      </w:tr>
      <w:tr>
        <w:trPr>
          <w:trHeight w:val="125"/>
        </w:trPr>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0"/>
                <w:szCs w:val="10"/>
                <w:b w:val="1"/>
                <w:bCs w:val="1"/>
                <w:color w:val="auto"/>
              </w:rPr>
              <w:t>Number</w:t>
            </w:r>
          </w:p>
        </w:tc>
        <w:tc>
          <w:tcPr>
            <w:tcW w:w="1420" w:type="dxa"/>
            <w:vAlign w:val="bottom"/>
          </w:tcPr>
          <w:p>
            <w:pPr>
              <w:spacing w:after="0"/>
              <w:rPr>
                <w:sz w:val="10"/>
                <w:szCs w:val="10"/>
                <w:color w:val="auto"/>
              </w:rPr>
            </w:pPr>
          </w:p>
        </w:tc>
        <w:tc>
          <w:tcPr>
            <w:tcW w:w="3500" w:type="dxa"/>
            <w:vAlign w:val="bottom"/>
            <w:gridSpan w:val="8"/>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40" w:type="dxa"/>
            <w:vAlign w:val="bottom"/>
          </w:tcPr>
          <w:p>
            <w:pPr>
              <w:jc w:val="right"/>
              <w:ind w:right="325"/>
              <w:spacing w:after="0"/>
              <w:rPr>
                <w:sz w:val="20"/>
                <w:szCs w:val="20"/>
                <w:color w:val="auto"/>
              </w:rPr>
            </w:pPr>
            <w:r>
              <w:rPr>
                <w:rFonts w:ascii="Arial" w:cs="Arial" w:eastAsia="Arial" w:hAnsi="Arial"/>
                <w:sz w:val="10"/>
                <w:szCs w:val="10"/>
                <w:b w:val="1"/>
                <w:bCs w:val="1"/>
                <w:color w:val="auto"/>
              </w:rPr>
              <w:t>Date</w:t>
            </w:r>
          </w:p>
        </w:tc>
        <w:tc>
          <w:tcPr>
            <w:tcW w:w="1040" w:type="dxa"/>
            <w:vAlign w:val="bottom"/>
          </w:tcPr>
          <w:p>
            <w:pPr>
              <w:jc w:val="center"/>
              <w:ind w:left="2"/>
              <w:spacing w:after="0"/>
              <w:rPr>
                <w:sz w:val="20"/>
                <w:szCs w:val="20"/>
                <w:color w:val="auto"/>
              </w:rPr>
            </w:pPr>
            <w:r>
              <w:rPr>
                <w:rFonts w:ascii="Arial" w:cs="Arial" w:eastAsia="Arial" w:hAnsi="Arial"/>
                <w:sz w:val="10"/>
                <w:szCs w:val="10"/>
                <w:b w:val="1"/>
                <w:bCs w:val="1"/>
                <w:color w:val="auto"/>
                <w:w w:val="89"/>
              </w:rPr>
              <w:t>Herewith</w:t>
            </w:r>
          </w:p>
        </w:tc>
        <w:tc>
          <w:tcPr>
            <w:tcW w:w="0" w:type="dxa"/>
            <w:vAlign w:val="bottom"/>
          </w:tcPr>
          <w:p>
            <w:pPr>
              <w:spacing w:after="0"/>
              <w:rPr>
                <w:sz w:val="1"/>
                <w:szCs w:val="1"/>
                <w:color w:val="auto"/>
              </w:rPr>
            </w:pPr>
          </w:p>
        </w:tc>
      </w:tr>
      <w:tr>
        <w:trPr>
          <w:trHeight w:val="116"/>
        </w:trPr>
        <w:tc>
          <w:tcPr>
            <w:tcW w:w="160" w:type="dxa"/>
            <w:vAlign w:val="bottom"/>
            <w:tcBorders>
              <w:top w:val="single" w:sz="8" w:color="auto"/>
              <w:bottom w:val="single" w:sz="8" w:color="0000FF"/>
            </w:tcBorders>
          </w:tcPr>
          <w:p>
            <w:pPr>
              <w:spacing w:after="0" w:line="117" w:lineRule="exact"/>
              <w:rPr>
                <w:rFonts w:ascii="Arial" w:cs="Arial" w:eastAsia="Arial" w:hAnsi="Arial"/>
                <w:sz w:val="12"/>
                <w:szCs w:val="12"/>
                <w:color w:val="0000FF"/>
                <w:w w:val="83"/>
              </w:rPr>
            </w:pPr>
            <w:hyperlink r:id="rId106">
              <w:r>
                <w:rPr>
                  <w:rFonts w:ascii="Arial" w:cs="Arial" w:eastAsia="Arial" w:hAnsi="Arial"/>
                  <w:sz w:val="12"/>
                  <w:szCs w:val="12"/>
                  <w:color w:val="0000FF"/>
                  <w:w w:val="83"/>
                </w:rPr>
                <w:t>3.</w:t>
              </w:r>
              <w:r>
                <w:rPr>
                  <w:rFonts w:ascii="Arial" w:cs="Arial" w:eastAsia="Arial" w:hAnsi="Arial"/>
                  <w:sz w:val="12"/>
                  <w:szCs w:val="12"/>
                  <w:u w:val="single" w:color="auto"/>
                  <w:color w:val="0000FF"/>
                  <w:w w:val="83"/>
                </w:rPr>
                <w:t>1</w:t>
              </w:r>
            </w:hyperlink>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380" w:type="dxa"/>
            <w:vAlign w:val="bottom"/>
            <w:tcBorders>
              <w:top w:val="single" w:sz="8" w:color="auto"/>
              <w:bottom w:val="single" w:sz="8" w:color="0000FF"/>
            </w:tcBorders>
            <w:gridSpan w:val="5"/>
          </w:tcPr>
          <w:p>
            <w:pPr>
              <w:spacing w:after="0" w:line="117" w:lineRule="exact"/>
              <w:rPr>
                <w:rFonts w:ascii="Arial" w:cs="Arial" w:eastAsia="Arial" w:hAnsi="Arial"/>
                <w:sz w:val="12"/>
                <w:szCs w:val="12"/>
                <w:color w:val="0000FF"/>
                <w:w w:val="91"/>
              </w:rPr>
            </w:pPr>
            <w:hyperlink r:id="rId106">
              <w:r>
                <w:rPr>
                  <w:rFonts w:ascii="Arial" w:cs="Arial" w:eastAsia="Arial" w:hAnsi="Arial"/>
                  <w:sz w:val="12"/>
                  <w:szCs w:val="12"/>
                  <w:color w:val="0000FF"/>
                  <w:w w:val="91"/>
                </w:rPr>
                <w:t>Amended and Restated Certificate of Incorporation of the Registrant, as currently in effect.</w:t>
              </w:r>
            </w:hyperlink>
          </w:p>
        </w:tc>
        <w:tc>
          <w:tcPr>
            <w:tcW w:w="540" w:type="dxa"/>
            <w:vAlign w:val="bottom"/>
            <w:tcBorders>
              <w:top w:val="single" w:sz="8" w:color="auto"/>
            </w:tcBorders>
            <w:gridSpan w:val="4"/>
          </w:tcPr>
          <w:p>
            <w:pPr>
              <w:spacing w:after="0"/>
              <w:rPr>
                <w:sz w:val="10"/>
                <w:szCs w:val="10"/>
                <w:color w:val="auto"/>
              </w:rPr>
            </w:pPr>
          </w:p>
        </w:tc>
        <w:tc>
          <w:tcPr>
            <w:tcW w:w="880" w:type="dxa"/>
            <w:vAlign w:val="bottom"/>
            <w:tcBorders>
              <w:top w:val="single" w:sz="8" w:color="auto"/>
            </w:tcBorders>
          </w:tcPr>
          <w:p>
            <w:pPr>
              <w:ind w:left="20"/>
              <w:spacing w:after="0" w:line="117" w:lineRule="exact"/>
              <w:rPr>
                <w:sz w:val="20"/>
                <w:szCs w:val="20"/>
                <w:color w:val="auto"/>
              </w:rPr>
            </w:pPr>
            <w:r>
              <w:rPr>
                <w:rFonts w:ascii="Arial" w:cs="Arial" w:eastAsia="Arial" w:hAnsi="Arial"/>
                <w:sz w:val="12"/>
                <w:szCs w:val="12"/>
                <w:color w:val="auto"/>
              </w:rPr>
              <w:t>8-K</w:t>
            </w:r>
          </w:p>
        </w:tc>
        <w:tc>
          <w:tcPr>
            <w:tcW w:w="1120" w:type="dxa"/>
            <w:vAlign w:val="bottom"/>
            <w:tcBorders>
              <w:top w:val="single" w:sz="8" w:color="auto"/>
            </w:tcBorders>
          </w:tcPr>
          <w:p>
            <w:pPr>
              <w:ind w:left="220"/>
              <w:spacing w:after="0" w:line="117" w:lineRule="exact"/>
              <w:rPr>
                <w:sz w:val="20"/>
                <w:szCs w:val="20"/>
                <w:color w:val="auto"/>
              </w:rPr>
            </w:pPr>
            <w:r>
              <w:rPr>
                <w:rFonts w:ascii="Arial" w:cs="Arial" w:eastAsia="Arial" w:hAnsi="Arial"/>
                <w:sz w:val="12"/>
                <w:szCs w:val="12"/>
                <w:color w:val="auto"/>
              </w:rPr>
              <w:t>001-38933</w:t>
            </w:r>
          </w:p>
        </w:tc>
        <w:tc>
          <w:tcPr>
            <w:tcW w:w="1240" w:type="dxa"/>
            <w:vAlign w:val="bottom"/>
            <w:tcBorders>
              <w:top w:val="single" w:sz="8" w:color="auto"/>
            </w:tcBorders>
          </w:tcPr>
          <w:p>
            <w:pPr>
              <w:ind w:left="400"/>
              <w:spacing w:after="0" w:line="117" w:lineRule="exact"/>
              <w:rPr>
                <w:sz w:val="20"/>
                <w:szCs w:val="20"/>
                <w:color w:val="auto"/>
              </w:rPr>
            </w:pPr>
            <w:r>
              <w:rPr>
                <w:rFonts w:ascii="Arial" w:cs="Arial" w:eastAsia="Arial" w:hAnsi="Arial"/>
                <w:sz w:val="12"/>
                <w:szCs w:val="12"/>
                <w:color w:val="auto"/>
              </w:rPr>
              <w:t>3.1</w:t>
            </w:r>
          </w:p>
        </w:tc>
        <w:tc>
          <w:tcPr>
            <w:tcW w:w="1040" w:type="dxa"/>
            <w:vAlign w:val="bottom"/>
            <w:tcBorders>
              <w:top w:val="single" w:sz="8" w:color="auto"/>
            </w:tcBorders>
          </w:tcPr>
          <w:p>
            <w:pPr>
              <w:jc w:val="right"/>
              <w:ind w:right="545"/>
              <w:spacing w:after="0" w:line="117" w:lineRule="exact"/>
              <w:rPr>
                <w:sz w:val="20"/>
                <w:szCs w:val="20"/>
                <w:color w:val="auto"/>
              </w:rPr>
            </w:pPr>
            <w:r>
              <w:rPr>
                <w:rFonts w:ascii="Arial" w:cs="Arial" w:eastAsia="Arial" w:hAnsi="Arial"/>
                <w:sz w:val="12"/>
                <w:szCs w:val="12"/>
                <w:color w:val="auto"/>
                <w:w w:val="89"/>
              </w:rPr>
              <w:t>06/14/19</w:t>
            </w:r>
          </w:p>
        </w:tc>
        <w:tc>
          <w:tcPr>
            <w:tcW w:w="1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 w:type="dxa"/>
            <w:vAlign w:val="bottom"/>
            <w:tcBorders>
              <w:bottom w:val="single" w:sz="8" w:color="0000FF"/>
            </w:tcBorders>
          </w:tcPr>
          <w:p>
            <w:pPr>
              <w:spacing w:after="0" w:line="133" w:lineRule="exact"/>
              <w:rPr>
                <w:rFonts w:ascii="Arial" w:cs="Arial" w:eastAsia="Arial" w:hAnsi="Arial"/>
                <w:sz w:val="12"/>
                <w:szCs w:val="12"/>
                <w:color w:val="0000FF"/>
                <w:w w:val="83"/>
              </w:rPr>
            </w:pPr>
            <w:hyperlink r:id="rId107">
              <w:r>
                <w:rPr>
                  <w:rFonts w:ascii="Arial" w:cs="Arial" w:eastAsia="Arial" w:hAnsi="Arial"/>
                  <w:sz w:val="12"/>
                  <w:szCs w:val="12"/>
                  <w:color w:val="0000FF"/>
                  <w:w w:val="83"/>
                </w:rPr>
                <w:t>3.</w:t>
              </w:r>
              <w:r>
                <w:rPr>
                  <w:rFonts w:ascii="Arial" w:cs="Arial" w:eastAsia="Arial" w:hAnsi="Arial"/>
                  <w:sz w:val="12"/>
                  <w:szCs w:val="12"/>
                  <w:u w:val="single" w:color="auto"/>
                  <w:color w:val="0000FF"/>
                  <w:w w:val="83"/>
                </w:rPr>
                <w:t>2</w:t>
              </w:r>
            </w:hyperlink>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Borders>
              <w:bottom w:val="single" w:sz="8" w:color="0000FF"/>
            </w:tcBorders>
            <w:gridSpan w:val="2"/>
          </w:tcPr>
          <w:p>
            <w:pPr>
              <w:spacing w:after="0" w:line="133" w:lineRule="exact"/>
              <w:rPr>
                <w:rFonts w:ascii="Arial" w:cs="Arial" w:eastAsia="Arial" w:hAnsi="Arial"/>
                <w:sz w:val="12"/>
                <w:szCs w:val="12"/>
                <w:color w:val="0000FF"/>
                <w:w w:val="91"/>
              </w:rPr>
            </w:pPr>
            <w:hyperlink r:id="rId107">
              <w:r>
                <w:rPr>
                  <w:rFonts w:ascii="Arial" w:cs="Arial" w:eastAsia="Arial" w:hAnsi="Arial"/>
                  <w:sz w:val="12"/>
                  <w:szCs w:val="12"/>
                  <w:color w:val="0000FF"/>
                  <w:w w:val="91"/>
                </w:rPr>
                <w:t>Bylaws of the Registrant, as currently in effect.</w:t>
              </w:r>
            </w:hyperlink>
          </w:p>
        </w:tc>
        <w:tc>
          <w:tcPr>
            <w:tcW w:w="2640" w:type="dxa"/>
            <w:vAlign w:val="bottom"/>
            <w:gridSpan w:val="7"/>
          </w:tcPr>
          <w:p>
            <w:pPr>
              <w:spacing w:after="0"/>
              <w:rPr>
                <w:sz w:val="11"/>
                <w:szCs w:val="11"/>
                <w:color w:val="auto"/>
              </w:rPr>
            </w:pPr>
          </w:p>
        </w:tc>
        <w:tc>
          <w:tcPr>
            <w:tcW w:w="880" w:type="dxa"/>
            <w:vAlign w:val="bottom"/>
          </w:tcPr>
          <w:p>
            <w:pPr>
              <w:ind w:left="20"/>
              <w:spacing w:after="0" w:line="133" w:lineRule="exact"/>
              <w:rPr>
                <w:sz w:val="20"/>
                <w:szCs w:val="20"/>
                <w:color w:val="auto"/>
              </w:rPr>
            </w:pPr>
            <w:r>
              <w:rPr>
                <w:rFonts w:ascii="Arial" w:cs="Arial" w:eastAsia="Arial" w:hAnsi="Arial"/>
                <w:sz w:val="12"/>
                <w:szCs w:val="12"/>
                <w:color w:val="auto"/>
              </w:rPr>
              <w:t>8-K</w:t>
            </w:r>
          </w:p>
        </w:tc>
        <w:tc>
          <w:tcPr>
            <w:tcW w:w="1120" w:type="dxa"/>
            <w:vAlign w:val="bottom"/>
          </w:tcPr>
          <w:p>
            <w:pPr>
              <w:ind w:left="220"/>
              <w:spacing w:after="0" w:line="133" w:lineRule="exact"/>
              <w:rPr>
                <w:sz w:val="20"/>
                <w:szCs w:val="20"/>
                <w:color w:val="auto"/>
              </w:rPr>
            </w:pPr>
            <w:r>
              <w:rPr>
                <w:rFonts w:ascii="Arial" w:cs="Arial" w:eastAsia="Arial" w:hAnsi="Arial"/>
                <w:sz w:val="12"/>
                <w:szCs w:val="12"/>
                <w:color w:val="auto"/>
              </w:rPr>
              <w:t>001-38933</w:t>
            </w:r>
          </w:p>
        </w:tc>
        <w:tc>
          <w:tcPr>
            <w:tcW w:w="1240" w:type="dxa"/>
            <w:vAlign w:val="bottom"/>
          </w:tcPr>
          <w:p>
            <w:pPr>
              <w:ind w:left="400"/>
              <w:spacing w:after="0" w:line="133" w:lineRule="exact"/>
              <w:rPr>
                <w:sz w:val="20"/>
                <w:szCs w:val="20"/>
                <w:color w:val="auto"/>
              </w:rPr>
            </w:pPr>
            <w:r>
              <w:rPr>
                <w:rFonts w:ascii="Arial" w:cs="Arial" w:eastAsia="Arial" w:hAnsi="Arial"/>
                <w:sz w:val="12"/>
                <w:szCs w:val="12"/>
                <w:color w:val="auto"/>
              </w:rPr>
              <w:t>3.2</w:t>
            </w:r>
          </w:p>
        </w:tc>
        <w:tc>
          <w:tcPr>
            <w:tcW w:w="1040" w:type="dxa"/>
            <w:vAlign w:val="bottom"/>
          </w:tcPr>
          <w:p>
            <w:pPr>
              <w:jc w:val="right"/>
              <w:ind w:right="545"/>
              <w:spacing w:after="0" w:line="133" w:lineRule="exact"/>
              <w:rPr>
                <w:sz w:val="20"/>
                <w:szCs w:val="20"/>
                <w:color w:val="auto"/>
              </w:rPr>
            </w:pPr>
            <w:r>
              <w:rPr>
                <w:rFonts w:ascii="Arial" w:cs="Arial" w:eastAsia="Arial" w:hAnsi="Arial"/>
                <w:sz w:val="12"/>
                <w:szCs w:val="12"/>
                <w:color w:val="auto"/>
                <w:w w:val="89"/>
              </w:rPr>
              <w:t>06/14/19</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0" w:type="dxa"/>
            <w:vAlign w:val="bottom"/>
            <w:gridSpan w:val="2"/>
          </w:tcPr>
          <w:p>
            <w:pPr>
              <w:spacing w:after="0" w:line="133" w:lineRule="exact"/>
              <w:rPr>
                <w:rFonts w:ascii="Arial" w:cs="Arial" w:eastAsia="Arial" w:hAnsi="Arial"/>
                <w:sz w:val="12"/>
                <w:szCs w:val="12"/>
                <w:color w:val="0000FF"/>
                <w:w w:val="85"/>
              </w:rPr>
            </w:pPr>
            <w:hyperlink r:id="rId108">
              <w:r>
                <w:rPr>
                  <w:rFonts w:ascii="Arial" w:cs="Arial" w:eastAsia="Arial" w:hAnsi="Arial"/>
                  <w:sz w:val="12"/>
                  <w:szCs w:val="12"/>
                  <w:color w:val="0000FF"/>
                  <w:w w:val="85"/>
                </w:rPr>
                <w:t>22.</w:t>
              </w:r>
              <w:r>
                <w:rPr>
                  <w:rFonts w:ascii="Arial" w:cs="Arial" w:eastAsia="Arial" w:hAnsi="Arial"/>
                  <w:sz w:val="12"/>
                  <w:szCs w:val="12"/>
                  <w:u w:val="single" w:color="auto"/>
                  <w:color w:val="0000FF"/>
                  <w:w w:val="85"/>
                </w:rPr>
                <w:t>1</w:t>
              </w:r>
            </w:hyperlink>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20" w:type="dxa"/>
            <w:vAlign w:val="bottom"/>
            <w:gridSpan w:val="9"/>
          </w:tcPr>
          <w:p>
            <w:pPr>
              <w:spacing w:after="0" w:line="133" w:lineRule="exact"/>
              <w:rPr>
                <w:rFonts w:ascii="Arial" w:cs="Arial" w:eastAsia="Arial" w:hAnsi="Arial"/>
                <w:sz w:val="12"/>
                <w:szCs w:val="12"/>
                <w:color w:val="0000FF"/>
              </w:rPr>
            </w:pPr>
            <w:hyperlink r:id="rId108">
              <w:r>
                <w:rPr>
                  <w:rFonts w:ascii="Arial" w:cs="Arial" w:eastAsia="Arial" w:hAnsi="Arial"/>
                  <w:sz w:val="12"/>
                  <w:szCs w:val="12"/>
                  <w:color w:val="0000FF"/>
                </w:rPr>
                <w:t>List of Subsidiary Guarantors</w:t>
              </w:r>
            </w:hyperlink>
          </w:p>
        </w:tc>
        <w:tc>
          <w:tcPr>
            <w:tcW w:w="880" w:type="dxa"/>
            <w:vAlign w:val="bottom"/>
          </w:tcPr>
          <w:p>
            <w:pPr>
              <w:ind w:left="20"/>
              <w:spacing w:after="0" w:line="133" w:lineRule="exact"/>
              <w:rPr>
                <w:sz w:val="20"/>
                <w:szCs w:val="20"/>
                <w:color w:val="auto"/>
              </w:rPr>
            </w:pPr>
            <w:r>
              <w:rPr>
                <w:rFonts w:ascii="Arial" w:cs="Arial" w:eastAsia="Arial" w:hAnsi="Arial"/>
                <w:sz w:val="12"/>
                <w:szCs w:val="12"/>
                <w:color w:val="auto"/>
              </w:rPr>
              <w:t>S-3ASR</w:t>
            </w:r>
          </w:p>
        </w:tc>
        <w:tc>
          <w:tcPr>
            <w:tcW w:w="1120" w:type="dxa"/>
            <w:vAlign w:val="bottom"/>
          </w:tcPr>
          <w:p>
            <w:pPr>
              <w:ind w:left="220"/>
              <w:spacing w:after="0" w:line="133" w:lineRule="exact"/>
              <w:rPr>
                <w:sz w:val="20"/>
                <w:szCs w:val="20"/>
                <w:color w:val="auto"/>
              </w:rPr>
            </w:pPr>
            <w:r>
              <w:rPr>
                <w:rFonts w:ascii="Arial" w:cs="Arial" w:eastAsia="Arial" w:hAnsi="Arial"/>
                <w:sz w:val="12"/>
                <w:szCs w:val="12"/>
                <w:color w:val="auto"/>
              </w:rPr>
              <w:t>333-252007</w:t>
            </w:r>
          </w:p>
        </w:tc>
        <w:tc>
          <w:tcPr>
            <w:tcW w:w="1240" w:type="dxa"/>
            <w:vAlign w:val="bottom"/>
          </w:tcPr>
          <w:p>
            <w:pPr>
              <w:ind w:left="400"/>
              <w:spacing w:after="0" w:line="133" w:lineRule="exact"/>
              <w:rPr>
                <w:sz w:val="20"/>
                <w:szCs w:val="20"/>
                <w:color w:val="auto"/>
              </w:rPr>
            </w:pPr>
            <w:r>
              <w:rPr>
                <w:rFonts w:ascii="Arial" w:cs="Arial" w:eastAsia="Arial" w:hAnsi="Arial"/>
                <w:sz w:val="12"/>
                <w:szCs w:val="12"/>
                <w:color w:val="auto"/>
              </w:rPr>
              <w:t>22.1</w:t>
            </w:r>
          </w:p>
        </w:tc>
        <w:tc>
          <w:tcPr>
            <w:tcW w:w="1040" w:type="dxa"/>
            <w:vAlign w:val="bottom"/>
          </w:tcPr>
          <w:p>
            <w:pPr>
              <w:jc w:val="right"/>
              <w:ind w:right="545"/>
              <w:spacing w:after="0" w:line="133" w:lineRule="exact"/>
              <w:rPr>
                <w:sz w:val="20"/>
                <w:szCs w:val="20"/>
                <w:color w:val="auto"/>
              </w:rPr>
            </w:pPr>
            <w:r>
              <w:rPr>
                <w:rFonts w:ascii="Arial" w:cs="Arial" w:eastAsia="Arial" w:hAnsi="Arial"/>
                <w:sz w:val="12"/>
                <w:szCs w:val="12"/>
                <w:color w:val="auto"/>
                <w:w w:val="89"/>
              </w:rPr>
              <w:t>01/11/21</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gridSpan w:val="2"/>
          </w:tcPr>
          <w:p>
            <w:pPr>
              <w:spacing w:after="0" w:line="133" w:lineRule="exact"/>
              <w:rPr>
                <w:rFonts w:ascii="Arial" w:cs="Arial" w:eastAsia="Arial" w:hAnsi="Arial"/>
                <w:sz w:val="12"/>
                <w:szCs w:val="12"/>
                <w:color w:val="0000FF"/>
                <w:w w:val="85"/>
              </w:rPr>
            </w:pPr>
            <w:hyperlink w:anchor="page86">
              <w:r>
                <w:rPr>
                  <w:rFonts w:ascii="Arial" w:cs="Arial" w:eastAsia="Arial" w:hAnsi="Arial"/>
                  <w:sz w:val="12"/>
                  <w:szCs w:val="12"/>
                  <w:color w:val="0000FF"/>
                  <w:w w:val="85"/>
                </w:rPr>
                <w:t>31.</w:t>
              </w:r>
              <w:r>
                <w:rPr>
                  <w:rFonts w:ascii="Arial" w:cs="Arial" w:eastAsia="Arial" w:hAnsi="Arial"/>
                  <w:sz w:val="12"/>
                  <w:szCs w:val="12"/>
                  <w:u w:val="single" w:color="auto"/>
                  <w:color w:val="0000FF"/>
                  <w:w w:val="85"/>
                </w:rPr>
                <w:t>1</w:t>
              </w:r>
            </w:hyperlink>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20" w:type="dxa"/>
            <w:vAlign w:val="bottom"/>
            <w:gridSpan w:val="9"/>
          </w:tcPr>
          <w:p>
            <w:pPr>
              <w:spacing w:after="0" w:line="133" w:lineRule="exact"/>
              <w:rPr>
                <w:rFonts w:ascii="Arial" w:cs="Arial" w:eastAsia="Arial" w:hAnsi="Arial"/>
                <w:sz w:val="12"/>
                <w:szCs w:val="12"/>
                <w:color w:val="0000FF"/>
              </w:rPr>
            </w:pPr>
            <w:hyperlink w:anchor="page86">
              <w:r>
                <w:rPr>
                  <w:rFonts w:ascii="Arial" w:cs="Arial" w:eastAsia="Arial" w:hAnsi="Arial"/>
                  <w:sz w:val="12"/>
                  <w:szCs w:val="12"/>
                  <w:color w:val="0000FF"/>
                </w:rPr>
                <w:t>Certification of the Principal Executive Officer pursuant to Exchange Act Rules 13a14(a) and</w:t>
              </w:r>
            </w:hyperlink>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jc w:val="center"/>
              <w:ind w:left="22"/>
              <w:spacing w:after="0" w:line="133" w:lineRule="exact"/>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97"/>
        </w:trPr>
        <w:tc>
          <w:tcPr>
            <w:tcW w:w="1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20" w:type="dxa"/>
            <w:vAlign w:val="bottom"/>
            <w:tcBorders>
              <w:top w:val="single" w:sz="8" w:color="0000FF"/>
              <w:bottom w:val="single" w:sz="8" w:color="0000FF"/>
            </w:tcBorders>
            <w:gridSpan w:val="3"/>
          </w:tcPr>
          <w:p>
            <w:pPr>
              <w:spacing w:after="0" w:line="97" w:lineRule="exact"/>
              <w:rPr>
                <w:rFonts w:ascii="Arial" w:cs="Arial" w:eastAsia="Arial" w:hAnsi="Arial"/>
                <w:sz w:val="11"/>
                <w:szCs w:val="11"/>
                <w:color w:val="0000FF"/>
                <w:w w:val="97"/>
              </w:rPr>
            </w:pPr>
            <w:hyperlink w:anchor="page86">
              <w:r>
                <w:rPr>
                  <w:rFonts w:ascii="Arial" w:cs="Arial" w:eastAsia="Arial" w:hAnsi="Arial"/>
                  <w:sz w:val="11"/>
                  <w:szCs w:val="11"/>
                  <w:color w:val="0000FF"/>
                  <w:w w:val="97"/>
                </w:rPr>
                <w:t>15d14(a), as adopted pursuant to Section 302 of the Sarbanes-Oxley Act of 2002.</w:t>
              </w:r>
            </w:hyperlink>
          </w:p>
        </w:tc>
        <w:tc>
          <w:tcPr>
            <w:tcW w:w="580" w:type="dxa"/>
            <w:vAlign w:val="bottom"/>
            <w:tcBorders>
              <w:top w:val="single" w:sz="8" w:color="0000FF"/>
            </w:tcBorders>
            <w:gridSpan w:val="4"/>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20" w:type="dxa"/>
            <w:vAlign w:val="bottom"/>
            <w:gridSpan w:val="2"/>
          </w:tcPr>
          <w:p>
            <w:pPr>
              <w:spacing w:after="0" w:line="133" w:lineRule="exact"/>
              <w:rPr>
                <w:rFonts w:ascii="Arial" w:cs="Arial" w:eastAsia="Arial" w:hAnsi="Arial"/>
                <w:sz w:val="12"/>
                <w:szCs w:val="12"/>
                <w:color w:val="0000FF"/>
                <w:w w:val="85"/>
              </w:rPr>
            </w:pPr>
            <w:hyperlink w:anchor="page88">
              <w:r>
                <w:rPr>
                  <w:rFonts w:ascii="Arial" w:cs="Arial" w:eastAsia="Arial" w:hAnsi="Arial"/>
                  <w:sz w:val="12"/>
                  <w:szCs w:val="12"/>
                  <w:color w:val="0000FF"/>
                  <w:w w:val="85"/>
                </w:rPr>
                <w:t>31.</w:t>
              </w:r>
              <w:r>
                <w:rPr>
                  <w:rFonts w:ascii="Arial" w:cs="Arial" w:eastAsia="Arial" w:hAnsi="Arial"/>
                  <w:sz w:val="12"/>
                  <w:szCs w:val="12"/>
                  <w:u w:val="single" w:color="auto"/>
                  <w:color w:val="0000FF"/>
                  <w:w w:val="85"/>
                </w:rPr>
                <w:t>2</w:t>
              </w:r>
            </w:hyperlink>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20" w:type="dxa"/>
            <w:vAlign w:val="bottom"/>
            <w:gridSpan w:val="9"/>
          </w:tcPr>
          <w:p>
            <w:pPr>
              <w:spacing w:after="0" w:line="133" w:lineRule="exact"/>
              <w:rPr>
                <w:rFonts w:ascii="Arial" w:cs="Arial" w:eastAsia="Arial" w:hAnsi="Arial"/>
                <w:sz w:val="12"/>
                <w:szCs w:val="12"/>
                <w:color w:val="0000FF"/>
              </w:rPr>
            </w:pPr>
            <w:hyperlink w:anchor="page88">
              <w:r>
                <w:rPr>
                  <w:rFonts w:ascii="Arial" w:cs="Arial" w:eastAsia="Arial" w:hAnsi="Arial"/>
                  <w:sz w:val="12"/>
                  <w:szCs w:val="12"/>
                  <w:color w:val="0000FF"/>
                </w:rPr>
                <w:t>Certification of the Principal Financial Officer pursuant to Exchange Act Rules 13a14(a) and</w:t>
              </w:r>
            </w:hyperlink>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jc w:val="center"/>
              <w:ind w:left="22"/>
              <w:spacing w:after="0" w:line="133" w:lineRule="exact"/>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97"/>
        </w:trPr>
        <w:tc>
          <w:tcPr>
            <w:tcW w:w="1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20" w:type="dxa"/>
            <w:vAlign w:val="bottom"/>
            <w:tcBorders>
              <w:top w:val="single" w:sz="8" w:color="0000FF"/>
              <w:bottom w:val="single" w:sz="8" w:color="0000FF"/>
            </w:tcBorders>
            <w:gridSpan w:val="3"/>
          </w:tcPr>
          <w:p>
            <w:pPr>
              <w:spacing w:after="0" w:line="97" w:lineRule="exact"/>
              <w:rPr>
                <w:rFonts w:ascii="Arial" w:cs="Arial" w:eastAsia="Arial" w:hAnsi="Arial"/>
                <w:sz w:val="11"/>
                <w:szCs w:val="11"/>
                <w:color w:val="0000FF"/>
                <w:w w:val="97"/>
              </w:rPr>
            </w:pPr>
            <w:hyperlink w:anchor="page88">
              <w:r>
                <w:rPr>
                  <w:rFonts w:ascii="Arial" w:cs="Arial" w:eastAsia="Arial" w:hAnsi="Arial"/>
                  <w:sz w:val="11"/>
                  <w:szCs w:val="11"/>
                  <w:color w:val="0000FF"/>
                  <w:w w:val="97"/>
                </w:rPr>
                <w:t>15d14(a), as adopted pursuant to Section 302 of the Sarbanes-Oxley Act of 2002.</w:t>
              </w:r>
            </w:hyperlink>
          </w:p>
        </w:tc>
        <w:tc>
          <w:tcPr>
            <w:tcW w:w="540" w:type="dxa"/>
            <w:vAlign w:val="bottom"/>
            <w:tcBorders>
              <w:top w:val="single" w:sz="8" w:color="0000FF"/>
            </w:tcBorders>
            <w:gridSpan w:val="3"/>
          </w:tcPr>
          <w:p>
            <w:pPr>
              <w:spacing w:after="0"/>
              <w:rPr>
                <w:sz w:val="8"/>
                <w:szCs w:val="8"/>
                <w:color w:val="auto"/>
              </w:rPr>
            </w:pPr>
          </w:p>
        </w:tc>
        <w:tc>
          <w:tcPr>
            <w:tcW w:w="4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80" w:type="dxa"/>
            <w:vAlign w:val="bottom"/>
            <w:gridSpan w:val="3"/>
          </w:tcPr>
          <w:p>
            <w:pPr>
              <w:spacing w:after="0" w:line="133" w:lineRule="exact"/>
              <w:rPr>
                <w:rFonts w:ascii="Arial" w:cs="Arial" w:eastAsia="Arial" w:hAnsi="Arial"/>
                <w:sz w:val="12"/>
                <w:szCs w:val="12"/>
                <w:color w:val="0000FF"/>
                <w:w w:val="92"/>
              </w:rPr>
            </w:pPr>
            <w:hyperlink w:anchor="page90">
              <w:r>
                <w:rPr>
                  <w:rFonts w:ascii="Arial" w:cs="Arial" w:eastAsia="Arial" w:hAnsi="Arial"/>
                  <w:sz w:val="12"/>
                  <w:szCs w:val="12"/>
                  <w:color w:val="0000FF"/>
                  <w:w w:val="92"/>
                </w:rPr>
                <w:t>32.</w:t>
              </w:r>
              <w:r>
                <w:rPr>
                  <w:rFonts w:ascii="Arial" w:cs="Arial" w:eastAsia="Arial" w:hAnsi="Arial"/>
                  <w:sz w:val="12"/>
                  <w:szCs w:val="12"/>
                  <w:u w:val="single" w:color="auto"/>
                  <w:color w:val="0000FF"/>
                  <w:w w:val="92"/>
                </w:rPr>
                <w:t>1*</w:t>
              </w:r>
            </w:hyperlink>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20" w:type="dxa"/>
            <w:vAlign w:val="bottom"/>
            <w:gridSpan w:val="9"/>
          </w:tcPr>
          <w:p>
            <w:pPr>
              <w:spacing w:after="0" w:line="133" w:lineRule="exact"/>
              <w:rPr>
                <w:rFonts w:ascii="Arial" w:cs="Arial" w:eastAsia="Arial" w:hAnsi="Arial"/>
                <w:sz w:val="12"/>
                <w:szCs w:val="12"/>
                <w:color w:val="0000FF"/>
                <w:w w:val="93"/>
              </w:rPr>
            </w:pPr>
            <w:hyperlink w:anchor="page90">
              <w:r>
                <w:rPr>
                  <w:rFonts w:ascii="Arial" w:cs="Arial" w:eastAsia="Arial" w:hAnsi="Arial"/>
                  <w:sz w:val="12"/>
                  <w:szCs w:val="12"/>
                  <w:color w:val="0000FF"/>
                  <w:w w:val="93"/>
                </w:rPr>
                <w:t>Certification of the Principal Executive Officer and Principal Financial Officer pursuant to 18 U.S.C.</w:t>
              </w:r>
            </w:hyperlink>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jc w:val="center"/>
              <w:ind w:left="22"/>
              <w:spacing w:after="0" w:line="133" w:lineRule="exact"/>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97"/>
        </w:trPr>
        <w:tc>
          <w:tcPr>
            <w:tcW w:w="1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60" w:type="dxa"/>
            <w:vAlign w:val="bottom"/>
            <w:tcBorders>
              <w:top w:val="single" w:sz="8" w:color="0000FF"/>
            </w:tcBorders>
            <w:gridSpan w:val="8"/>
          </w:tcPr>
          <w:p>
            <w:pPr>
              <w:spacing w:after="0" w:line="97" w:lineRule="exact"/>
              <w:rPr>
                <w:rFonts w:ascii="Arial" w:cs="Arial" w:eastAsia="Arial" w:hAnsi="Arial"/>
                <w:sz w:val="11"/>
                <w:szCs w:val="11"/>
                <w:color w:val="0000FF"/>
              </w:rPr>
            </w:pPr>
            <w:hyperlink w:anchor="page90">
              <w:r>
                <w:rPr>
                  <w:rFonts w:ascii="Arial" w:cs="Arial" w:eastAsia="Arial" w:hAnsi="Arial"/>
                  <w:sz w:val="11"/>
                  <w:szCs w:val="11"/>
                  <w:color w:val="0000FF"/>
                </w:rPr>
                <w:t>Section 1350, as adopted pursuant to Section 906 of the Sarbanes-Oxley Act of 2002.</w:t>
              </w:r>
            </w:hyperlink>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060" w:type="dxa"/>
            <w:vAlign w:val="bottom"/>
            <w:gridSpan w:val="5"/>
          </w:tcPr>
          <w:p>
            <w:pPr>
              <w:spacing w:after="0"/>
              <w:rPr>
                <w:sz w:val="20"/>
                <w:szCs w:val="20"/>
                <w:color w:val="auto"/>
              </w:rPr>
            </w:pPr>
            <w:r>
              <w:rPr>
                <w:rFonts w:ascii="Arial" w:cs="Arial" w:eastAsia="Arial" w:hAnsi="Arial"/>
                <w:sz w:val="12"/>
                <w:szCs w:val="12"/>
                <w:color w:val="auto"/>
              </w:rPr>
              <w:t>101.INS</w:t>
            </w:r>
          </w:p>
        </w:tc>
        <w:tc>
          <w:tcPr>
            <w:tcW w:w="4100" w:type="dxa"/>
            <w:vAlign w:val="bottom"/>
            <w:tcBorders>
              <w:top w:val="single" w:sz="8" w:color="0000FF"/>
            </w:tcBorders>
            <w:gridSpan w:val="4"/>
          </w:tcPr>
          <w:p>
            <w:pPr>
              <w:spacing w:after="0"/>
              <w:rPr>
                <w:sz w:val="20"/>
                <w:szCs w:val="20"/>
                <w:color w:val="auto"/>
              </w:rPr>
            </w:pPr>
            <w:r>
              <w:rPr>
                <w:rFonts w:ascii="Arial" w:cs="Arial" w:eastAsia="Arial" w:hAnsi="Arial"/>
                <w:sz w:val="12"/>
                <w:szCs w:val="12"/>
                <w:color w:val="auto"/>
              </w:rPr>
              <w:t>Inline XBRL Instance Document</w:t>
            </w:r>
          </w:p>
        </w:tc>
        <w:tc>
          <w:tcPr>
            <w:tcW w:w="820" w:type="dxa"/>
            <w:vAlign w:val="bottom"/>
            <w:gridSpan w:val="5"/>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1060" w:type="dxa"/>
            <w:vAlign w:val="bottom"/>
            <w:gridSpan w:val="5"/>
          </w:tcPr>
          <w:p>
            <w:pPr>
              <w:spacing w:after="0"/>
              <w:rPr>
                <w:sz w:val="20"/>
                <w:szCs w:val="20"/>
                <w:color w:val="auto"/>
              </w:rPr>
            </w:pPr>
            <w:r>
              <w:rPr>
                <w:rFonts w:ascii="Arial" w:cs="Arial" w:eastAsia="Arial" w:hAnsi="Arial"/>
                <w:sz w:val="12"/>
                <w:szCs w:val="12"/>
                <w:color w:val="auto"/>
              </w:rPr>
              <w:t>101.SCH</w:t>
            </w:r>
          </w:p>
        </w:tc>
        <w:tc>
          <w:tcPr>
            <w:tcW w:w="4920" w:type="dxa"/>
            <w:vAlign w:val="bottom"/>
            <w:gridSpan w:val="9"/>
          </w:tcPr>
          <w:p>
            <w:pPr>
              <w:spacing w:after="0"/>
              <w:rPr>
                <w:sz w:val="20"/>
                <w:szCs w:val="20"/>
                <w:color w:val="auto"/>
              </w:rPr>
            </w:pPr>
            <w:r>
              <w:rPr>
                <w:rFonts w:ascii="Arial" w:cs="Arial" w:eastAsia="Arial" w:hAnsi="Arial"/>
                <w:sz w:val="12"/>
                <w:szCs w:val="12"/>
                <w:color w:val="auto"/>
              </w:rPr>
              <w:t>Inline XBRL Taxonomy Extension Schema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1060" w:type="dxa"/>
            <w:vAlign w:val="bottom"/>
            <w:gridSpan w:val="5"/>
          </w:tcPr>
          <w:p>
            <w:pPr>
              <w:spacing w:after="0"/>
              <w:rPr>
                <w:sz w:val="20"/>
                <w:szCs w:val="20"/>
                <w:color w:val="auto"/>
              </w:rPr>
            </w:pPr>
            <w:r>
              <w:rPr>
                <w:rFonts w:ascii="Arial" w:cs="Arial" w:eastAsia="Arial" w:hAnsi="Arial"/>
                <w:sz w:val="12"/>
                <w:szCs w:val="12"/>
                <w:color w:val="auto"/>
              </w:rPr>
              <w:t>101.CAL</w:t>
            </w:r>
          </w:p>
        </w:tc>
        <w:tc>
          <w:tcPr>
            <w:tcW w:w="4920" w:type="dxa"/>
            <w:vAlign w:val="bottom"/>
            <w:gridSpan w:val="9"/>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1060" w:type="dxa"/>
            <w:vAlign w:val="bottom"/>
            <w:gridSpan w:val="5"/>
          </w:tcPr>
          <w:p>
            <w:pPr>
              <w:spacing w:after="0"/>
              <w:rPr>
                <w:sz w:val="20"/>
                <w:szCs w:val="20"/>
                <w:color w:val="auto"/>
              </w:rPr>
            </w:pPr>
            <w:r>
              <w:rPr>
                <w:rFonts w:ascii="Arial" w:cs="Arial" w:eastAsia="Arial" w:hAnsi="Arial"/>
                <w:sz w:val="12"/>
                <w:szCs w:val="12"/>
                <w:color w:val="auto"/>
              </w:rPr>
              <w:t>101.DEF</w:t>
            </w:r>
          </w:p>
        </w:tc>
        <w:tc>
          <w:tcPr>
            <w:tcW w:w="4920" w:type="dxa"/>
            <w:vAlign w:val="bottom"/>
            <w:gridSpan w:val="9"/>
          </w:tcPr>
          <w:p>
            <w:pPr>
              <w:spacing w:after="0"/>
              <w:rPr>
                <w:sz w:val="20"/>
                <w:szCs w:val="20"/>
                <w:color w:val="auto"/>
              </w:rPr>
            </w:pPr>
            <w:r>
              <w:rPr>
                <w:rFonts w:ascii="Arial" w:cs="Arial" w:eastAsia="Arial" w:hAnsi="Arial"/>
                <w:sz w:val="12"/>
                <w:szCs w:val="12"/>
                <w:color w:val="auto"/>
              </w:rPr>
              <w:t>Inline XBRL Taxonomy Extension Definition Linkbase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1060" w:type="dxa"/>
            <w:vAlign w:val="bottom"/>
            <w:gridSpan w:val="5"/>
          </w:tcPr>
          <w:p>
            <w:pPr>
              <w:spacing w:after="0"/>
              <w:rPr>
                <w:sz w:val="20"/>
                <w:szCs w:val="20"/>
                <w:color w:val="auto"/>
              </w:rPr>
            </w:pPr>
            <w:r>
              <w:rPr>
                <w:rFonts w:ascii="Arial" w:cs="Arial" w:eastAsia="Arial" w:hAnsi="Arial"/>
                <w:sz w:val="12"/>
                <w:szCs w:val="12"/>
                <w:color w:val="auto"/>
              </w:rPr>
              <w:t>101.LAB</w:t>
            </w:r>
          </w:p>
        </w:tc>
        <w:tc>
          <w:tcPr>
            <w:tcW w:w="4920" w:type="dxa"/>
            <w:vAlign w:val="bottom"/>
            <w:gridSpan w:val="9"/>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53"/>
        </w:trPr>
        <w:tc>
          <w:tcPr>
            <w:tcW w:w="1060" w:type="dxa"/>
            <w:vAlign w:val="bottom"/>
            <w:gridSpan w:val="5"/>
          </w:tcPr>
          <w:p>
            <w:pPr>
              <w:spacing w:after="0"/>
              <w:rPr>
                <w:sz w:val="20"/>
                <w:szCs w:val="20"/>
                <w:color w:val="auto"/>
              </w:rPr>
            </w:pPr>
            <w:r>
              <w:rPr>
                <w:rFonts w:ascii="Arial" w:cs="Arial" w:eastAsia="Arial" w:hAnsi="Arial"/>
                <w:sz w:val="12"/>
                <w:szCs w:val="12"/>
                <w:color w:val="auto"/>
              </w:rPr>
              <w:t>101.PRE</w:t>
            </w:r>
          </w:p>
        </w:tc>
        <w:tc>
          <w:tcPr>
            <w:tcW w:w="4920" w:type="dxa"/>
            <w:vAlign w:val="bottom"/>
            <w:gridSpan w:val="9"/>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center"/>
              <w:ind w:left="22"/>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bl>
    <w:p>
      <w:pPr>
        <w:ind w:left="1060" w:right="5740" w:hanging="1056"/>
        <w:spacing w:after="0" w:line="234" w:lineRule="auto"/>
        <w:tabs>
          <w:tab w:leader="none" w:pos="10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Cover Page Interactive Data File – the cover page XBRL tags are embedded within the Inline Instance XBRL document</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_______________________________________</w:t>
      </w:r>
    </w:p>
    <w:p>
      <w:pPr>
        <w:spacing w:after="0" w:line="73" w:lineRule="exact"/>
        <w:rPr>
          <w:sz w:val="20"/>
          <w:szCs w:val="20"/>
          <w:color w:val="auto"/>
        </w:rPr>
      </w:pPr>
    </w:p>
    <w:p>
      <w:pPr>
        <w:jc w:val="both"/>
        <w:ind w:left="1060" w:right="40" w:hanging="1038"/>
        <w:spacing w:after="0" w:line="224" w:lineRule="auto"/>
        <w:tabs>
          <w:tab w:leader="none" w:pos="10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605155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84" w:name="page85"/>
    <w:bookmarkEnd w:id="84"/>
    <w:p>
      <w:pPr>
        <w:jc w:val="center"/>
        <w:ind w:right="-139"/>
        <w:spacing w:after="0"/>
        <w:rPr>
          <w:sz w:val="20"/>
          <w:szCs w:val="20"/>
          <w:color w:val="auto"/>
        </w:rPr>
      </w:pPr>
      <w:r>
        <w:rPr>
          <w:rFonts w:ascii="Arial" w:cs="Arial" w:eastAsia="Arial" w:hAnsi="Arial"/>
          <w:sz w:val="12"/>
          <w:szCs w:val="12"/>
          <w:color w:val="auto"/>
        </w:rPr>
        <w:t>SIGNATURES</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 in Sunnyvale, California, on the day of December 2, 2021.</w:t>
      </w:r>
    </w:p>
    <w:p>
      <w:pPr>
        <w:spacing w:after="0" w:line="138"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CROWDSTRIKE HOLDINGS, INC.</w:t>
      </w:r>
    </w:p>
    <w:p>
      <w:pPr>
        <w:spacing w:after="0" w:line="55"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9525</wp:posOffset>
            </wp:positionV>
            <wp:extent cx="337756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line="2"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Burt W. Podbere</w:t>
      </w:r>
    </w:p>
    <w:p>
      <w:pPr>
        <w:ind w:left="5980"/>
        <w:spacing w:after="0"/>
        <w:rPr>
          <w:sz w:val="20"/>
          <w:szCs w:val="20"/>
          <w:color w:val="auto"/>
        </w:rPr>
      </w:pPr>
      <w:r>
        <w:rPr>
          <w:rFonts w:ascii="Arial" w:cs="Arial" w:eastAsia="Arial" w:hAnsi="Arial"/>
          <w:sz w:val="12"/>
          <w:szCs w:val="12"/>
          <w:i w:val="1"/>
          <w:iCs w:val="1"/>
          <w:color w:val="auto"/>
        </w:rPr>
        <w:t>Chief Financial Officer (Principal Financial Officer and Principal Accounting Officer)</w:t>
      </w:r>
    </w:p>
    <w:p>
      <w:pPr>
        <w:sectPr>
          <w:pgSz w:w="11900" w:h="16838" w:orient="portrait"/>
          <w:cols w:equalWidth="0" w:num="1">
            <w:col w:w="11140"/>
          </w:cols>
          <w:pgMar w:left="300" w:top="815" w:right="459" w:bottom="1440" w:gutter="0" w:footer="0" w:header="0"/>
        </w:sectPr>
      </w:pPr>
    </w:p>
    <w:bookmarkStart w:id="85" w:name="page86"/>
    <w:bookmarkEnd w:id="85"/>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EXCHANGE ACT RULES 13a-14(a) AND 15d-14(a),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 George Kurtz, certify that:</w:t>
      </w:r>
    </w:p>
    <w:p>
      <w:pPr>
        <w:spacing w:after="0" w:line="150" w:lineRule="exact"/>
        <w:rPr>
          <w:sz w:val="20"/>
          <w:szCs w:val="20"/>
          <w:color w:val="auto"/>
        </w:rPr>
      </w:pPr>
    </w:p>
    <w:p>
      <w:pPr>
        <w:ind w:left="420" w:hanging="212"/>
        <w:spacing w:after="0"/>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CrowdStrike Holdings, Inc.;</w:t>
      </w:r>
    </w:p>
    <w:p>
      <w:pPr>
        <w:spacing w:after="0" w:line="150" w:lineRule="exact"/>
        <w:rPr>
          <w:rFonts w:ascii="Arial" w:cs="Arial" w:eastAsia="Arial" w:hAnsi="Arial"/>
          <w:sz w:val="12"/>
          <w:szCs w:val="12"/>
          <w:color w:val="auto"/>
        </w:rPr>
      </w:pPr>
    </w:p>
    <w:p>
      <w:pPr>
        <w:ind w:left="420" w:right="240" w:hanging="212"/>
        <w:spacing w:after="0" w:line="276" w:lineRule="auto"/>
        <w:tabs>
          <w:tab w:leader="none" w:pos="414" w:val="left"/>
        </w:tabs>
        <w:numPr>
          <w:ilvl w:val="0"/>
          <w:numId w:val="4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0" w:right="100" w:hanging="212"/>
        <w:spacing w:after="0" w:line="276" w:lineRule="auto"/>
        <w:tabs>
          <w:tab w:leader="none" w:pos="414" w:val="left"/>
        </w:tabs>
        <w:numPr>
          <w:ilvl w:val="0"/>
          <w:numId w:val="4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20" w:hanging="212"/>
        <w:spacing w:after="0" w:line="276" w:lineRule="auto"/>
        <w:tabs>
          <w:tab w:leader="none" w:pos="412"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640" w:right="440" w:hanging="216"/>
        <w:spacing w:after="0" w:line="276" w:lineRule="auto"/>
        <w:tabs>
          <w:tab w:leader="none" w:pos="638" w:val="left"/>
        </w:tabs>
        <w:numPr>
          <w:ilvl w:val="1"/>
          <w:numId w:val="4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640" w:right="200" w:hanging="216"/>
        <w:spacing w:after="0" w:line="276" w:lineRule="auto"/>
        <w:tabs>
          <w:tab w:leader="none" w:pos="636" w:val="left"/>
        </w:tabs>
        <w:numPr>
          <w:ilvl w:val="1"/>
          <w:numId w:val="4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640" w:right="240" w:hanging="216"/>
        <w:spacing w:after="0" w:line="276" w:lineRule="auto"/>
        <w:tabs>
          <w:tab w:leader="none" w:pos="638" w:val="left"/>
        </w:tabs>
        <w:numPr>
          <w:ilvl w:val="1"/>
          <w:numId w:val="4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640" w:right="320" w:hanging="216"/>
        <w:spacing w:after="0" w:line="276" w:lineRule="auto"/>
        <w:tabs>
          <w:tab w:leader="none" w:pos="636" w:val="left"/>
        </w:tabs>
        <w:numPr>
          <w:ilvl w:val="1"/>
          <w:numId w:val="4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20" w:right="280" w:hanging="212"/>
        <w:spacing w:after="0" w:line="276" w:lineRule="auto"/>
        <w:tabs>
          <w:tab w:leader="none" w:pos="412"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40" w:right="40" w:hanging="216"/>
        <w:spacing w:after="0" w:line="276" w:lineRule="auto"/>
        <w:tabs>
          <w:tab w:leader="none" w:pos="638" w:val="left"/>
        </w:tabs>
        <w:numPr>
          <w:ilvl w:val="1"/>
          <w:numId w:val="4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1"/>
          <w:numId w:val="4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0"/>
          </w:cols>
          <w:pgMar w:left="300" w:top="784" w:right="299" w:bottom="1440" w:gutter="0" w:footer="0" w:header="0"/>
        </w:sectPr>
      </w:pPr>
    </w:p>
    <w:bookmarkStart w:id="86" w:name="page87"/>
    <w:bookmarkEnd w:id="86"/>
    <w:p>
      <w:pPr>
        <w:spacing w:after="0"/>
        <w:rPr>
          <w:sz w:val="20"/>
          <w:szCs w:val="20"/>
          <w:color w:val="auto"/>
        </w:rPr>
      </w:pPr>
      <w:r>
        <w:rPr>
          <w:rFonts w:ascii="Arial" w:cs="Arial" w:eastAsia="Arial" w:hAnsi="Arial"/>
          <w:sz w:val="12"/>
          <w:szCs w:val="12"/>
          <w:color w:val="auto"/>
        </w:rPr>
        <w:t>Date: December 2, 2021</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CROWDSTRIKE HOLDINGS, INC.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 w:type="dxa"/>
            <w:vAlign w:val="bottom"/>
          </w:tcPr>
          <w:p>
            <w:pPr>
              <w:spacing w:after="0"/>
              <w:rPr>
                <w:sz w:val="20"/>
                <w:szCs w:val="20"/>
                <w:color w:val="auto"/>
              </w:rPr>
            </w:pPr>
            <w:r>
              <w:rPr>
                <w:rFonts w:ascii="Arial" w:cs="Arial" w:eastAsia="Arial" w:hAnsi="Arial"/>
                <w:sz w:val="12"/>
                <w:szCs w:val="12"/>
                <w:color w:val="auto"/>
              </w:rPr>
              <w:t>By:</w:t>
            </w:r>
          </w:p>
        </w:tc>
        <w:tc>
          <w:tcPr>
            <w:tcW w:w="10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George Kurtz</w:t>
            </w:r>
          </w:p>
        </w:tc>
      </w:tr>
      <w:tr>
        <w:trPr>
          <w:trHeight w:val="142"/>
        </w:trPr>
        <w:tc>
          <w:tcPr>
            <w:tcW w:w="86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10440" w:type="dxa"/>
            <w:vAlign w:val="bottom"/>
          </w:tcPr>
          <w:p>
            <w:pPr>
              <w:spacing w:after="0"/>
              <w:rPr>
                <w:sz w:val="20"/>
                <w:szCs w:val="20"/>
                <w:color w:val="auto"/>
              </w:rPr>
            </w:pPr>
            <w:r>
              <w:rPr>
                <w:rFonts w:ascii="Arial" w:cs="Arial" w:eastAsia="Arial" w:hAnsi="Arial"/>
                <w:sz w:val="12"/>
                <w:szCs w:val="12"/>
                <w:color w:val="auto"/>
              </w:rPr>
              <w:t>George Kurtz</w:t>
            </w:r>
          </w:p>
        </w:tc>
      </w:tr>
      <w:tr>
        <w:trPr>
          <w:trHeight w:val="117"/>
        </w:trPr>
        <w:tc>
          <w:tcPr>
            <w:tcW w:w="860" w:type="dxa"/>
            <w:vAlign w:val="bottom"/>
          </w:tcPr>
          <w:p>
            <w:pPr>
              <w:spacing w:after="0" w:line="117" w:lineRule="exact"/>
              <w:rPr>
                <w:sz w:val="20"/>
                <w:szCs w:val="20"/>
                <w:color w:val="auto"/>
              </w:rPr>
            </w:pPr>
            <w:r>
              <w:rPr>
                <w:rFonts w:ascii="Arial" w:cs="Arial" w:eastAsia="Arial" w:hAnsi="Arial"/>
                <w:sz w:val="12"/>
                <w:szCs w:val="12"/>
                <w:color w:val="auto"/>
              </w:rPr>
              <w:t>Title:</w:t>
            </w:r>
          </w:p>
        </w:tc>
        <w:tc>
          <w:tcPr>
            <w:tcW w:w="10440" w:type="dxa"/>
            <w:vAlign w:val="bottom"/>
          </w:tcPr>
          <w:p>
            <w:pPr>
              <w:spacing w:after="0" w:line="117" w:lineRule="exact"/>
              <w:rPr>
                <w:sz w:val="20"/>
                <w:szCs w:val="20"/>
                <w:color w:val="auto"/>
              </w:rPr>
            </w:pPr>
            <w:r>
              <w:rPr>
                <w:rFonts w:ascii="Arial" w:cs="Arial" w:eastAsia="Arial" w:hAnsi="Arial"/>
                <w:sz w:val="12"/>
                <w:szCs w:val="12"/>
                <w:color w:val="auto"/>
              </w:rPr>
              <w:t>President, Chief Executive Officer, and Director</w:t>
            </w:r>
          </w:p>
        </w:tc>
      </w:tr>
      <w:tr>
        <w:trPr>
          <w:trHeight w:val="153"/>
        </w:trPr>
        <w:tc>
          <w:tcPr>
            <w:tcW w:w="860" w:type="dxa"/>
            <w:vAlign w:val="bottom"/>
          </w:tcPr>
          <w:p>
            <w:pPr>
              <w:spacing w:after="0"/>
              <w:rPr>
                <w:sz w:val="13"/>
                <w:szCs w:val="13"/>
                <w:color w:val="auto"/>
              </w:rPr>
            </w:pPr>
          </w:p>
        </w:tc>
        <w:tc>
          <w:tcPr>
            <w:tcW w:w="10440" w:type="dxa"/>
            <w:vAlign w:val="bottom"/>
          </w:tcPr>
          <w:p>
            <w:pPr>
              <w:spacing w:after="0"/>
              <w:rPr>
                <w:sz w:val="20"/>
                <w:szCs w:val="20"/>
                <w:color w:val="auto"/>
              </w:rPr>
            </w:pPr>
            <w:r>
              <w:rPr>
                <w:rFonts w:ascii="Arial" w:cs="Arial" w:eastAsia="Arial" w:hAnsi="Arial"/>
                <w:sz w:val="12"/>
                <w:szCs w:val="12"/>
                <w:color w:val="auto"/>
              </w:rPr>
              <w:t>(Principal Executive Officer)</w:t>
            </w:r>
          </w:p>
        </w:tc>
      </w:tr>
    </w:tbl>
    <w:p>
      <w:pPr>
        <w:sectPr>
          <w:pgSz w:w="11900" w:h="16838" w:orient="portrait"/>
          <w:cols w:equalWidth="0" w:num="1">
            <w:col w:w="11300"/>
          </w:cols>
          <w:pgMar w:left="300" w:top="788" w:right="299" w:bottom="1440" w:gutter="0" w:footer="0" w:header="0"/>
        </w:sectPr>
      </w:pPr>
    </w:p>
    <w:bookmarkStart w:id="87" w:name="page88"/>
    <w:bookmarkEnd w:id="87"/>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EXCHANGE ACT RULES 13a-14(a) AND 15d-14(a),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 Burt W. Podbere, certify that:</w:t>
      </w:r>
    </w:p>
    <w:p>
      <w:pPr>
        <w:spacing w:after="0" w:line="150" w:lineRule="exact"/>
        <w:rPr>
          <w:sz w:val="20"/>
          <w:szCs w:val="20"/>
          <w:color w:val="auto"/>
        </w:rPr>
      </w:pPr>
    </w:p>
    <w:p>
      <w:pPr>
        <w:ind w:left="420" w:hanging="212"/>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CrowdStrike Holdings, Inc.;</w:t>
      </w:r>
    </w:p>
    <w:p>
      <w:pPr>
        <w:spacing w:after="0" w:line="150"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0" w:right="80" w:hanging="212"/>
        <w:spacing w:after="0" w:line="276" w:lineRule="auto"/>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20" w:right="440" w:hanging="212"/>
        <w:spacing w:after="0" w:line="276" w:lineRule="auto"/>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640" w:right="440" w:hanging="216"/>
        <w:spacing w:after="0" w:line="276" w:lineRule="auto"/>
        <w:tabs>
          <w:tab w:leader="none" w:pos="638" w:val="left"/>
        </w:tabs>
        <w:numPr>
          <w:ilvl w:val="1"/>
          <w:numId w:val="5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640" w:right="200" w:hanging="216"/>
        <w:spacing w:after="0" w:line="276" w:lineRule="auto"/>
        <w:tabs>
          <w:tab w:leader="none" w:pos="636" w:val="left"/>
        </w:tabs>
        <w:numPr>
          <w:ilvl w:val="1"/>
          <w:numId w:val="5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640" w:right="240" w:hanging="216"/>
        <w:spacing w:after="0" w:line="276" w:lineRule="auto"/>
        <w:tabs>
          <w:tab w:leader="none" w:pos="638" w:val="left"/>
        </w:tabs>
        <w:numPr>
          <w:ilvl w:val="1"/>
          <w:numId w:val="5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640" w:right="320" w:hanging="216"/>
        <w:spacing w:after="0" w:line="276" w:lineRule="auto"/>
        <w:tabs>
          <w:tab w:leader="none" w:pos="636" w:val="left"/>
        </w:tabs>
        <w:numPr>
          <w:ilvl w:val="1"/>
          <w:numId w:val="5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20" w:right="260" w:hanging="212"/>
        <w:spacing w:after="0" w:line="276" w:lineRule="auto"/>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40" w:right="40" w:hanging="216"/>
        <w:spacing w:after="0" w:line="276" w:lineRule="auto"/>
        <w:tabs>
          <w:tab w:leader="none" w:pos="638" w:val="left"/>
        </w:tabs>
        <w:numPr>
          <w:ilvl w:val="1"/>
          <w:numId w:val="5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1"/>
          <w:numId w:val="5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0"/>
          </w:cols>
          <w:pgMar w:left="300" w:top="667" w:right="299" w:bottom="1440" w:gutter="0" w:footer="0" w:header="0"/>
        </w:sectPr>
      </w:pPr>
    </w:p>
    <w:bookmarkStart w:id="88" w:name="page89"/>
    <w:bookmarkEnd w:id="88"/>
    <w:p>
      <w:pPr>
        <w:spacing w:after="0"/>
        <w:rPr>
          <w:sz w:val="20"/>
          <w:szCs w:val="20"/>
          <w:color w:val="auto"/>
        </w:rPr>
      </w:pPr>
      <w:r>
        <w:rPr>
          <w:rFonts w:ascii="Arial" w:cs="Arial" w:eastAsia="Arial" w:hAnsi="Arial"/>
          <w:sz w:val="12"/>
          <w:szCs w:val="12"/>
          <w:color w:val="auto"/>
        </w:rPr>
        <w:t>Date: December 2, 2021</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CROWDSTRIKE HOLDINGS, INC.</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 w:type="dxa"/>
            <w:vAlign w:val="bottom"/>
          </w:tcPr>
          <w:p>
            <w:pPr>
              <w:spacing w:after="0"/>
              <w:rPr>
                <w:sz w:val="20"/>
                <w:szCs w:val="20"/>
                <w:color w:val="auto"/>
              </w:rPr>
            </w:pPr>
            <w:r>
              <w:rPr>
                <w:rFonts w:ascii="Arial" w:cs="Arial" w:eastAsia="Arial" w:hAnsi="Arial"/>
                <w:sz w:val="12"/>
                <w:szCs w:val="12"/>
                <w:color w:val="auto"/>
              </w:rPr>
              <w:t>By:</w:t>
            </w:r>
          </w:p>
        </w:tc>
        <w:tc>
          <w:tcPr>
            <w:tcW w:w="10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Burt W. Podbere</w:t>
            </w:r>
          </w:p>
        </w:tc>
      </w:tr>
      <w:tr>
        <w:trPr>
          <w:trHeight w:val="142"/>
        </w:trPr>
        <w:tc>
          <w:tcPr>
            <w:tcW w:w="860" w:type="dxa"/>
            <w:vAlign w:val="bottom"/>
          </w:tcPr>
          <w:p>
            <w:pPr>
              <w:spacing w:after="0"/>
              <w:rPr>
                <w:sz w:val="20"/>
                <w:szCs w:val="20"/>
                <w:color w:val="auto"/>
              </w:rPr>
            </w:pPr>
            <w:r>
              <w:rPr>
                <w:rFonts w:ascii="Arial" w:cs="Arial" w:eastAsia="Arial" w:hAnsi="Arial"/>
                <w:sz w:val="12"/>
                <w:szCs w:val="12"/>
                <w:color w:val="auto"/>
              </w:rPr>
              <w:t>Name:</w:t>
            </w:r>
          </w:p>
        </w:tc>
        <w:tc>
          <w:tcPr>
            <w:tcW w:w="10440" w:type="dxa"/>
            <w:vAlign w:val="bottom"/>
          </w:tcPr>
          <w:p>
            <w:pPr>
              <w:spacing w:after="0"/>
              <w:rPr>
                <w:sz w:val="20"/>
                <w:szCs w:val="20"/>
                <w:color w:val="auto"/>
              </w:rPr>
            </w:pPr>
            <w:r>
              <w:rPr>
                <w:rFonts w:ascii="Arial" w:cs="Arial" w:eastAsia="Arial" w:hAnsi="Arial"/>
                <w:sz w:val="12"/>
                <w:szCs w:val="12"/>
                <w:color w:val="auto"/>
              </w:rPr>
              <w:t>Burt W. Podbere</w:t>
            </w:r>
          </w:p>
        </w:tc>
      </w:tr>
      <w:tr>
        <w:trPr>
          <w:trHeight w:val="153"/>
        </w:trPr>
        <w:tc>
          <w:tcPr>
            <w:tcW w:w="860" w:type="dxa"/>
            <w:vAlign w:val="bottom"/>
          </w:tcPr>
          <w:p>
            <w:pPr>
              <w:spacing w:after="0"/>
              <w:rPr>
                <w:sz w:val="20"/>
                <w:szCs w:val="20"/>
                <w:color w:val="auto"/>
              </w:rPr>
            </w:pPr>
            <w:r>
              <w:rPr>
                <w:rFonts w:ascii="Arial" w:cs="Arial" w:eastAsia="Arial" w:hAnsi="Arial"/>
                <w:sz w:val="12"/>
                <w:szCs w:val="12"/>
                <w:color w:val="auto"/>
              </w:rPr>
              <w:t>Title:</w:t>
            </w:r>
          </w:p>
        </w:tc>
        <w:tc>
          <w:tcPr>
            <w:tcW w:w="10440" w:type="dxa"/>
            <w:vAlign w:val="bottom"/>
          </w:tcPr>
          <w:p>
            <w:pPr>
              <w:spacing w:after="0"/>
              <w:rPr>
                <w:sz w:val="20"/>
                <w:szCs w:val="20"/>
                <w:color w:val="auto"/>
              </w:rPr>
            </w:pPr>
            <w:r>
              <w:rPr>
                <w:rFonts w:ascii="Arial" w:cs="Arial" w:eastAsia="Arial" w:hAnsi="Arial"/>
                <w:sz w:val="12"/>
                <w:szCs w:val="12"/>
                <w:color w:val="auto"/>
              </w:rPr>
              <w:t>Chief Financial Officer (Principal Financial Officer and Principal Accounting Officer)</w:t>
            </w:r>
          </w:p>
        </w:tc>
      </w:tr>
    </w:tbl>
    <w:p>
      <w:pPr>
        <w:sectPr>
          <w:pgSz w:w="11900" w:h="16838" w:orient="portrait"/>
          <w:cols w:equalWidth="0" w:num="1">
            <w:col w:w="11300"/>
          </w:cols>
          <w:pgMar w:left="300" w:top="815" w:right="299" w:bottom="1440" w:gutter="0" w:footer="0" w:header="0"/>
        </w:sectPr>
      </w:pPr>
    </w:p>
    <w:bookmarkStart w:id="89" w:name="page90"/>
    <w:bookmarkEnd w:id="89"/>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EXECUTIVE OFFICER AND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 OF THE SARBANES-OXLEY ACT OF 2002</w:t>
      </w:r>
    </w:p>
    <w:p>
      <w:pPr>
        <w:spacing w:after="0" w:line="14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October 31, 2021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Date: December 2, 2021</w:t>
      </w:r>
    </w:p>
    <w:p>
      <w:pPr>
        <w:spacing w:after="0" w:line="15" w:lineRule="exact"/>
        <w:rPr>
          <w:sz w:val="20"/>
          <w:szCs w:val="20"/>
          <w:color w:val="auto"/>
        </w:rPr>
      </w:pPr>
    </w:p>
    <w:tbl>
      <w:tblPr>
        <w:tblLayout w:type="fixed"/>
        <w:tblInd w:w="6780" w:type="dxa"/>
        <w:tblCellMar>
          <w:top w:w="0" w:type="dxa"/>
          <w:left w:w="0" w:type="dxa"/>
          <w:bottom w:w="0" w:type="dxa"/>
          <w:right w:w="0" w:type="dxa"/>
        </w:tblCellMar>
      </w:tblP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George Kurtz</w:t>
            </w:r>
          </w:p>
        </w:tc>
      </w:tr>
      <w:tr>
        <w:trPr>
          <w:trHeight w:val="142"/>
        </w:trPr>
        <w:tc>
          <w:tcPr>
            <w:tcW w:w="760" w:type="dxa"/>
            <w:vAlign w:val="bottom"/>
          </w:tcPr>
          <w:p>
            <w:pPr>
              <w:spacing w:after="0"/>
              <w:rPr>
                <w:sz w:val="20"/>
                <w:szCs w:val="20"/>
                <w:color w:val="auto"/>
              </w:rPr>
            </w:pPr>
            <w:r>
              <w:rPr>
                <w:rFonts w:ascii="Arial" w:cs="Arial" w:eastAsia="Arial" w:hAnsi="Arial"/>
                <w:sz w:val="12"/>
                <w:szCs w:val="12"/>
                <w:color w:val="auto"/>
              </w:rPr>
              <w:t>Name:</w:t>
            </w:r>
          </w:p>
        </w:tc>
        <w:tc>
          <w:tcPr>
            <w:tcW w:w="3740" w:type="dxa"/>
            <w:vAlign w:val="bottom"/>
          </w:tcPr>
          <w:p>
            <w:pPr>
              <w:spacing w:after="0"/>
              <w:rPr>
                <w:sz w:val="20"/>
                <w:szCs w:val="20"/>
                <w:color w:val="auto"/>
              </w:rPr>
            </w:pPr>
            <w:r>
              <w:rPr>
                <w:rFonts w:ascii="Arial" w:cs="Arial" w:eastAsia="Arial" w:hAnsi="Arial"/>
                <w:sz w:val="12"/>
                <w:szCs w:val="12"/>
                <w:color w:val="auto"/>
              </w:rPr>
              <w:t>George Kurtz</w:t>
            </w:r>
          </w:p>
        </w:tc>
      </w:tr>
      <w:tr>
        <w:trPr>
          <w:trHeight w:val="117"/>
        </w:trPr>
        <w:tc>
          <w:tcPr>
            <w:tcW w:w="760" w:type="dxa"/>
            <w:vAlign w:val="bottom"/>
          </w:tcPr>
          <w:p>
            <w:pPr>
              <w:spacing w:after="0" w:line="117" w:lineRule="exact"/>
              <w:rPr>
                <w:sz w:val="20"/>
                <w:szCs w:val="20"/>
                <w:color w:val="auto"/>
              </w:rPr>
            </w:pPr>
            <w:r>
              <w:rPr>
                <w:rFonts w:ascii="Arial" w:cs="Arial" w:eastAsia="Arial" w:hAnsi="Arial"/>
                <w:sz w:val="12"/>
                <w:szCs w:val="12"/>
                <w:color w:val="auto"/>
              </w:rPr>
              <w:t>Title:</w:t>
            </w:r>
          </w:p>
        </w:tc>
        <w:tc>
          <w:tcPr>
            <w:tcW w:w="3740" w:type="dxa"/>
            <w:vAlign w:val="bottom"/>
          </w:tcPr>
          <w:p>
            <w:pPr>
              <w:spacing w:after="0" w:line="117" w:lineRule="exact"/>
              <w:rPr>
                <w:sz w:val="20"/>
                <w:szCs w:val="20"/>
                <w:color w:val="auto"/>
              </w:rPr>
            </w:pPr>
            <w:r>
              <w:rPr>
                <w:rFonts w:ascii="Arial" w:cs="Arial" w:eastAsia="Arial" w:hAnsi="Arial"/>
                <w:sz w:val="12"/>
                <w:szCs w:val="12"/>
                <w:color w:val="auto"/>
              </w:rPr>
              <w:t>President, Chief Executive Officer, and Director</w:t>
            </w:r>
          </w:p>
        </w:tc>
      </w:tr>
      <w:tr>
        <w:trPr>
          <w:trHeight w:val="153"/>
        </w:trPr>
        <w:tc>
          <w:tcPr>
            <w:tcW w:w="76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2"/>
                <w:szCs w:val="12"/>
                <w:color w:val="auto"/>
              </w:rPr>
              <w:t>(Principal Executive Officer)</w:t>
            </w:r>
          </w:p>
        </w:tc>
      </w:tr>
    </w:tbl>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October 31, 2021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Date: December 2, 2021</w:t>
      </w:r>
    </w:p>
    <w:p>
      <w:pPr>
        <w:spacing w:after="0" w:line="15" w:lineRule="exact"/>
        <w:rPr>
          <w:sz w:val="20"/>
          <w:szCs w:val="20"/>
          <w:color w:val="auto"/>
        </w:rPr>
      </w:pPr>
    </w:p>
    <w:tbl>
      <w:tblPr>
        <w:tblLayout w:type="fixed"/>
        <w:tblInd w:w="6780" w:type="dxa"/>
        <w:tblCellMar>
          <w:top w:w="0" w:type="dxa"/>
          <w:left w:w="0" w:type="dxa"/>
          <w:bottom w:w="0" w:type="dxa"/>
          <w:right w:w="0" w:type="dxa"/>
        </w:tblCellMar>
      </w:tblP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Burt W. Podbere</w:t>
            </w:r>
          </w:p>
        </w:tc>
        <w:tc>
          <w:tcPr>
            <w:tcW w:w="0" w:type="dxa"/>
            <w:vAlign w:val="bottom"/>
          </w:tcPr>
          <w:p>
            <w:pPr>
              <w:spacing w:after="0"/>
              <w:rPr>
                <w:sz w:val="1"/>
                <w:szCs w:val="1"/>
                <w:color w:val="auto"/>
              </w:rPr>
            </w:pPr>
          </w:p>
        </w:tc>
      </w:tr>
      <w:tr>
        <w:trPr>
          <w:trHeight w:val="142"/>
        </w:trPr>
        <w:tc>
          <w:tcPr>
            <w:tcW w:w="760" w:type="dxa"/>
            <w:vAlign w:val="bottom"/>
          </w:tcPr>
          <w:p>
            <w:pPr>
              <w:spacing w:after="0"/>
              <w:rPr>
                <w:sz w:val="20"/>
                <w:szCs w:val="20"/>
                <w:color w:val="auto"/>
              </w:rPr>
            </w:pPr>
            <w:r>
              <w:rPr>
                <w:rFonts w:ascii="Arial" w:cs="Arial" w:eastAsia="Arial" w:hAnsi="Arial"/>
                <w:sz w:val="12"/>
                <w:szCs w:val="12"/>
                <w:color w:val="auto"/>
              </w:rPr>
              <w:t>Name:</w:t>
            </w:r>
          </w:p>
        </w:tc>
        <w:tc>
          <w:tcPr>
            <w:tcW w:w="3740" w:type="dxa"/>
            <w:vAlign w:val="bottom"/>
          </w:tcPr>
          <w:p>
            <w:pPr>
              <w:spacing w:after="0"/>
              <w:rPr>
                <w:sz w:val="20"/>
                <w:szCs w:val="20"/>
                <w:color w:val="auto"/>
              </w:rPr>
            </w:pPr>
            <w:r>
              <w:rPr>
                <w:rFonts w:ascii="Arial" w:cs="Arial" w:eastAsia="Arial" w:hAnsi="Arial"/>
                <w:sz w:val="12"/>
                <w:szCs w:val="12"/>
                <w:color w:val="auto"/>
              </w:rPr>
              <w:t>Burt W. Podbere</w:t>
            </w:r>
          </w:p>
        </w:tc>
        <w:tc>
          <w:tcPr>
            <w:tcW w:w="0" w:type="dxa"/>
            <w:vAlign w:val="bottom"/>
          </w:tcPr>
          <w:p>
            <w:pPr>
              <w:spacing w:after="0"/>
              <w:rPr>
                <w:sz w:val="1"/>
                <w:szCs w:val="1"/>
                <w:color w:val="auto"/>
              </w:rPr>
            </w:pPr>
          </w:p>
        </w:tc>
      </w:tr>
      <w:tr>
        <w:trPr>
          <w:trHeight w:val="117"/>
        </w:trPr>
        <w:tc>
          <w:tcPr>
            <w:tcW w:w="760" w:type="dxa"/>
            <w:vAlign w:val="bottom"/>
            <w:vMerge w:val="restart"/>
          </w:tcPr>
          <w:p>
            <w:pPr>
              <w:spacing w:after="0"/>
              <w:rPr>
                <w:sz w:val="20"/>
                <w:szCs w:val="20"/>
                <w:color w:val="auto"/>
              </w:rPr>
            </w:pPr>
            <w:r>
              <w:rPr>
                <w:rFonts w:ascii="Arial" w:cs="Arial" w:eastAsia="Arial" w:hAnsi="Arial"/>
                <w:sz w:val="12"/>
                <w:szCs w:val="12"/>
                <w:color w:val="auto"/>
              </w:rPr>
              <w:t>Title:</w:t>
            </w:r>
          </w:p>
        </w:tc>
        <w:tc>
          <w:tcPr>
            <w:tcW w:w="3740" w:type="dxa"/>
            <w:vAlign w:val="bottom"/>
          </w:tcPr>
          <w:p>
            <w:pPr>
              <w:spacing w:after="0" w:line="117" w:lineRule="exact"/>
              <w:rPr>
                <w:sz w:val="20"/>
                <w:szCs w:val="20"/>
                <w:color w:val="auto"/>
              </w:rPr>
            </w:pPr>
            <w:r>
              <w:rPr>
                <w:rFonts w:ascii="Arial" w:cs="Arial" w:eastAsia="Arial" w:hAnsi="Arial"/>
                <w:sz w:val="12"/>
                <w:szCs w:val="12"/>
                <w:color w:val="auto"/>
              </w:rPr>
              <w:t>Chief Financial Officer</w:t>
            </w:r>
          </w:p>
        </w:tc>
        <w:tc>
          <w:tcPr>
            <w:tcW w:w="0" w:type="dxa"/>
            <w:vAlign w:val="bottom"/>
          </w:tcPr>
          <w:p>
            <w:pPr>
              <w:spacing w:after="0"/>
              <w:rPr>
                <w:sz w:val="1"/>
                <w:szCs w:val="1"/>
                <w:color w:val="auto"/>
              </w:rPr>
            </w:pPr>
          </w:p>
        </w:tc>
      </w:tr>
      <w:tr>
        <w:trPr>
          <w:trHeight w:val="153"/>
        </w:trPr>
        <w:tc>
          <w:tcPr>
            <w:tcW w:w="760" w:type="dxa"/>
            <w:vAlign w:val="bottom"/>
            <w:vMerge w:val="continue"/>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2"/>
                <w:szCs w:val="12"/>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2"/>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3"/>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7"/>
    </w:lvl>
  </w:abstractNum>
  <w:abstractNum w:abstractNumId="12">
    <w:nsid w:val="737B8DDC"/>
    <w:multiLevelType w:val="hybridMultilevel"/>
    <w:lvl w:ilvl="0">
      <w:lvlJc w:val="left"/>
      <w:lvlText w:val="%1."/>
      <w:numFmt w:val="decimal"/>
      <w:start w:val="8"/>
    </w:lvl>
  </w:abstractNum>
  <w:abstractNum w:abstractNumId="13">
    <w:nsid w:val="6CEAF087"/>
    <w:multiLevelType w:val="hybridMultilevel"/>
    <w:lvl w:ilvl="0">
      <w:lvlJc w:val="left"/>
      <w:lvlText w:val="(%1)"/>
      <w:numFmt w:val="lowerRoman"/>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9"/>
    </w:lvl>
  </w:abstractNum>
  <w:abstractNum w:abstractNumId="16">
    <w:nsid w:val="3006C83E"/>
    <w:multiLevelType w:val="hybridMultilevel"/>
    <w:lvl w:ilvl="0">
      <w:lvlJc w:val="left"/>
      <w:lvlText w:val="%1."/>
      <w:numFmt w:val="decimal"/>
      <w:start w:val="10"/>
    </w:lvl>
  </w:abstractNum>
  <w:abstractNum w:abstractNumId="17">
    <w:nsid w:val="614FD4A1"/>
    <w:multiLevelType w:val="hybridMultilevel"/>
    <w:lvl w:ilvl="0">
      <w:lvlJc w:val="left"/>
      <w:lvlText w:val="%1."/>
      <w:numFmt w:val="decimal"/>
      <w:start w:val="12"/>
    </w:lvl>
  </w:abstractNum>
  <w:abstractNum w:abstractNumId="18">
    <w:nsid w:val="419AC241"/>
    <w:multiLevelType w:val="hybridMultilevel"/>
    <w:lvl w:ilvl="0">
      <w:lvlJc w:val="left"/>
      <w:lvlText w:val="%1."/>
      <w:numFmt w:val="decimal"/>
      <w:start w:val="14"/>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2"/>
    </w:lvl>
  </w:abstractNum>
  <w:abstractNum w:abstractNumId="21">
    <w:nsid w:val="5072367"/>
    <w:multiLevelType w:val="hybridMultilevel"/>
    <w:lvl w:ilvl="0">
      <w:lvlJc w:val="left"/>
      <w:lvlText w:val="(%1)"/>
      <w:numFmt w:val="decimal"/>
      <w:start w:val="3"/>
    </w:lvl>
  </w:abstractNum>
  <w:abstractNum w:abstractNumId="22">
    <w:nsid w:val="3804823E"/>
    <w:multiLevelType w:val="hybridMultilevel"/>
    <w:lvl w:ilvl="0">
      <w:lvlJc w:val="left"/>
      <w:lvlText w:val="(%1)"/>
      <w:numFmt w:val="decimal"/>
      <w:start w:val="4"/>
    </w:lvl>
  </w:abstractNum>
  <w:abstractNum w:abstractNumId="23">
    <w:nsid w:val="77465F01"/>
    <w:multiLevelType w:val="hybridMultilevel"/>
    <w:lvl w:ilvl="0">
      <w:lvlJc w:val="left"/>
      <w:lvlText w:val="(%1)"/>
      <w:numFmt w:val="decimal"/>
      <w:start w:val="5"/>
    </w:lvl>
  </w:abstractNum>
  <w:abstractNum w:abstractNumId="24">
    <w:nsid w:val="7724C67E"/>
    <w:multiLevelType w:val="hybridMultilevel"/>
    <w:lvl w:ilvl="0">
      <w:lvlJc w:val="left"/>
      <w:lvlText w:val="(%1)"/>
      <w:numFmt w:val="decimal"/>
      <w:start w:val="6"/>
    </w:lvl>
  </w:abstractNum>
  <w:abstractNum w:abstractNumId="25">
    <w:nsid w:val="5C482A97"/>
    <w:multiLevelType w:val="hybridMultilevel"/>
    <w:lvl w:ilvl="0">
      <w:lvlJc w:val="left"/>
      <w:lvlText w:val="(%1)"/>
      <w:numFmt w:val="decimal"/>
      <w:start w:val="7"/>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2"/>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04"/>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06" Type="http://schemas.openxmlformats.org/officeDocument/2006/relationships/hyperlink" Target="http://www.sec.gov/Archives/edgar/data/1535527/000110465919035685/a19-11597_1ex3d1.htm" TargetMode="External"/><Relationship Id="rId107" Type="http://schemas.openxmlformats.org/officeDocument/2006/relationships/hyperlink" Target="http://www.sec.gov/Archives/edgar/data/1535527/000110465919035685/a19-11597_1ex3d2.htm" TargetMode="External"/><Relationship Id="rId108" Type="http://schemas.openxmlformats.org/officeDocument/2006/relationships/hyperlink" Target="http://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2021-12-02T15:16:27Z</dcterms:created>
  <dcterms:modified xsi:type="dcterms:W3CDTF">2021-12-02T15:16:27Z</dcterms:modified>
</cp:coreProperties>
</file>