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514190d1_8k.htm"/>
      <w:bookmarkStart w:id="1" w:name="kstm2514190d1_8k"/>
      <w:bookmarkEnd w:id="0"/>
      <w:bookmarkEnd w:id="1"/>
      <w:r>
        <w:rPr>
          <w:bdr w:val="single" w:sz="16" w:space="1" w:color="000000"/>
        </w:rPr>
        <w:t> </w:t>
      </w:r>
    </w:p>
    <w:p>
      <w:pPr>
        <w:pStyle w:val="TextBody"/>
        <w:bidi w:val="0"/>
        <w:jc w:val="center"/>
        <w:rPr/>
      </w:pPr>
      <w:r>
        <w:rPr/>
        <w:t> </w:t>
      </w:r>
    </w:p>
    <w:p>
      <w:pPr>
        <w:pStyle w:val="TextBody"/>
        <w:bidi w:val="0"/>
        <w:jc w:val="center"/>
        <w:rPr/>
      </w:pPr>
      <w:r>
        <w:rPr>
          <w:b/>
          <w:sz w:val="28"/>
        </w:rPr>
        <w:t>UNITED STATES</w:t>
        <w:br/>
        <w:t>SECURITIES AND EXCHANGE COMMISSION</w:t>
        <w:br/>
      </w:r>
      <w:r>
        <w:rPr>
          <w:b/>
        </w:rPr>
        <w:t>WASHINGTON, D.C. 20549</w:t>
      </w:r>
      <w:r>
        <w:rPr/>
        <w:t> </w:t>
      </w:r>
    </w:p>
    <w:p>
      <w:pPr>
        <w:pStyle w:val="TextBody"/>
        <w:bidi w:val="0"/>
        <w:spacing w:before="0" w:after="0"/>
        <w:ind w:left="3600" w:right="360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3600" w:right="3600" w:hanging="0"/>
        <w:jc w:val="center"/>
        <w:rPr>
          <w:caps w:val="false"/>
          <w:smallCaps w:val="false"/>
        </w:rPr>
      </w:pPr>
      <w:r>
        <w:rPr>
          <w:caps w:val="false"/>
          <w:smallCaps w:val="false"/>
        </w:rPr>
        <w:t> </w:t>
      </w:r>
    </w:p>
    <w:p>
      <w:pPr>
        <w:pStyle w:val="TextBody"/>
        <w:bidi w:val="0"/>
        <w:spacing w:before="0" w:after="0"/>
        <w:ind w:left="3600" w:right="360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3_edei--DocumentType_c20250506__20"/>
      <w:bookmarkEnd w:id="2"/>
      <w:r>
        <w:rPr>
          <w:rFonts w:ascii="Times New Roman;Times;Serif" w:hAnsi="Times New Roman;Times;Serif"/>
          <w:b/>
          <w:i w:val="false"/>
          <w:caps w:val="false"/>
          <w:smallCaps w:val="false"/>
          <w:sz w:val="28"/>
        </w:rPr>
        <w:t>8-K</w:t>
      </w:r>
    </w:p>
    <w:p>
      <w:pPr>
        <w:pStyle w:val="TextBody"/>
        <w:bidi w:val="0"/>
        <w:spacing w:before="0" w:after="0"/>
        <w:ind w:left="3600" w:right="360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3600" w:right="360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May 6,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E_edei--EntityRegistrantName_c2025"/>
      <w:bookmarkEnd w:id="4"/>
      <w:r>
        <w:rPr>
          <w:rFonts w:ascii="Times New Roman;Times;Serif" w:hAnsi="Times New Roman;Times;Serif"/>
          <w:b/>
          <w:i w:val="false"/>
          <w:caps w:val="false"/>
          <w:smallCaps w:val="false"/>
          <w:sz w:val="36"/>
        </w:rPr>
        <w:t>CrowdStrike Holdings, Inc.</w:t>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890" w:type="dxa"/>
        <w:jc w:val="left"/>
        <w:tblInd w:w="0" w:type="dxa"/>
        <w:tblLayout w:type="fixed"/>
        <w:tblCellMar>
          <w:top w:w="0" w:type="dxa"/>
          <w:left w:w="0" w:type="dxa"/>
          <w:bottom w:w="0" w:type="dxa"/>
          <w:right w:w="0" w:type="dxa"/>
        </w:tblCellMar>
      </w:tblPr>
      <w:tblGrid>
        <w:gridCol w:w="2210"/>
        <w:gridCol w:w="1145"/>
        <w:gridCol w:w="1535"/>
      </w:tblGrid>
      <w:tr>
        <w:trPr/>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Delaware</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50506"/>
            <w:bookmarkEnd w:id="6"/>
            <w:r>
              <w:rPr>
                <w:rFonts w:ascii="Times New Roman;Times;Serif" w:hAnsi="Times New Roman;Times;Serif"/>
                <w:b/>
                <w:i w:val="false"/>
                <w:caps w:val="false"/>
                <w:smallCaps w:val="false"/>
                <w:sz w:val="20"/>
              </w:rPr>
              <w:t>001-38933</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45-3788918</w:t>
            </w:r>
          </w:p>
        </w:tc>
      </w:tr>
      <w:tr>
        <w:trPr/>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w:t>
              <w:br/>
              <w:t>File Number)</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4_edei--EntityAddressAddressLine1_"/>
      <w:bookmarkEnd w:id="8"/>
      <w:r>
        <w:rPr>
          <w:rFonts w:ascii="Times New Roman;Times;Serif" w:hAnsi="Times New Roman;Times;Serif"/>
          <w:b w:val="false"/>
          <w:i w:val="false"/>
          <w:caps w:val="false"/>
          <w:smallCaps w:val="false"/>
          <w:sz w:val="20"/>
        </w:rPr>
        <w:t>206 E. 9th Street</w:t>
        <w:br/>
      </w:r>
      <w:bookmarkStart w:id="9" w:name="xdx_900_edei--EntityAddressAddressLine2_"/>
      <w:bookmarkEnd w:id="9"/>
      <w:r>
        <w:rPr>
          <w:rFonts w:ascii="Times New Roman;Times;Serif" w:hAnsi="Times New Roman;Times;Serif"/>
          <w:b w:val="false"/>
          <w:i w:val="false"/>
          <w:caps w:val="false"/>
          <w:smallCaps w:val="false"/>
          <w:sz w:val="20"/>
        </w:rPr>
        <w:t>Suite 1400</w:t>
        <w:br/>
      </w:r>
      <w:bookmarkStart w:id="10" w:name="xdx_90C_edei--EntityAddressCityOrTown_c2"/>
      <w:bookmarkEnd w:id="10"/>
      <w:r>
        <w:rPr>
          <w:rFonts w:ascii="Times New Roman;Times;Serif" w:hAnsi="Times New Roman;Times;Serif"/>
          <w:b w:val="false"/>
          <w:i w:val="false"/>
          <w:caps w:val="false"/>
          <w:smallCaps w:val="false"/>
          <w:sz w:val="20"/>
        </w:rPr>
        <w:t xml:space="preserve">Austin, </w:t>
      </w:r>
      <w:bookmarkStart w:id="11" w:name="xdx_90B_edei--EntityAddressStateOrProvin"/>
      <w:bookmarkEnd w:id="11"/>
      <w:r>
        <w:rPr>
          <w:rFonts w:ascii="Times New Roman;Times;Serif" w:hAnsi="Times New Roman;Times;Serif"/>
          <w:b w:val="false"/>
          <w:i w:val="false"/>
          <w:caps w:val="false"/>
          <w:smallCaps w:val="false"/>
          <w:sz w:val="20"/>
        </w:rPr>
        <w:t xml:space="preserve">Texas </w:t>
      </w:r>
      <w:bookmarkStart w:id="12" w:name="xdx_90C_edei--EntityAddressPostalZipCode"/>
      <w:bookmarkEnd w:id="12"/>
      <w:r>
        <w:rPr>
          <w:rFonts w:ascii="Times New Roman;Times;Serif" w:hAnsi="Times New Roman;Times;Serif"/>
          <w:b w:val="false"/>
          <w:i w:val="false"/>
          <w:caps w:val="false"/>
          <w:smallCaps w:val="false"/>
          <w:sz w:val="20"/>
        </w:rPr>
        <w:t>78701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E_edei--CityAreaCode_c20250506__20"/>
      <w:bookmarkEnd w:id="13"/>
      <w:r>
        <w:rPr>
          <w:rFonts w:ascii="Times New Roman;Times;Serif" w:hAnsi="Times New Roman;Times;Serif"/>
          <w:b/>
          <w:i w:val="false"/>
          <w:caps w:val="false"/>
          <w:smallCaps w:val="false"/>
          <w:sz w:val="20"/>
        </w:rPr>
        <w:t xml:space="preserve">888) </w:t>
      </w:r>
      <w:bookmarkStart w:id="14" w:name="xdx_907_edei--LocalPhoneNumber_c20250506"/>
      <w:bookmarkEnd w:id="14"/>
      <w:r>
        <w:rPr>
          <w:rFonts w:ascii="Times New Roman;Times;Serif" w:hAnsi="Times New Roman;Times;Serif"/>
          <w:b/>
          <w:i w:val="false"/>
          <w:caps w:val="false"/>
          <w:smallCaps w:val="false"/>
          <w:sz w:val="20"/>
        </w:rPr>
        <w:t>512-8906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9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5_edei--SolicitingMaterial_c202505"/>
      <w:bookmarkEnd w:id="16"/>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D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 w:name="xdx_90E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30" w:type="dxa"/>
        <w:jc w:val="left"/>
        <w:tblInd w:w="0" w:type="dxa"/>
        <w:tblLayout w:type="fixed"/>
        <w:tblCellMar>
          <w:top w:w="0" w:type="dxa"/>
          <w:left w:w="0" w:type="dxa"/>
          <w:bottom w:w="40" w:type="dxa"/>
          <w:right w:w="0" w:type="dxa"/>
        </w:tblCellMar>
      </w:tblPr>
      <w:tblGrid>
        <w:gridCol w:w="3440"/>
        <w:gridCol w:w="60"/>
        <w:gridCol w:w="860"/>
        <w:gridCol w:w="60"/>
        <w:gridCol w:w="3710"/>
      </w:tblGrid>
      <w:tr>
        <w:trPr/>
        <w:tc>
          <w:tcPr>
            <w:tcW w:w="344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221E1F"/>
                <w:sz w:val="20"/>
              </w:rPr>
            </w:pPr>
            <w:r>
              <w:rPr>
                <w:rFonts w:ascii="Times New Roman;Times;Serif" w:hAnsi="Times New Roman;Times;Serif"/>
                <w:b/>
                <w:color w:val="221E1F"/>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221E1F"/>
                <w:sz w:val="20"/>
              </w:rPr>
            </w:pPr>
            <w:r>
              <w:rPr>
                <w:rFonts w:ascii="Times New Roman;Times;Serif" w:hAnsi="Times New Roman;Times;Serif"/>
                <w:b/>
                <w:color w:val="221E1F"/>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221E1F"/>
                <w:sz w:val="20"/>
              </w:rPr>
            </w:pPr>
            <w:r>
              <w:rPr>
                <w:rFonts w:ascii="Times New Roman;Times;Serif" w:hAnsi="Times New Roman;Times;Serif"/>
                <w:b/>
                <w:color w:val="221E1F"/>
                <w:sz w:val="20"/>
              </w:rPr>
              <w:t>Name of each exchange on which registered</w:t>
            </w:r>
          </w:p>
        </w:tc>
      </w:tr>
      <w:tr>
        <w:trPr/>
        <w:tc>
          <w:tcPr>
            <w:tcW w:w="3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2_edei--Security12bTitle_c20250506"/>
            <w:bookmarkEnd w:id="19"/>
            <w:r>
              <w:rPr>
                <w:rFonts w:ascii="Times New Roman;Times;Serif" w:hAnsi="Times New Roman;Times;Serif"/>
                <w:b w:val="false"/>
                <w:i w:val="false"/>
                <w:caps w:val="false"/>
                <w:smallCaps w:val="false"/>
                <w:sz w:val="20"/>
              </w:rPr>
              <w:t>Class A common stock, $0.0005 par value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1_edei--TradingSymbol_c20250506__2"/>
            <w:bookmarkEnd w:id="20"/>
            <w:r>
              <w:rPr>
                <w:rFonts w:ascii="Times New Roman;Times;Serif" w:hAnsi="Times New Roman;Times;Serif"/>
                <w:b w:val="false"/>
                <w:i w:val="false"/>
                <w:caps w:val="false"/>
                <w:smallCaps w:val="false"/>
                <w:sz w:val="20"/>
              </w:rPr>
              <w:t>CRWD</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0_edei--SecurityExchangeName_c2025"/>
            <w:bookmarkEnd w:id="21"/>
            <w:r>
              <w:rPr>
                <w:rFonts w:ascii="Times New Roman;Times;Serif" w:hAnsi="Times New Roman;Times;Serif"/>
                <w:b w:val="false"/>
                <w:i w:val="false"/>
                <w:caps w:val="false"/>
                <w:smallCaps w:val="false"/>
                <w:sz w:val="20"/>
              </w:rPr>
              <w:t>The Nasdaq Stock Market LLC</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83"/>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CrowdStrike Holdings, Inc. (“CrowdStrike” or the “Company”) expects its fiscal 2026 first quarter (ended April 30, 2025) financial results to be in-line with or above its guidance as provided in its fourth quarter 2025 earnings release on March 4, 2025. The Company also reaffirms its guidance for the fiscal year 2026 (ending January 31, 2026)</w:t>
      </w:r>
      <w:r>
        <w:rPr>
          <w:rFonts w:ascii="Times New Roman;Times;Serif" w:hAnsi="Times New Roman;Times;Serif"/>
          <w:b w:val="false"/>
          <w:i w:val="false"/>
          <w:caps w:val="false"/>
          <w:smallCaps w:val="false"/>
          <w:sz w:val="20"/>
          <w:shd w:fill="FFFFFF" w:val="clear"/>
        </w:rPr>
        <w:t xml:space="preserve">, as provided in its earnings press release issued March 4, 2025, that was previously furnished as Exhibit 99.1 to the </w:t>
      </w:r>
      <w:r>
        <w:rPr>
          <w:rFonts w:ascii="Times New Roman;Times;Serif" w:hAnsi="Times New Roman;Times;Serif"/>
          <w:b w:val="false"/>
          <w:i w:val="false"/>
          <w:caps w:val="false"/>
          <w:smallCaps w:val="false"/>
          <w:sz w:val="20"/>
        </w:rPr>
        <w:t>Company’s Current Report on Form 8-K filed with the Securities and Exchange Commission on March 4, 2025.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2.05 - Costs Associated with Exit or Disposal Activities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2025, the Company announced a strategic plan (the “Plan”) to evolve its operations to yield greater efficiencies as the Company continues to scale its business with focus and discipline to meet its goal of $10 billion in ending ARR. The Plan is expected to result in a reduction of roles representing approximately 500 positions or 5% of the Company’s global workforce. CrowdStrike expects to continue to hire in key strategic areas throughout its fiscal year ending January 31,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CrowdStrike estimates that it will incur approximately $36 million to $53 million in charges in connection with the Plan, of which approximately $7 million is expected to be recognized in the first quarter of fiscal 2026, and substantially all of the remainder of which will be incurred in the second quarter of fiscal 2026. These charges primarily consist of approximately $19 million to $26 million of future cash expenditures related to severance payments, employee benefits, and related costs; and approximately $10 million to $20 million in non-cash charges for stock-based compensation. The Company intends to exclude the charges associated with the Plan from its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actions associated with the Plan are expected to be substantially complete by the end of the second quarter of fiscal 2026, subject to local law and consultation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note to CrowdStrike’s employees from CrowdStrike’s Chief Executive Officer regarding these actions is attached to this Current Report on Form 8-K as Exhibit 99.1.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release financial results for its first quarter fiscal 2026 ended April 30, 2025 after the U.S. market close on Tuesday, June 3, 2025. CrowdStrike will host a conference call that day at 2:00 p.m. Pacific Time (5:00 p.m. Eastern time) to discuss the results. Information on how to register for the live event is available on the Company’s Investor Relations website at ir.crowdstrike.com. A live webcast of the conference call and the financial results press release will also be accessible from the CrowdStrike investor relations website. An audio webcast replay of the conference call will be available on the investor relations website for one year.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including CrowdStrike’s expectations of its financial results for its fiscal quarter ended April 30, 2025, CrowdStrike’s reaffirmation of guidance for the 2026 fiscal year, CrowdStrike’s estimates of the amount and timing of charges that it expects to incur in the Plan, and the benefits that CrowdStrike anticipates from the Plan. These forward-looking statements are based on CrowdStrike’s current beliefs and expectations, and are subject to inherent risks and uncertainties. Actual results could differ materially, and therefore you should not place undue reliance on any forward-looking statements. Risks include, but are not limited to, that the Plan could cost more than anticipated, that the Plan could negatively affect CrowdStrike’s ability to recruit and retain skilled personnel, that the Plan could negatively affect CrowdStrike’s business operations, as well as the risks described in CrowdStrike’s filings with the Securities and Exchange Commission, including CrowdStrike’s most recent report on Form 10-K. In addition, Crowdstrike has not completed its financial closing procedures for the quarter ended April 30, 2025, and therefore its actual financial results for the quarter ended April 30, 2025 could differ from CrowdStrike’s current expectations. CrowdStrike assumes no obligation to update any such forward-looking statements,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5"/>
        <w:gridCol w:w="60"/>
        <w:gridCol w:w="9150"/>
      </w:tblGrid>
      <w:tr>
        <w:trPr/>
        <w:tc>
          <w:tcPr>
            <w:tcW w:w="995" w:type="dxa"/>
            <w:tcBorders/>
            <w:vAlign w:val="center"/>
          </w:tcPr>
          <w:p>
            <w:pPr>
              <w:pStyle w:val="TableContents"/>
              <w:bidi w:val="0"/>
              <w:spacing w:before="0" w:after="283"/>
              <w:jc w:val="center"/>
              <w:rPr>
                <w:b/>
                <w:sz w:val="20"/>
              </w:rPr>
            </w:pPr>
            <w:r>
              <w:rPr>
                <w:b/>
                <w:sz w:val="20"/>
              </w:rPr>
              <w:t>Exhibit No.</w:t>
            </w:r>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b/>
                <w:sz w:val="20"/>
              </w:rPr>
            </w:pPr>
            <w:r>
              <w:rPr>
                <w:b/>
                <w:sz w:val="20"/>
              </w:rPr>
              <w:t>Exhibit Description</w:t>
            </w:r>
          </w:p>
        </w:tc>
      </w:tr>
      <w:tr>
        <w:trPr/>
        <w:tc>
          <w:tcPr>
            <w:tcW w:w="995" w:type="dxa"/>
            <w:tcBorders>
              <w:top w:val="single" w:sz="8" w:space="0" w:color="000000"/>
            </w:tcBorders>
            <w:tcMar>
              <w:top w:w="28" w:type="dxa"/>
            </w:tcMar>
            <w:vAlign w:val="center"/>
          </w:tcPr>
          <w:p>
            <w:pPr>
              <w:pStyle w:val="TableContents"/>
              <w:bidi w:val="0"/>
              <w:spacing w:before="0" w:after="283"/>
              <w:jc w:val="center"/>
              <w:rPr/>
            </w:pPr>
            <w:hyperlink w:anchor="tm2514190d1_ex99-1.htm">
              <w:r>
                <w:rPr>
                  <w:rStyle w:val="InternetLink"/>
                </w:rPr>
                <w:t>99.1</w:t>
              </w:r>
            </w:hyperlink>
          </w:p>
        </w:tc>
        <w:tc>
          <w:tcPr>
            <w:tcW w:w="60" w:type="dxa"/>
            <w:tcBorders/>
            <w:vAlign w:val="center"/>
          </w:tcPr>
          <w:p>
            <w:pPr>
              <w:pStyle w:val="TableContents"/>
              <w:bidi w:val="0"/>
              <w:spacing w:before="0" w:after="283"/>
              <w:jc w:val="left"/>
              <w:rPr/>
            </w:pPr>
            <w:r>
              <w:rPr/>
              <w:t> </w:t>
            </w:r>
          </w:p>
        </w:tc>
        <w:tc>
          <w:tcPr>
            <w:tcW w:w="9150" w:type="dxa"/>
            <w:tcBorders>
              <w:top w:val="single" w:sz="8" w:space="0" w:color="000000"/>
            </w:tcBorders>
            <w:tcMar>
              <w:top w:w="28" w:type="dxa"/>
            </w:tcMar>
            <w:vAlign w:val="center"/>
          </w:tcPr>
          <w:p>
            <w:pPr>
              <w:pStyle w:val="TableContents"/>
              <w:bidi w:val="0"/>
              <w:spacing w:before="0" w:after="283"/>
              <w:jc w:val="left"/>
              <w:rPr/>
            </w:pPr>
            <w:hyperlink w:anchor="tm2514190d1_ex99-1.htm">
              <w:r>
                <w:rPr>
                  <w:rStyle w:val="InternetLink"/>
                </w:rPr>
                <w:t>Note to CrowdStrike employees from CrowdStrike’s Chief Executive Officer, dated May 6, 2025.</w:t>
              </w:r>
            </w:hyperlink>
          </w:p>
        </w:tc>
      </w:tr>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center"/>
              <w:rPr/>
            </w:pPr>
            <w:r>
              <w:rPr/>
              <w:t>104</w:t>
            </w:r>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Cover Page Interactive Data File—the cover page XBRL tags are embedded within the Inline XBRL document.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1550"/>
        <w:gridCol w:w="2240"/>
      </w:tblGrid>
      <w:tr>
        <w:trPr/>
        <w:tc>
          <w:tcPr>
            <w:tcW w:w="155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CrowdStrike Holdings, Inc.</w:t>
            </w:r>
          </w:p>
        </w:tc>
      </w:tr>
      <w:tr>
        <w:trPr/>
        <w:tc>
          <w:tcPr>
            <w:tcW w:w="155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50" w:type="dxa"/>
            <w:tcBorders/>
            <w:vAlign w:val="center"/>
          </w:tcPr>
          <w:p>
            <w:pPr>
              <w:pStyle w:val="TableContents"/>
              <w:bidi w:val="0"/>
              <w:spacing w:before="0" w:after="283"/>
              <w:jc w:val="left"/>
              <w:rPr>
                <w:sz w:val="20"/>
              </w:rPr>
            </w:pPr>
            <w:r>
              <w:rPr>
                <w:sz w:val="20"/>
              </w:rPr>
              <w:t>Date: May 7, 2025</w:t>
            </w:r>
          </w:p>
        </w:tc>
        <w:tc>
          <w:tcPr>
            <w:tcW w:w="22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Burt W. Podbere</w:t>
            </w:r>
          </w:p>
        </w:tc>
      </w:tr>
      <w:tr>
        <w:trPr/>
        <w:tc>
          <w:tcPr>
            <w:tcW w:w="155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Burt W. Podbere</w:t>
            </w:r>
          </w:p>
        </w:tc>
      </w:tr>
      <w:tr>
        <w:trPr/>
        <w:tc>
          <w:tcPr>
            <w:tcW w:w="155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514190d1_ex99-1.htm"/>
      <w:bookmarkStart w:id="24" w:name="kstm2514190d1_ex991"/>
      <w:bookmarkEnd w:id="23"/>
      <w:bookmarkEnd w:id="2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Positioning CrowdStrike for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CrowdStrike is defined by our mission to stop breaches, our disciplined execution, and our commitment to protecting customers. Today, our customers are facing an intensifying threat landscape and growing complexity. They trust us to help them move faster and operate more securely. To keep earning that trust, we are evolving how we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realigning parts of our business to continue scaling with focus and discipline. These changes position us to move faster, operate more efficiently, and continue our cybersecurity leadership.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will continue to prudently hire, primarily in customer-facing and product engineering roles, we are reducing roles in some areas of the business. In total, approximately 500 positions, or about 5% of the workforce, will be impacted. We will begin meeting with affected employees over the next day and will complete these conversations across regions as quickly as possible, in accordance with local laws and consultation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know this is difficult news and it affects all of us. These decisions were made with care and guided by a clear view of where we need to go. Our offices will be closed May 7 and 8, so please plan to work from home. If you are already in the office, I encourage you to head home for the rest of the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We’re Doing This: Our Evolving Operating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We’re operating in a market and technology inflection point, with AI reshaping every industry, accelerating threats, and evolving customer needs. To lead at scale, with nearly 10,000 CrowdStrikers and a clear path to $10 billion in ARR, we are evolving how we operate. We’re building on what works, simplifying execution, and doubling down on our highest-impact opportunities: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sz w:val="20"/>
              </w:rPr>
            </w:pPr>
            <w:r>
              <w:rPr>
                <w:b/>
                <w:sz w:val="20"/>
              </w:rPr>
              <w:t>AI investments accelerate execution and efficiency</w:t>
            </w:r>
            <w:r>
              <w:rPr>
                <w:sz w:val="20"/>
              </w:rPr>
              <w:t>: AI has always been foundational to how we operate. AI flattens our hiring curve, and helps us innovate from idea to product faster. It streamlines go-to-market, improves customer outcomes, and drives efficiencies across both the front and back office. AI is a force multiplier throughout the business.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sz w:val="20"/>
              </w:rPr>
            </w:pPr>
            <w:r>
              <w:rPr>
                <w:b/>
                <w:sz w:val="20"/>
              </w:rPr>
              <w:t xml:space="preserve">Market demand is driving sustained growth: </w:t>
            </w:r>
            <w:r>
              <w:rPr>
                <w:sz w:val="20"/>
              </w:rPr>
              <w:t>With multi-billion-dollar market opportunities in areas including NG-SIEM, Identity, Cloud, and Exposure Management, coupled with our Falcon Flex subscription model, we’re poised for continued growth. This evolution furthers our lead as cybersecurity’s platform consolidator, scaled innovator, and ecosystem partner of choice.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sz w:val="20"/>
              </w:rPr>
            </w:pPr>
            <w:r>
              <w:rPr>
                <w:b/>
                <w:sz w:val="20"/>
              </w:rPr>
              <w:t>Expanding go-to-market and customer success capacity</w:t>
            </w:r>
            <w:r>
              <w:rPr>
                <w:sz w:val="20"/>
              </w:rPr>
              <w:t>: As more organizations standardize on the Falcon platform, we’re scaling our go-to-market and customer success teams to deliver faster time-to-value and stronger outcomes for customers and partners, unlocking the full power of the platform.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Supporting CrowdStrikers and Next Steps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those leaving CrowdStrike: thank you. We’re grateful for your contributions to our mission. We’re committed to supporting you through this transition with respect, care, and resources, including severance in alignment with tenure and role, access to any RSUs vesting in June, Q1 bonus, health benefits coverage, and career services aligned with local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CrowdStrikers continuing on our mission: we’ll talk more in the coming days about these changes, strategic investment areas, and our opportunities ahead. In the meantime, I ask that you support one another, especially those impacted by today’s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evolve, we are laser-focused on transforming cybersecurity. We stop breaches. This mission defines our purpose, unites our team, and keeps us focused on what matters most: protecting our customers. Our responsibility is aligning our mission with customer, market, and business needs. I’ve never been more optimistic about our future as I am right now. What I know, and what I believe the market knows, is that in an AI-accelerated society, the world needs CrowdStrike more than 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1692</Words>
  <Characters>9312</Characters>
  <CharactersWithSpaces>11044</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