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GANDHI SAMEER K</w:t>
              </w:r>
            </w:hyperlink>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CrowdStrike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CRWD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980" w:type="dxa"/>
            <w:vAlign w:val="bottom"/>
            <w:tcBorders>
              <w:bottom w:val="single" w:sz="8" w:color="0000EE"/>
            </w:tcBorders>
            <w:gridSpan w:val="2"/>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6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60" w:type="dxa"/>
            <w:vAlign w:val="bottom"/>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CROWDSTRIKE HOLDINGS, INC.</w:t>
            </w:r>
          </w:p>
        </w:tc>
        <w:tc>
          <w:tcPr>
            <w:tcW w:w="2500" w:type="dxa"/>
            <w:vAlign w:val="bottom"/>
            <w:gridSpan w:val="3"/>
            <w:vMerge w:val="continue"/>
          </w:tcPr>
          <w:p>
            <w:pPr>
              <w:spacing w:after="0"/>
              <w:rPr>
                <w:sz w:val="11"/>
                <w:szCs w:val="11"/>
                <w:color w:val="auto"/>
              </w:rPr>
            </w:pPr>
          </w:p>
        </w:tc>
        <w:tc>
          <w:tcPr>
            <w:tcW w:w="1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206 E. 9TH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9" w:right="47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0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36"/>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20</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738.13</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715,436</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68</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739.37</w:t>
            </w:r>
            <w:r>
              <w:rPr>
                <w:rFonts w:ascii="Times New Roman" w:cs="Times New Roman" w:eastAsia="Times New Roman" w:hAnsi="Times New Roman"/>
                <w:sz w:val="22"/>
                <w:szCs w:val="22"/>
                <w:color w:val="008000"/>
                <w:w w:val="95"/>
                <w:vertAlign w:val="superscript"/>
              </w:rPr>
              <w:t>(3)</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715,368</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16</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740.71</w:t>
            </w:r>
            <w:r>
              <w:rPr>
                <w:rFonts w:ascii="Times New Roman" w:cs="Times New Roman" w:eastAsia="Times New Roman" w:hAnsi="Times New Roman"/>
                <w:sz w:val="22"/>
                <w:szCs w:val="22"/>
                <w:color w:val="008000"/>
                <w:w w:val="95"/>
                <w:vertAlign w:val="superscript"/>
              </w:rPr>
              <w:t>(4)</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715,352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744.98</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715,340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48</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747.39</w:t>
            </w:r>
            <w:r>
              <w:rPr>
                <w:rFonts w:ascii="Times New Roman" w:cs="Times New Roman" w:eastAsia="Times New Roman" w:hAnsi="Times New Roman"/>
                <w:sz w:val="22"/>
                <w:szCs w:val="22"/>
                <w:color w:val="008000"/>
                <w:w w:val="95"/>
                <w:vertAlign w:val="superscript"/>
              </w:rPr>
              <w:t>(5)</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715,292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12</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748.6</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715,280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48</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750.76</w:t>
            </w:r>
            <w:r>
              <w:rPr>
                <w:rFonts w:ascii="Times New Roman" w:cs="Times New Roman" w:eastAsia="Times New Roman" w:hAnsi="Times New Roman"/>
                <w:sz w:val="22"/>
                <w:szCs w:val="22"/>
                <w:color w:val="008000"/>
                <w:w w:val="95"/>
                <w:vertAlign w:val="superscript"/>
              </w:rPr>
              <w:t>(6)</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715,232</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1"/>
              <w:spacing w:after="0"/>
              <w:rPr>
                <w:sz w:val="20"/>
                <w:szCs w:val="20"/>
                <w:color w:val="auto"/>
              </w:rPr>
            </w:pPr>
            <w:r>
              <w:rPr>
                <w:rFonts w:ascii="Times New Roman" w:cs="Times New Roman" w:eastAsia="Times New Roman" w:hAnsi="Times New Roman"/>
                <w:sz w:val="17"/>
                <w:szCs w:val="17"/>
                <w:color w:val="0000FF"/>
                <w:w w:val="93"/>
              </w:rPr>
              <w:t>152</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752.74</w:t>
            </w:r>
            <w:r>
              <w:rPr>
                <w:rFonts w:ascii="Times New Roman" w:cs="Times New Roman" w:eastAsia="Times New Roman" w:hAnsi="Times New Roman"/>
                <w:sz w:val="22"/>
                <w:szCs w:val="22"/>
                <w:color w:val="008000"/>
                <w:w w:val="95"/>
                <w:vertAlign w:val="superscript"/>
              </w:rPr>
              <w:t>(7)</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715,080</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80"/>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ind w:left="1"/>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275</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753.64</w:t>
            </w:r>
            <w:r>
              <w:rPr>
                <w:rFonts w:ascii="Times New Roman" w:cs="Times New Roman" w:eastAsia="Times New Roman" w:hAnsi="Times New Roman"/>
                <w:sz w:val="22"/>
                <w:szCs w:val="22"/>
                <w:color w:val="008000"/>
                <w:w w:val="95"/>
                <w:vertAlign w:val="superscript"/>
              </w:rPr>
              <w:t>(8)</w:t>
            </w:r>
          </w:p>
        </w:tc>
        <w:tc>
          <w:tcPr>
            <w:tcW w:w="1140" w:type="dxa"/>
            <w:vAlign w:val="bottom"/>
            <w:vMerge w:val="restart"/>
          </w:tcPr>
          <w:p>
            <w:pPr>
              <w:jc w:val="right"/>
              <w:ind w:right="145"/>
              <w:spacing w:after="0"/>
              <w:rPr>
                <w:sz w:val="20"/>
                <w:szCs w:val="20"/>
                <w:color w:val="auto"/>
              </w:rPr>
            </w:pPr>
            <w:r>
              <w:rPr>
                <w:rFonts w:ascii="Times New Roman" w:cs="Times New Roman" w:eastAsia="Times New Roman" w:hAnsi="Times New Roman"/>
                <w:sz w:val="17"/>
                <w:szCs w:val="17"/>
                <w:color w:val="0000FF"/>
              </w:rPr>
              <w:t>714,805</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55"/>
        </w:trPr>
        <w:tc>
          <w:tcPr>
            <w:tcW w:w="2280" w:type="dxa"/>
            <w:vAlign w:val="bottom"/>
            <w:tcBorders>
              <w:bottom w:val="single" w:sz="8" w:color="808080"/>
            </w:tcBorders>
          </w:tcPr>
          <w:p>
            <w:pPr>
              <w:spacing w:after="0"/>
              <w:rPr>
                <w:sz w:val="4"/>
                <w:szCs w:val="4"/>
                <w:color w:val="auto"/>
              </w:rPr>
            </w:pPr>
          </w:p>
        </w:tc>
        <w:tc>
          <w:tcPr>
            <w:tcW w:w="156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3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jc w:val="center"/>
              <w:ind w:left="37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168</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754.75</w:t>
            </w:r>
            <w:r>
              <w:rPr>
                <w:rFonts w:ascii="Times New Roman" w:cs="Times New Roman" w:eastAsia="Times New Roman" w:hAnsi="Times New Roman"/>
                <w:sz w:val="22"/>
                <w:szCs w:val="22"/>
                <w:color w:val="008000"/>
                <w:w w:val="95"/>
                <w:vertAlign w:val="superscript"/>
              </w:rPr>
              <w:t>(9)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714,637</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282</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755.81</w:t>
            </w:r>
            <w:r>
              <w:rPr>
                <w:rFonts w:ascii="Times New Roman" w:cs="Times New Roman" w:eastAsia="Times New Roman" w:hAnsi="Times New Roman"/>
                <w:sz w:val="22"/>
                <w:szCs w:val="22"/>
                <w:color w:val="008000"/>
                <w:w w:val="94"/>
                <w:vertAlign w:val="superscript"/>
              </w:rPr>
              <w:t>(10)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714,355</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223</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756.85</w:t>
            </w:r>
            <w:r>
              <w:rPr>
                <w:rFonts w:ascii="Times New Roman" w:cs="Times New Roman" w:eastAsia="Times New Roman" w:hAnsi="Times New Roman"/>
                <w:sz w:val="22"/>
                <w:szCs w:val="22"/>
                <w:color w:val="008000"/>
                <w:w w:val="94"/>
                <w:vertAlign w:val="superscript"/>
              </w:rPr>
              <w:t>(11)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714,132</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339</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757.82</w:t>
            </w:r>
            <w:r>
              <w:rPr>
                <w:rFonts w:ascii="Times New Roman" w:cs="Times New Roman" w:eastAsia="Times New Roman" w:hAnsi="Times New Roman"/>
                <w:sz w:val="22"/>
                <w:szCs w:val="22"/>
                <w:color w:val="008000"/>
                <w:w w:val="94"/>
                <w:vertAlign w:val="superscript"/>
              </w:rPr>
              <w:t>(12)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713,793</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246</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758.78</w:t>
            </w:r>
            <w:r>
              <w:rPr>
                <w:rFonts w:ascii="Times New Roman" w:cs="Times New Roman" w:eastAsia="Times New Roman" w:hAnsi="Times New Roman"/>
                <w:sz w:val="22"/>
                <w:szCs w:val="22"/>
                <w:color w:val="008000"/>
                <w:w w:val="94"/>
                <w:vertAlign w:val="superscript"/>
              </w:rPr>
              <w:t>(13)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713,547</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93</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759.93</w:t>
            </w:r>
            <w:r>
              <w:rPr>
                <w:rFonts w:ascii="Times New Roman" w:cs="Times New Roman" w:eastAsia="Times New Roman" w:hAnsi="Times New Roman"/>
                <w:sz w:val="22"/>
                <w:szCs w:val="22"/>
                <w:color w:val="008000"/>
                <w:w w:val="94"/>
                <w:vertAlign w:val="superscript"/>
              </w:rPr>
              <w:t>(14)</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713,454</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146</w:t>
            </w:r>
            <w:r>
              <w:rPr>
                <w:rFonts w:ascii="Times New Roman" w:cs="Times New Roman" w:eastAsia="Times New Roman" w:hAnsi="Times New Roman"/>
                <w:sz w:val="22"/>
                <w:szCs w:val="22"/>
                <w:color w:val="008000"/>
                <w:w w:val="93"/>
                <w:vertAlign w:val="superscript"/>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761.1</w:t>
            </w:r>
            <w:r>
              <w:rPr>
                <w:rFonts w:ascii="Times New Roman" w:cs="Times New Roman" w:eastAsia="Times New Roman" w:hAnsi="Times New Roman"/>
                <w:sz w:val="22"/>
                <w:szCs w:val="22"/>
                <w:color w:val="008000"/>
                <w:w w:val="94"/>
                <w:vertAlign w:val="superscript"/>
              </w:rPr>
              <w:t>(15)</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713,308</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235</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762.19</w:t>
            </w:r>
            <w:r>
              <w:rPr>
                <w:rFonts w:ascii="Times New Roman" w:cs="Times New Roman" w:eastAsia="Times New Roman" w:hAnsi="Times New Roman"/>
                <w:sz w:val="22"/>
                <w:szCs w:val="22"/>
                <w:color w:val="008000"/>
                <w:w w:val="94"/>
                <w:vertAlign w:val="superscript"/>
              </w:rPr>
              <w:t>(16)</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713,073</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206</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763.33</w:t>
            </w:r>
            <w:r>
              <w:rPr>
                <w:rFonts w:ascii="Times New Roman" w:cs="Times New Roman" w:eastAsia="Times New Roman" w:hAnsi="Times New Roman"/>
                <w:sz w:val="22"/>
                <w:szCs w:val="22"/>
                <w:color w:val="008000"/>
                <w:w w:val="94"/>
                <w:vertAlign w:val="superscript"/>
              </w:rPr>
              <w:t>(17)</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712,867</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252</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764.32</w:t>
            </w:r>
            <w:r>
              <w:rPr>
                <w:rFonts w:ascii="Times New Roman" w:cs="Times New Roman" w:eastAsia="Times New Roman" w:hAnsi="Times New Roman"/>
                <w:sz w:val="22"/>
                <w:szCs w:val="22"/>
                <w:color w:val="008000"/>
                <w:w w:val="94"/>
                <w:vertAlign w:val="superscript"/>
              </w:rPr>
              <w:t>(18)</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712,615</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5"/>
                <w:vertAlign w:val="subscript"/>
              </w:rPr>
              <w:t>253</w:t>
            </w:r>
            <w:r>
              <w:rPr>
                <w:rFonts w:ascii="Times New Roman" w:cs="Times New Roman" w:eastAsia="Times New Roman" w:hAnsi="Times New Roman"/>
                <w:sz w:val="11"/>
                <w:szCs w:val="11"/>
                <w:color w:val="008000"/>
                <w:w w:val="85"/>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765.51</w:t>
            </w:r>
            <w:r>
              <w:rPr>
                <w:rFonts w:ascii="Times New Roman" w:cs="Times New Roman" w:eastAsia="Times New Roman" w:hAnsi="Times New Roman"/>
                <w:sz w:val="22"/>
                <w:szCs w:val="22"/>
                <w:color w:val="008000"/>
                <w:w w:val="94"/>
                <w:vertAlign w:val="superscript"/>
              </w:rPr>
              <w:t>(19)</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712,362</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vMerge w:val="restart"/>
          </w:tcPr>
          <w:p>
            <w:pPr>
              <w:jc w:val="center"/>
              <w:ind w:left="379"/>
              <w:spacing w:after="0"/>
              <w:rPr>
                <w:sz w:val="20"/>
                <w:szCs w:val="20"/>
                <w:color w:val="auto"/>
              </w:rPr>
            </w:pPr>
            <w:r>
              <w:rPr>
                <w:rFonts w:ascii="Times New Roman" w:cs="Times New Roman" w:eastAsia="Times New Roman" w:hAnsi="Times New Roman"/>
                <w:sz w:val="17"/>
                <w:szCs w:val="17"/>
                <w:color w:val="0000FF"/>
              </w:rPr>
              <w:t>06/01/2026</w:t>
            </w:r>
          </w:p>
        </w:tc>
        <w:tc>
          <w:tcPr>
            <w:tcW w:w="11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4"/>
                <w:vertAlign w:val="subscript"/>
              </w:rPr>
              <w:t>97</w:t>
            </w:r>
            <w:r>
              <w:rPr>
                <w:rFonts w:ascii="Times New Roman" w:cs="Times New Roman" w:eastAsia="Times New Roman" w:hAnsi="Times New Roman"/>
                <w:sz w:val="11"/>
                <w:szCs w:val="11"/>
                <w:color w:val="008000"/>
                <w:w w:val="84"/>
              </w:rPr>
              <w:t>(1)</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766.17</w:t>
            </w:r>
            <w:r>
              <w:rPr>
                <w:rFonts w:ascii="Times New Roman" w:cs="Times New Roman" w:eastAsia="Times New Roman" w:hAnsi="Times New Roman"/>
                <w:sz w:val="22"/>
                <w:szCs w:val="22"/>
                <w:color w:val="008000"/>
                <w:w w:val="94"/>
                <w:vertAlign w:val="superscript"/>
              </w:rPr>
              <w:t>(20)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712,265</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L.P. - Fund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29,189</w:t>
            </w:r>
            <w:r>
              <w:rPr>
                <w:rFonts w:ascii="Times New Roman" w:cs="Times New Roman" w:eastAsia="Times New Roman" w:hAnsi="Times New Roman"/>
                <w:sz w:val="22"/>
                <w:szCs w:val="22"/>
                <w:color w:val="008000"/>
                <w:w w:val="92"/>
                <w:vertAlign w:val="superscript"/>
              </w:rPr>
              <w:t>(21)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174"/>
        </w:trPr>
        <w:tc>
          <w:tcPr>
            <w:tcW w:w="228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Trust, dated</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9/21/2001</w:t>
            </w:r>
          </w:p>
        </w:tc>
        <w:tc>
          <w:tcPr>
            <w:tcW w:w="0" w:type="dxa"/>
            <w:vAlign w:val="bottom"/>
          </w:tcPr>
          <w:p>
            <w:pPr>
              <w:spacing w:after="0"/>
              <w:rPr>
                <w:sz w:val="1"/>
                <w:szCs w:val="1"/>
                <w:color w:val="auto"/>
              </w:rPr>
            </w:pPr>
          </w:p>
        </w:tc>
      </w:tr>
      <w:tr>
        <w:trPr>
          <w:trHeight w:val="61"/>
        </w:trPr>
        <w:tc>
          <w:tcPr>
            <w:tcW w:w="22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Potomac</w:t>
            </w:r>
          </w:p>
        </w:tc>
        <w:tc>
          <w:tcPr>
            <w:tcW w:w="0" w:type="dxa"/>
            <w:vAlign w:val="bottom"/>
          </w:tcPr>
          <w:p>
            <w:pPr>
              <w:spacing w:after="0"/>
              <w:rPr>
                <w:sz w:val="1"/>
                <w:szCs w:val="1"/>
                <w:color w:val="auto"/>
              </w:rPr>
            </w:pPr>
          </w:p>
        </w:tc>
      </w:tr>
      <w:tr>
        <w:trPr>
          <w:trHeight w:val="233"/>
        </w:trPr>
        <w:tc>
          <w:tcPr>
            <w:tcW w:w="2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89"/>
              </w:rPr>
              <w:t>8,132</w:t>
            </w:r>
            <w:r>
              <w:rPr>
                <w:rFonts w:ascii="Times New Roman" w:cs="Times New Roman" w:eastAsia="Times New Roman" w:hAnsi="Times New Roman"/>
                <w:sz w:val="22"/>
                <w:szCs w:val="22"/>
                <w:color w:val="008000"/>
                <w:w w:val="89"/>
                <w:vertAlign w:val="superscript"/>
              </w:rPr>
              <w:t>(22)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w:t>
            </w: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Nonexempt</w:t>
      </w:r>
    </w:p>
    <w:p>
      <w:pPr>
        <w:spacing w:after="0" w:line="11"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Trust dated</w:t>
      </w:r>
    </w:p>
    <w:p>
      <w:pPr>
        <w:spacing w:after="0" w:line="18" w:lineRule="exact"/>
        <w:rPr>
          <w:sz w:val="20"/>
          <w:szCs w:val="20"/>
          <w:color w:val="auto"/>
        </w:rPr>
      </w:pPr>
    </w:p>
    <w:p>
      <w:pPr>
        <w:ind w:left="10040"/>
        <w:spacing w:after="0"/>
        <w:rPr>
          <w:sz w:val="20"/>
          <w:szCs w:val="20"/>
          <w:color w:val="auto"/>
        </w:rPr>
      </w:pPr>
      <w:r>
        <w:rPr>
          <w:rFonts w:ascii="Times New Roman" w:cs="Times New Roman" w:eastAsia="Times New Roman" w:hAnsi="Times New Roman"/>
          <w:sz w:val="17"/>
          <w:szCs w:val="17"/>
          <w:color w:val="0000FF"/>
        </w:rPr>
        <w:t>10/31/2011</w:t>
      </w:r>
    </w:p>
    <w:p>
      <w:pPr>
        <w:sectPr>
          <w:pgSz w:w="11900" w:h="16838" w:orient="portrait"/>
          <w:cols w:equalWidth="0" w:num="1">
            <w:col w:w="10940"/>
          </w:cols>
          <w:pgMar w:left="480" w:top="191" w:right="479" w:bottom="589"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7357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4055" cy="735711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2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2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2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2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0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2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sectPr>
          <w:pgSz w:w="11900" w:h="16838" w:orient="portrait"/>
          <w:cols w:equalWidth="0" w:num="1">
            <w:col w:w="11000"/>
          </w:cols>
          <w:pgMar w:left="460" w:top="191" w:right="439" w:bottom="0" w:gutter="0" w:footer="0" w:header="0"/>
        </w:sectPr>
      </w:pPr>
    </w:p>
    <w:p>
      <w:pPr>
        <w:spacing w:after="0" w:line="200" w:lineRule="exact"/>
        <w:rPr>
          <w:sz w:val="20"/>
          <w:szCs w:val="20"/>
          <w:color w:val="auto"/>
        </w:rPr>
      </w:pPr>
    </w:p>
    <w:p>
      <w:pPr>
        <w:spacing w:after="0" w:line="22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0000FF"/>
        </w:rPr>
        <w:t>Class A common stock</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sz w:val="1"/>
          <w:szCs w:val="1"/>
          <w:color w:val="auto"/>
        </w:rPr>
        <w:drawing>
          <wp:inline distT="0" distB="0" distL="0" distR="0">
            <wp:extent cx="33655" cy="2451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3655" cy="245110"/>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Class A common stock</w:t>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Times New Roman" w:cs="Times New Roman" w:eastAsia="Times New Roman" w:hAnsi="Times New Roman"/>
          <w:sz w:val="17"/>
          <w:szCs w:val="17"/>
          <w:color w:val="0000FF"/>
        </w:rPr>
        <w:t>The</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Potomac</w:t>
      </w:r>
    </w:p>
    <w:p>
      <w:pPr>
        <w:ind w:left="140"/>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29,868</w:t>
      </w:r>
      <w:r>
        <w:rPr>
          <w:rFonts w:ascii="Times New Roman" w:cs="Times New Roman" w:eastAsia="Times New Roman" w:hAnsi="Times New Roman"/>
          <w:sz w:val="22"/>
          <w:szCs w:val="22"/>
          <w:color w:val="008000"/>
          <w:vertAlign w:val="superscript"/>
        </w:rPr>
        <w:t>(23)</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2011</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Irrevocable</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Trust</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ind w:left="20"/>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3,483,559</w:t>
      </w:r>
      <w:r>
        <w:rPr>
          <w:rFonts w:ascii="Times New Roman" w:cs="Times New Roman" w:eastAsia="Times New Roman" w:hAnsi="Times New Roman"/>
          <w:sz w:val="22"/>
          <w:szCs w:val="22"/>
          <w:color w:val="008000"/>
          <w:vertAlign w:val="superscript"/>
        </w:rPr>
        <w:t>(24)</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Leaders</w:t>
      </w:r>
    </w:p>
    <w:p>
      <w:pPr>
        <w:ind w:left="2020"/>
        <w:spacing w:after="0"/>
        <w:rPr>
          <w:sz w:val="20"/>
          <w:szCs w:val="20"/>
          <w:color w:val="auto"/>
        </w:rPr>
      </w:pPr>
      <w:r>
        <w:rPr>
          <w:rFonts w:ascii="Times New Roman" w:cs="Times New Roman" w:eastAsia="Times New Roman" w:hAnsi="Times New Roman"/>
          <w:sz w:val="17"/>
          <w:szCs w:val="17"/>
          <w:color w:val="0000FF"/>
        </w:rPr>
        <w:t>Fund L.P.</w:t>
      </w:r>
    </w:p>
    <w:p>
      <w:pPr>
        <w:spacing w:after="0" w:line="1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Leaders</w:t>
      </w:r>
    </w:p>
    <w:p>
      <w:pPr>
        <w:ind w:left="80"/>
        <w:spacing w:after="0" w:line="190"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166,441</w:t>
      </w:r>
      <w:r>
        <w:rPr>
          <w:rFonts w:ascii="Times New Roman" w:cs="Times New Roman" w:eastAsia="Times New Roman" w:hAnsi="Times New Roman"/>
          <w:sz w:val="10"/>
          <w:szCs w:val="10"/>
          <w:color w:val="008000"/>
        </w:rPr>
        <w:t>(25)</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2016</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tabs>
          <w:tab w:leader="none" w:pos="1440" w:val="left"/>
          <w:tab w:leader="none" w:pos="2000" w:val="left"/>
        </w:tabs>
        <w:rPr>
          <w:sz w:val="20"/>
          <w:szCs w:val="20"/>
          <w:color w:val="auto"/>
        </w:rPr>
      </w:pPr>
      <w:r>
        <w:rPr>
          <w:rFonts w:ascii="Times New Roman" w:cs="Times New Roman" w:eastAsia="Times New Roman" w:hAnsi="Times New Roman"/>
          <w:sz w:val="17"/>
          <w:szCs w:val="17"/>
          <w:color w:val="0000FF"/>
        </w:rPr>
        <w:t>169,519</w:t>
      </w:r>
      <w:r>
        <w:rPr>
          <w:rFonts w:ascii="Times New Roman" w:cs="Times New Roman" w:eastAsia="Times New Roman" w:hAnsi="Times New Roman"/>
          <w:sz w:val="22"/>
          <w:szCs w:val="22"/>
          <w:color w:val="008000"/>
          <w:vertAlign w:val="superscript"/>
        </w:rPr>
        <w:t>(26)(27)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17"/>
          <w:szCs w:val="17"/>
          <w:color w:val="0000FF"/>
        </w:rPr>
        <w:t>Growth</w:t>
      </w:r>
    </w:p>
    <w:p>
      <w:pPr>
        <w:jc w:val="right"/>
        <w:ind w:right="120"/>
        <w:spacing w:after="0"/>
        <w:rPr>
          <w:sz w:val="20"/>
          <w:szCs w:val="20"/>
          <w:color w:val="auto"/>
        </w:rPr>
      </w:pPr>
      <w:r>
        <w:rPr>
          <w:rFonts w:ascii="Times New Roman" w:cs="Times New Roman" w:eastAsia="Times New Roman" w:hAnsi="Times New Roman"/>
          <w:sz w:val="17"/>
          <w:szCs w:val="17"/>
          <w:color w:val="0000FF"/>
        </w:rPr>
        <w:t>Fund II L.P.</w:t>
      </w:r>
    </w:p>
    <w:p>
      <w:pPr>
        <w:spacing w:after="0" w:line="1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Growth</w:t>
      </w:r>
    </w:p>
    <w:p>
      <w:pPr>
        <w:ind w:left="140"/>
        <w:spacing w:after="0" w:line="198"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12,281</w:t>
      </w:r>
      <w:r>
        <w:rPr>
          <w:rFonts w:ascii="Times New Roman" w:cs="Times New Roman" w:eastAsia="Times New Roman" w:hAnsi="Times New Roman"/>
          <w:sz w:val="10"/>
          <w:szCs w:val="10"/>
          <w:color w:val="008000"/>
        </w:rPr>
        <w:t>(28)</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5"/>
          <w:szCs w:val="25"/>
          <w:color w:val="0000FF"/>
          <w:vertAlign w:val="superscript"/>
        </w:rPr>
        <w:t>Fund II</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Strategic</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Partners</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L.P.</w:t>
      </w:r>
    </w:p>
    <w:p>
      <w:pPr>
        <w:spacing w:after="0" w:line="13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Accel</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Growth</w:t>
      </w:r>
    </w:p>
    <w:p>
      <w:pPr>
        <w:ind w:left="140"/>
        <w:spacing w:after="0" w:line="190" w:lineRule="auto"/>
        <w:tabs>
          <w:tab w:leader="none" w:pos="1440" w:val="left"/>
          <w:tab w:leader="none" w:pos="2000" w:val="left"/>
        </w:tabs>
        <w:rPr>
          <w:sz w:val="20"/>
          <w:szCs w:val="20"/>
          <w:color w:val="auto"/>
        </w:rPr>
      </w:pPr>
      <w:r>
        <w:rPr>
          <w:rFonts w:ascii="Times New Roman" w:cs="Times New Roman" w:eastAsia="Times New Roman" w:hAnsi="Times New Roman"/>
          <w:sz w:val="27"/>
          <w:szCs w:val="27"/>
          <w:color w:val="0000FF"/>
          <w:vertAlign w:val="subscript"/>
        </w:rPr>
        <w:t>18,200</w:t>
      </w:r>
      <w:r>
        <w:rPr>
          <w:rFonts w:ascii="Times New Roman" w:cs="Times New Roman" w:eastAsia="Times New Roman" w:hAnsi="Times New Roman"/>
          <w:sz w:val="10"/>
          <w:szCs w:val="10"/>
          <w:color w:val="008000"/>
        </w:rPr>
        <w:t>(29)</w:t>
      </w:r>
      <w:r>
        <w:rPr>
          <w:sz w:val="20"/>
          <w:szCs w:val="20"/>
          <w:color w:val="auto"/>
        </w:rPr>
        <w:tab/>
      </w:r>
      <w:r>
        <w:rPr>
          <w:rFonts w:ascii="Times New Roman" w:cs="Times New Roman" w:eastAsia="Times New Roman" w:hAnsi="Times New Roman"/>
          <w:sz w:val="26"/>
          <w:szCs w:val="26"/>
          <w:color w:val="0000FF"/>
          <w:vertAlign w:val="subscript"/>
        </w:rPr>
        <w:t>I</w:t>
      </w:r>
      <w:r>
        <w:rPr>
          <w:sz w:val="20"/>
          <w:szCs w:val="20"/>
          <w:color w:val="auto"/>
        </w:rPr>
        <w:tab/>
      </w:r>
      <w:r>
        <w:rPr>
          <w:rFonts w:ascii="Times New Roman" w:cs="Times New Roman" w:eastAsia="Times New Roman" w:hAnsi="Times New Roman"/>
          <w:sz w:val="26"/>
          <w:szCs w:val="26"/>
          <w:color w:val="0000FF"/>
          <w:vertAlign w:val="superscript"/>
        </w:rPr>
        <w:t>Fund</w:t>
      </w:r>
    </w:p>
    <w:p>
      <w:pPr>
        <w:spacing w:after="0" w:line="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Investors</w:t>
      </w:r>
    </w:p>
    <w:p>
      <w:pPr>
        <w:spacing w:after="0" w:line="1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2013</w:t>
      </w:r>
    </w:p>
    <w:p>
      <w:pPr>
        <w:spacing w:after="0" w:line="1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0000FF"/>
        </w:rPr>
        <w:t>L.L.C.</w:t>
      </w:r>
    </w:p>
    <w:p>
      <w:pPr>
        <w:spacing w:after="0" w:line="138" w:lineRule="exact"/>
        <w:rPr>
          <w:sz w:val="20"/>
          <w:szCs w:val="20"/>
          <w:color w:val="auto"/>
        </w:rPr>
      </w:pPr>
    </w:p>
    <w:p>
      <w:pPr>
        <w:ind w:left="180"/>
        <w:spacing w:after="0"/>
        <w:tabs>
          <w:tab w:leader="none" w:pos="1420" w:val="left"/>
        </w:tabs>
        <w:rPr>
          <w:sz w:val="20"/>
          <w:szCs w:val="20"/>
          <w:color w:val="auto"/>
        </w:rPr>
      </w:pPr>
      <w:r>
        <w:rPr>
          <w:rFonts w:ascii="Times New Roman" w:cs="Times New Roman" w:eastAsia="Times New Roman" w:hAnsi="Times New Roman"/>
          <w:sz w:val="17"/>
          <w:szCs w:val="17"/>
          <w:color w:val="0000FF"/>
        </w:rPr>
        <w:t>7,580</w:t>
      </w:r>
      <w:r>
        <w:rPr>
          <w:rFonts w:ascii="Times New Roman" w:cs="Times New Roman" w:eastAsia="Times New Roman" w:hAnsi="Times New Roman"/>
          <w:sz w:val="22"/>
          <w:szCs w:val="22"/>
          <w:color w:val="008000"/>
          <w:vertAlign w:val="superscript"/>
        </w:rPr>
        <w:t>(30)</w:t>
      </w:r>
      <w:r>
        <w:rPr>
          <w:sz w:val="20"/>
          <w:szCs w:val="20"/>
          <w:color w:val="auto"/>
        </w:rPr>
        <w:tab/>
      </w:r>
      <w:r>
        <w:rPr>
          <w:rFonts w:ascii="Times New Roman" w:cs="Times New Roman" w:eastAsia="Times New Roman" w:hAnsi="Times New Roman"/>
          <w:sz w:val="16"/>
          <w:szCs w:val="16"/>
          <w:color w:val="0000FF"/>
        </w:rPr>
        <w:t>D</w:t>
      </w:r>
    </w:p>
    <w:p>
      <w:pPr>
        <w:spacing w:after="0" w:line="119" w:lineRule="exact"/>
        <w:rPr>
          <w:sz w:val="20"/>
          <w:szCs w:val="20"/>
          <w:color w:val="auto"/>
        </w:rPr>
      </w:pPr>
    </w:p>
    <w:p>
      <w:pPr>
        <w:sectPr>
          <w:pgSz w:w="11900" w:h="16838" w:orient="portrait"/>
          <w:cols w:equalWidth="0" w:num="2">
            <w:col w:w="7320" w:space="720"/>
            <w:col w:w="2960"/>
          </w:cols>
          <w:pgMar w:left="460" w:top="191" w:right="439" w:bottom="0" w:gutter="0" w:footer="0" w:header="0"/>
          <w:type w:val="continuous"/>
        </w:sect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June 27, 2025.</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Potomac Investments L.P. - Fund 1.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$739.135 to $739.865.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$740.695 to $740.76.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$746.975 to $747.655.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$750.37 to $751.31.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$752.145 to $753.12.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$753.220 to $754.050.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$754.255 to $755.25.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$755.285 to $756.25.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80" w:firstLine="7"/>
        <w:spacing w:after="0" w:line="272" w:lineRule="auto"/>
        <w:tabs>
          <w:tab w:leader="none" w:pos="23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$756.29 to $757.245.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$757.34 to $758.27.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$758.345 to $759.34.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left="40" w:right="660" w:firstLine="7"/>
        <w:spacing w:after="0" w:line="272" w:lineRule="auto"/>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$759.565 to $760.52.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ectPr>
          <w:pgSz w:w="11900" w:h="16838" w:orient="portrait"/>
          <w:cols w:equalWidth="0" w:num="1">
            <w:col w:w="11000"/>
          </w:cols>
          <w:pgMar w:left="460" w:top="191" w:right="439" w:bottom="0" w:gutter="0" w:footer="0" w:header="0"/>
          <w:type w:val="continuous"/>
        </w:sectPr>
      </w:pPr>
    </w:p>
    <w:bookmarkStart w:id="3" w:name="page4"/>
    <w:bookmarkEnd w:id="3"/>
    <w:p>
      <w:pPr>
        <w:ind w:right="5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$760.655 to $761.565.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right="5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$761.77 to $762.725.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$762.77 to $763.74.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right="5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$763.865 to $764.80.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52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$764.925 to $765.875.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jc w:val="both"/>
        <w:ind w:right="580"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$765.925 to $766.88.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right="20" w:firstLine="7"/>
        <w:spacing w:after="0" w:line="246"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Trust, dated 9/21/2001,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w:t>
      </w:r>
    </w:p>
    <w:p>
      <w:pPr>
        <w:ind w:left="180" w:hanging="17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any other purpose.</w:t>
      </w:r>
    </w:p>
    <w:p>
      <w:pPr>
        <w:spacing w:after="0" w:line="36" w:lineRule="exact"/>
        <w:rPr>
          <w:rFonts w:ascii="Times New Roman" w:cs="Times New Roman" w:eastAsia="Times New Roman" w:hAnsi="Times New Roman"/>
          <w:sz w:val="13"/>
          <w:szCs w:val="13"/>
          <w:color w:val="008000"/>
        </w:rPr>
      </w:pPr>
    </w:p>
    <w:p>
      <w:pPr>
        <w:ind w:right="140" w:firstLine="7"/>
        <w:spacing w:after="0" w:line="253" w:lineRule="auto"/>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Nonexempt Trust dated 10/31/2011,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20" w:firstLine="7"/>
        <w:spacing w:after="0" w:line="246" w:lineRule="auto"/>
        <w:tabs>
          <w:tab w:leader="none" w:pos="200" w:val="left"/>
        </w:tabs>
        <w:numPr>
          <w:ilvl w:val="0"/>
          <w:numId w:val="4"/>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Potomac 2011 Irrevocable Trust, of which the Reporting Person is a co-trustee. The Reporting Person disclaims Section 16 beneficial ownership over the securities reported herein except to the extent of his pecuniary interest therein, if any, and this report shall not be deemed an admission that the Reporting Person is the beneficial owner of such securities for Section</w:t>
      </w:r>
    </w:p>
    <w:p>
      <w:pPr>
        <w:ind w:left="180" w:hanging="173"/>
        <w:spacing w:after="0"/>
        <w:tabs>
          <w:tab w:leader="none" w:pos="180" w:val="left"/>
        </w:tabs>
        <w:numPr>
          <w:ilvl w:val="0"/>
          <w:numId w:val="5"/>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or any other purpose.</w:t>
      </w:r>
    </w:p>
    <w:p>
      <w:pPr>
        <w:spacing w:after="0" w:line="36"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6"/>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L.P. Accel Leaders Fund Associates L.L.C. ("Accel Leaders Fund") is the general partner of Accel Leaders Fund L.P. (the "Accel Leader Fund</w:t>
      </w:r>
    </w:p>
    <w:p>
      <w:pPr>
        <w:spacing w:after="0" w:line="1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3"/>
          <w:szCs w:val="13"/>
          <w:color w:val="008000"/>
        </w:rPr>
        <w:t>Entity").Accel Leaders Fund GP has sole voting and dispositive power with regard to the shares held by the Accel Leaders Fund Entity. The Reporting Person is one of six Managing Members of Accel Leaders Fund GP, who share voting and dispositive powers over the shares held by the Accel Leaders Fund Entity.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Leaders Fund GP is the beneficial owner of such securities for Section 16 or any other purpose.</w:t>
      </w:r>
    </w:p>
    <w:p>
      <w:pPr>
        <w:spacing w:after="0" w:line="28" w:lineRule="exact"/>
        <w:rPr>
          <w:sz w:val="20"/>
          <w:szCs w:val="20"/>
          <w:color w:val="auto"/>
        </w:rPr>
      </w:pPr>
    </w:p>
    <w:p>
      <w:pPr>
        <w:ind w:right="180" w:firstLine="7"/>
        <w:spacing w:after="0" w:line="253" w:lineRule="auto"/>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Leaders Fund Investors 2016 L.L.C. The Reporting Person is one of six Managing Members of Accel Leaders Fund Investors 2016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right="40" w:firstLine="7"/>
        <w:spacing w:after="0" w:line="247" w:lineRule="auto"/>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L.P. Accel Growth Fund II Associates L.L.C. ("Accel Growth Fund II GP") is the general partner of each of Accel Growth Fund II L.P. and Accel Growth Fund II Strategic Partners L.P. (together, the "Accel Growth Fund II Entities"). Accel Growth Fund II GP has sole voting and dispositive power with regard to the shares held by the Accel Growth Fund II Entities. The Reporting Person is one of six Managing Members of Accel Growth Fund II GP, who share voting and dispositive powers over the shares held by the Accel Growth Fund II Entities (continued in Footnote 27)</w:t>
      </w:r>
    </w:p>
    <w:p>
      <w:pPr>
        <w:spacing w:after="0" w:line="24" w:lineRule="exact"/>
        <w:rPr>
          <w:rFonts w:ascii="Times New Roman" w:cs="Times New Roman" w:eastAsia="Times New Roman" w:hAnsi="Times New Roman"/>
          <w:sz w:val="13"/>
          <w:szCs w:val="13"/>
          <w:color w:val="008000"/>
        </w:rPr>
      </w:pPr>
    </w:p>
    <w:p>
      <w:pPr>
        <w:jc w:val="both"/>
        <w:ind w:right="260" w:firstLine="7"/>
        <w:spacing w:after="0" w:line="253" w:lineRule="auto"/>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26) Each of such Managing Members, the Reporting Person and Accel Growth Fund II GP disclaims Section 16 beneficial ownership over the securities reported herein except to the extent of its pecuniary interest therein, if any, and this report shall not be deemed an admission that any such Managing Member, the Reporting Person or Accel Growth Fund II GP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Accel Growth Fund II Strategic Partners L.P.</w:t>
      </w:r>
    </w:p>
    <w:p>
      <w:pPr>
        <w:spacing w:after="0" w:line="50" w:lineRule="exact"/>
        <w:rPr>
          <w:rFonts w:ascii="Times New Roman" w:cs="Times New Roman" w:eastAsia="Times New Roman" w:hAnsi="Times New Roman"/>
          <w:sz w:val="13"/>
          <w:szCs w:val="13"/>
          <w:color w:val="008000"/>
        </w:rPr>
      </w:pPr>
    </w:p>
    <w:p>
      <w:pPr>
        <w:jc w:val="both"/>
        <w:ind w:firstLine="7"/>
        <w:spacing w:after="0" w:line="253" w:lineRule="auto"/>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one of five Managing Members of Accel Growth Fund Investors 2013 L.L.C. who share voting and dispositive powers over such shares. Each of such Managing Members and the Reporting Person disclaims beneficial ownership over the securities herein except to the extent of their pecuniary interest therein, if any, and this report shall not be deemed an admission that any such Managing Member or the Reporting Person is the beneficial owner of such securities for Section 16 or any other purpose.</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7"/>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RSUs.</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8"/>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5"/>
    </w:lvl>
  </w:abstractNum>
  <w:abstractNum w:abstractNumId="2">
    <w:nsid w:val="3D1B58BA"/>
    <w:multiLevelType w:val="hybridMultilevel"/>
    <w:lvl w:ilvl="0">
      <w:lvlJc w:val="left"/>
      <w:lvlText w:val="%1"/>
      <w:numFmt w:val="decimal"/>
      <w:start w:val="16"/>
    </w:lvl>
  </w:abstractNum>
  <w:abstractNum w:abstractNumId="3">
    <w:nsid w:val="507ED7AB"/>
    <w:multiLevelType w:val="hybridMultilevel"/>
    <w:lvl w:ilvl="0">
      <w:lvlJc w:val="left"/>
      <w:lvlText w:val="%1."/>
      <w:numFmt w:val="decimal"/>
      <w:start w:val="22"/>
    </w:lvl>
  </w:abstractNum>
  <w:abstractNum w:abstractNumId="4">
    <w:nsid w:val="2EB141F2"/>
    <w:multiLevelType w:val="hybridMultilevel"/>
    <w:lvl w:ilvl="0">
      <w:lvlJc w:val="left"/>
      <w:lvlText w:val="%1"/>
      <w:numFmt w:val="decimal"/>
      <w:start w:val="16"/>
    </w:lvl>
  </w:abstractNum>
  <w:abstractNum w:abstractNumId="5">
    <w:nsid w:val="41B71EFB"/>
    <w:multiLevelType w:val="hybridMultilevel"/>
    <w:lvl w:ilvl="0">
      <w:lvlJc w:val="left"/>
      <w:lvlText w:val="%1."/>
      <w:numFmt w:val="decimal"/>
      <w:start w:val="24"/>
    </w:lvl>
  </w:abstractNum>
  <w:abstractNum w:abstractNumId="6">
    <w:nsid w:val="79E2A9E3"/>
    <w:multiLevelType w:val="hybridMultilevel"/>
    <w:lvl w:ilvl="0">
      <w:lvlJc w:val="left"/>
      <w:lvlText w:val="%1."/>
      <w:numFmt w:val="decimal"/>
      <w:start w:val="25"/>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01326"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2026-06-03T16:36:02Z</dcterms:created>
  <dcterms:modified xsi:type="dcterms:W3CDTF">2026-06-03T16:36:02Z</dcterms:modified>
</cp:coreProperties>
</file>